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C3ABA" w:rsidRDefault="002C3ABA"/>
    <w:p w:rsidR="00710D02" w:rsidRDefault="00710D02" w:rsidP="00710D02">
      <w:pPr>
        <w:autoSpaceDE w:val="0"/>
        <w:autoSpaceDN w:val="0"/>
        <w:adjustRightInd w:val="0"/>
        <w:rPr>
          <w:b/>
          <w:szCs w:val="24"/>
          <w:highlight w:val="yellow"/>
        </w:rPr>
      </w:pPr>
      <w:r>
        <w:rPr>
          <w:noProof/>
        </w:rPr>
        <w:drawing>
          <wp:anchor distT="0" distB="0" distL="114300" distR="114300" simplePos="0" relativeHeight="251659264" behindDoc="1" locked="0" layoutInCell="1" allowOverlap="1" wp14:anchorId="2224F7CC" wp14:editId="7F43242C">
            <wp:simplePos x="0" y="0"/>
            <wp:positionH relativeFrom="column">
              <wp:posOffset>0</wp:posOffset>
            </wp:positionH>
            <wp:positionV relativeFrom="paragraph">
              <wp:posOffset>0</wp:posOffset>
            </wp:positionV>
            <wp:extent cx="2609850" cy="807720"/>
            <wp:effectExtent l="0" t="0" r="0" b="0"/>
            <wp:wrapNone/>
            <wp:docPr id="2" name="Picture 2" descr="usaid_brand_2_color_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id_brand_2_color_msword"/>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09850" cy="807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0D02" w:rsidRDefault="00710D02" w:rsidP="00710D02">
      <w:pPr>
        <w:jc w:val="right"/>
        <w:rPr>
          <w:rFonts w:ascii="Times New Roman" w:eastAsia="Times New Roman" w:hAnsi="Times New Roman" w:cs="Times New Roman"/>
          <w:b/>
          <w:sz w:val="24"/>
          <w:szCs w:val="24"/>
        </w:rPr>
      </w:pPr>
    </w:p>
    <w:p w:rsidR="00710D02" w:rsidRDefault="00710D02" w:rsidP="00710D02">
      <w:pPr>
        <w:jc w:val="right"/>
        <w:rPr>
          <w:rFonts w:ascii="Times New Roman" w:eastAsia="Times New Roman" w:hAnsi="Times New Roman" w:cs="Times New Roman"/>
          <w:b/>
          <w:sz w:val="24"/>
          <w:szCs w:val="24"/>
        </w:rPr>
      </w:pPr>
    </w:p>
    <w:p w:rsidR="00710D02" w:rsidRDefault="00710D02" w:rsidP="00710D02">
      <w:pPr>
        <w:jc w:val="right"/>
        <w:rPr>
          <w:rFonts w:ascii="Times New Roman" w:eastAsia="Times New Roman" w:hAnsi="Times New Roman" w:cs="Times New Roman"/>
          <w:b/>
          <w:sz w:val="24"/>
          <w:szCs w:val="24"/>
        </w:rPr>
      </w:pPr>
    </w:p>
    <w:p w:rsidR="00710D02" w:rsidRDefault="00894379" w:rsidP="00710D02">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June 1</w:t>
      </w:r>
      <w:bookmarkStart w:id="0" w:name="_GoBack"/>
      <w:bookmarkEnd w:id="0"/>
      <w:r>
        <w:rPr>
          <w:rFonts w:ascii="Times New Roman" w:eastAsia="Times New Roman" w:hAnsi="Times New Roman" w:cs="Times New Roman"/>
          <w:b/>
          <w:sz w:val="24"/>
          <w:szCs w:val="24"/>
        </w:rPr>
        <w:t>5</w:t>
      </w:r>
      <w:r w:rsidR="00710D02">
        <w:rPr>
          <w:rFonts w:ascii="Times New Roman" w:eastAsia="Times New Roman" w:hAnsi="Times New Roman" w:cs="Times New Roman"/>
          <w:b/>
          <w:sz w:val="24"/>
          <w:szCs w:val="24"/>
        </w:rPr>
        <w:t>, 2015</w:t>
      </w:r>
    </w:p>
    <w:p w:rsidR="00710D02" w:rsidRDefault="00710D02" w:rsidP="00710D02">
      <w:pPr>
        <w:rPr>
          <w:rFonts w:ascii="Times New Roman" w:eastAsia="Times New Roman" w:hAnsi="Times New Roman" w:cs="Times New Roman"/>
          <w:b/>
          <w:sz w:val="24"/>
          <w:szCs w:val="24"/>
        </w:rPr>
      </w:pPr>
    </w:p>
    <w:p w:rsidR="00710D02" w:rsidRDefault="00710D02" w:rsidP="00710D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Request for Application No.: RFA-OAA-15-000021</w:t>
      </w:r>
    </w:p>
    <w:p w:rsidR="00D12A9C" w:rsidRDefault="00D12A9C" w:rsidP="00E65718">
      <w:pPr>
        <w:tabs>
          <w:tab w:val="left" w:pos="945"/>
        </w:tabs>
        <w:jc w:val="center"/>
        <w:rPr>
          <w:rFonts w:ascii="Times New Roman" w:eastAsia="Times New Roman" w:hAnsi="Times New Roman" w:cs="Times New Roman"/>
          <w:sz w:val="24"/>
          <w:szCs w:val="24"/>
        </w:rPr>
      </w:pPr>
    </w:p>
    <w:p w:rsidR="00E65718" w:rsidRDefault="00E65718" w:rsidP="00E65718">
      <w:pPr>
        <w:jc w:val="center"/>
        <w:rPr>
          <w:rFonts w:ascii="Times New Roman" w:eastAsia="Times New Roman" w:hAnsi="Times New Roman" w:cs="Times New Roman"/>
          <w:b/>
          <w:sz w:val="24"/>
          <w:szCs w:val="24"/>
        </w:rPr>
      </w:pPr>
      <w:r w:rsidRPr="00E65718">
        <w:rPr>
          <w:rFonts w:ascii="Times New Roman" w:eastAsia="Times New Roman" w:hAnsi="Times New Roman" w:cs="Times New Roman"/>
          <w:b/>
          <w:sz w:val="24"/>
          <w:szCs w:val="24"/>
        </w:rPr>
        <w:t xml:space="preserve">Amendment No.: </w:t>
      </w:r>
      <w:r w:rsidR="00894379">
        <w:rPr>
          <w:rFonts w:ascii="Times New Roman" w:eastAsia="Times New Roman" w:hAnsi="Times New Roman" w:cs="Times New Roman"/>
          <w:b/>
          <w:sz w:val="24"/>
          <w:szCs w:val="24"/>
        </w:rPr>
        <w:t>02</w:t>
      </w:r>
    </w:p>
    <w:p w:rsidR="00E65718" w:rsidRDefault="00E65718" w:rsidP="00E65718">
      <w:pPr>
        <w:jc w:val="center"/>
        <w:rPr>
          <w:rFonts w:ascii="Times New Roman" w:eastAsia="Times New Roman" w:hAnsi="Times New Roman" w:cs="Times New Roman"/>
          <w:b/>
          <w:sz w:val="24"/>
          <w:szCs w:val="24"/>
        </w:rPr>
      </w:pPr>
    </w:p>
    <w:p w:rsidR="00E65718" w:rsidRDefault="00E65718" w:rsidP="00E6571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amendment is to amend the solicitation and </w:t>
      </w:r>
      <w:r w:rsidR="00B601C2">
        <w:rPr>
          <w:rFonts w:ascii="Times New Roman" w:eastAsia="Times New Roman" w:hAnsi="Times New Roman" w:cs="Times New Roman"/>
          <w:sz w:val="24"/>
          <w:szCs w:val="24"/>
        </w:rPr>
        <w:t>clarification to the revised RFA requirements</w:t>
      </w:r>
      <w:r>
        <w:rPr>
          <w:rFonts w:ascii="Times New Roman" w:eastAsia="Times New Roman" w:hAnsi="Times New Roman" w:cs="Times New Roman"/>
          <w:sz w:val="24"/>
          <w:szCs w:val="24"/>
        </w:rPr>
        <w:t>.</w:t>
      </w:r>
      <w:r w:rsidR="00B601C2">
        <w:rPr>
          <w:rFonts w:ascii="Times New Roman" w:eastAsia="Times New Roman" w:hAnsi="Times New Roman" w:cs="Times New Roman"/>
          <w:sz w:val="24"/>
          <w:szCs w:val="24"/>
        </w:rPr>
        <w:t xml:space="preserve"> </w:t>
      </w:r>
      <w:r w:rsidR="00EB34A0">
        <w:rPr>
          <w:rFonts w:ascii="Times New Roman" w:eastAsia="Times New Roman" w:hAnsi="Times New Roman" w:cs="Times New Roman"/>
          <w:sz w:val="24"/>
          <w:szCs w:val="24"/>
        </w:rPr>
        <w:t xml:space="preserve">In accordance with 2 CFR 200, 2 CFR 700, and ADS 303 Revision, the merit review is limited to programmatic elements of the application and does not include a past performance review.  A successful applications history of performance is part of the pre-award risk assessment. </w:t>
      </w:r>
    </w:p>
    <w:p w:rsidR="00E65718" w:rsidRDefault="00E65718" w:rsidP="00E65718">
      <w:pPr>
        <w:rPr>
          <w:rFonts w:ascii="Times New Roman" w:eastAsia="Times New Roman" w:hAnsi="Times New Roman" w:cs="Times New Roman"/>
          <w:sz w:val="24"/>
          <w:szCs w:val="24"/>
        </w:rPr>
      </w:pPr>
    </w:p>
    <w:p w:rsidR="00E65718" w:rsidRDefault="00E65718" w:rsidP="00E65718">
      <w:pPr>
        <w:rPr>
          <w:rFonts w:ascii="Times New Roman" w:eastAsia="Times New Roman" w:hAnsi="Times New Roman" w:cs="Times New Roman"/>
          <w:b/>
          <w:sz w:val="24"/>
          <w:szCs w:val="24"/>
        </w:rPr>
      </w:pPr>
      <w:r w:rsidRPr="00E65718">
        <w:rPr>
          <w:rFonts w:ascii="Times New Roman" w:eastAsia="Times New Roman" w:hAnsi="Times New Roman" w:cs="Times New Roman"/>
          <w:b/>
          <w:sz w:val="24"/>
          <w:szCs w:val="24"/>
        </w:rPr>
        <w:t>The subject RFA is hereby amended as follows:</w:t>
      </w:r>
    </w:p>
    <w:p w:rsidR="00BC1F81" w:rsidRDefault="00BC1F81" w:rsidP="00E65718">
      <w:pPr>
        <w:rPr>
          <w:rFonts w:ascii="Times New Roman" w:eastAsia="Times New Roman" w:hAnsi="Times New Roman" w:cs="Times New Roman"/>
          <w:b/>
          <w:sz w:val="24"/>
          <w:szCs w:val="24"/>
        </w:rPr>
      </w:pPr>
    </w:p>
    <w:p w:rsidR="00BC1F81" w:rsidRDefault="00BC1F81" w:rsidP="00E6571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Page 1. “Cover Letter”</w:t>
      </w:r>
    </w:p>
    <w:p w:rsidR="00BC1F81" w:rsidRDefault="00BC1F81" w:rsidP="00E65718">
      <w:pPr>
        <w:rPr>
          <w:rFonts w:ascii="Times New Roman" w:eastAsia="Times New Roman" w:hAnsi="Times New Roman" w:cs="Times New Roman"/>
          <w:b/>
          <w:sz w:val="24"/>
          <w:szCs w:val="24"/>
        </w:rPr>
      </w:pPr>
    </w:p>
    <w:p w:rsidR="00BC1F81" w:rsidRPr="00BC1F81" w:rsidRDefault="00BC1F81" w:rsidP="00E6571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Remove/Insert </w:t>
      </w:r>
      <w:r>
        <w:rPr>
          <w:rFonts w:ascii="Times New Roman" w:eastAsia="Times New Roman" w:hAnsi="Times New Roman" w:cs="Times New Roman"/>
          <w:sz w:val="24"/>
          <w:szCs w:val="24"/>
        </w:rPr>
        <w:t>the closing date to June 24, 2015 at 5:00 PM (EST).</w:t>
      </w:r>
    </w:p>
    <w:p w:rsidR="00371FA3" w:rsidRDefault="00371FA3" w:rsidP="00E65718">
      <w:pPr>
        <w:rPr>
          <w:rFonts w:ascii="Times New Roman" w:eastAsia="Times New Roman" w:hAnsi="Times New Roman" w:cs="Times New Roman"/>
          <w:b/>
          <w:sz w:val="24"/>
          <w:szCs w:val="24"/>
        </w:rPr>
      </w:pPr>
    </w:p>
    <w:p w:rsidR="0096627A" w:rsidRDefault="0096627A" w:rsidP="0096627A">
      <w:pPr>
        <w:rPr>
          <w:rFonts w:ascii="Times New Roman" w:eastAsia="Times New Roman" w:hAnsi="Times New Roman" w:cs="Times New Roman"/>
          <w:b/>
          <w:sz w:val="24"/>
          <w:szCs w:val="24"/>
        </w:rPr>
      </w:pPr>
      <w:r w:rsidRPr="0096627A">
        <w:rPr>
          <w:rFonts w:ascii="Times New Roman" w:eastAsia="Times New Roman" w:hAnsi="Times New Roman" w:cs="Times New Roman"/>
          <w:b/>
          <w:sz w:val="24"/>
          <w:szCs w:val="24"/>
        </w:rPr>
        <w:t>Page 36. “Annex D: Past Performance References”</w:t>
      </w:r>
    </w:p>
    <w:p w:rsidR="00CE564C" w:rsidRDefault="00CE564C" w:rsidP="0096627A">
      <w:pPr>
        <w:rPr>
          <w:rFonts w:ascii="Times New Roman" w:eastAsia="Times New Roman" w:hAnsi="Times New Roman" w:cs="Times New Roman"/>
          <w:b/>
          <w:sz w:val="24"/>
          <w:szCs w:val="24"/>
        </w:rPr>
      </w:pPr>
    </w:p>
    <w:p w:rsidR="0096627A" w:rsidRDefault="0096627A" w:rsidP="0096627A">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Remove/ Insert </w:t>
      </w:r>
      <w:r>
        <w:rPr>
          <w:rFonts w:ascii="Times New Roman" w:eastAsia="Times New Roman" w:hAnsi="Times New Roman" w:cs="Times New Roman"/>
          <w:sz w:val="24"/>
          <w:szCs w:val="24"/>
        </w:rPr>
        <w:t xml:space="preserve">the entire section from technical to the cost/ business application package.  </w:t>
      </w:r>
    </w:p>
    <w:p w:rsidR="00CE564C" w:rsidRDefault="00CE564C" w:rsidP="0096627A">
      <w:pPr>
        <w:rPr>
          <w:rFonts w:ascii="Times New Roman" w:eastAsia="Times New Roman" w:hAnsi="Times New Roman" w:cs="Times New Roman"/>
          <w:b/>
          <w:sz w:val="24"/>
          <w:szCs w:val="24"/>
        </w:rPr>
      </w:pPr>
    </w:p>
    <w:p w:rsidR="00CE564C" w:rsidRPr="0096627A" w:rsidRDefault="00CE564C" w:rsidP="0096627A">
      <w:pPr>
        <w:rPr>
          <w:rFonts w:ascii="Times New Roman" w:eastAsia="Times New Roman" w:hAnsi="Times New Roman" w:cs="Times New Roman"/>
          <w:sz w:val="24"/>
          <w:szCs w:val="24"/>
        </w:rPr>
      </w:pPr>
      <w:r w:rsidRPr="00CE564C">
        <w:rPr>
          <w:rFonts w:ascii="Times New Roman" w:eastAsia="Times New Roman" w:hAnsi="Times New Roman" w:cs="Times New Roman"/>
          <w:b/>
          <w:sz w:val="24"/>
          <w:szCs w:val="24"/>
        </w:rPr>
        <w:t xml:space="preserve">Insert </w:t>
      </w:r>
      <w:r w:rsidR="00BC1F81" w:rsidRPr="00BC1F81">
        <w:rPr>
          <w:rFonts w:ascii="Times New Roman" w:eastAsia="Times New Roman" w:hAnsi="Times New Roman" w:cs="Times New Roman"/>
          <w:sz w:val="24"/>
          <w:szCs w:val="24"/>
        </w:rPr>
        <w:t>upon notification by the Agreement Officer,</w:t>
      </w:r>
      <w:r w:rsidR="00BC1F81">
        <w:rPr>
          <w:rFonts w:ascii="Times New Roman" w:eastAsia="Times New Roman" w:hAnsi="Times New Roman" w:cs="Times New Roman"/>
          <w:b/>
          <w:sz w:val="24"/>
          <w:szCs w:val="24"/>
        </w:rPr>
        <w:t xml:space="preserve"> </w:t>
      </w:r>
      <w:r w:rsidR="00BC1F81" w:rsidRPr="00BC1F81">
        <w:rPr>
          <w:rFonts w:ascii="Times New Roman" w:eastAsia="Times New Roman" w:hAnsi="Times New Roman" w:cs="Times New Roman"/>
          <w:sz w:val="24"/>
          <w:szCs w:val="24"/>
        </w:rPr>
        <w:t>the apparent</w:t>
      </w:r>
      <w:r w:rsidR="00BC1F81">
        <w:rPr>
          <w:rFonts w:ascii="Times New Roman" w:eastAsia="Times New Roman" w:hAnsi="Times New Roman" w:cs="Times New Roman"/>
          <w:sz w:val="24"/>
          <w:szCs w:val="24"/>
        </w:rPr>
        <w:t xml:space="preserve"> successful</w:t>
      </w:r>
      <w:r w:rsidR="00BC1F81" w:rsidRPr="00BC1F81">
        <w:rPr>
          <w:rFonts w:ascii="Times New Roman" w:eastAsia="Times New Roman" w:hAnsi="Times New Roman" w:cs="Times New Roman"/>
          <w:sz w:val="24"/>
          <w:szCs w:val="24"/>
        </w:rPr>
        <w:t xml:space="preserve"> will be required to summit past performance</w:t>
      </w:r>
      <w:r w:rsidRPr="00CE564C">
        <w:rPr>
          <w:rFonts w:ascii="Times New Roman" w:eastAsia="Times New Roman" w:hAnsi="Times New Roman" w:cs="Times New Roman"/>
          <w:sz w:val="24"/>
          <w:szCs w:val="24"/>
        </w:rPr>
        <w:t xml:space="preserve"> to</w:t>
      </w:r>
      <w:r>
        <w:rPr>
          <w:rFonts w:ascii="Times New Roman" w:eastAsia="Times New Roman" w:hAnsi="Times New Roman" w:cs="Times New Roman"/>
          <w:sz w:val="24"/>
          <w:szCs w:val="24"/>
        </w:rPr>
        <w:t xml:space="preserve"> make a positive risk assessment</w:t>
      </w:r>
      <w:r w:rsidRPr="00CE564C">
        <w:rPr>
          <w:rFonts w:ascii="Times New Roman" w:eastAsia="Times New Roman" w:hAnsi="Times New Roman" w:cs="Times New Roman"/>
          <w:sz w:val="24"/>
          <w:szCs w:val="24"/>
        </w:rPr>
        <w:t>. After award, the recipient (as the Management Entity) is responsible for ensuring the positive risk assessment of collaborating partners/sub recipients/contractors.</w:t>
      </w:r>
      <w:r>
        <w:rPr>
          <w:rFonts w:ascii="Times New Roman" w:eastAsia="Times New Roman" w:hAnsi="Times New Roman" w:cs="Times New Roman"/>
          <w:sz w:val="24"/>
          <w:szCs w:val="24"/>
        </w:rPr>
        <w:t xml:space="preserve"> </w:t>
      </w:r>
      <w:r w:rsidRPr="00CE564C">
        <w:rPr>
          <w:rFonts w:ascii="Times New Roman" w:eastAsia="Times New Roman" w:hAnsi="Times New Roman" w:cs="Times New Roman"/>
          <w:sz w:val="24"/>
          <w:szCs w:val="24"/>
        </w:rPr>
        <w:t>If problems were encountered on any of the listed awards, a short explanation and the description of the corrective action taken may be provided. General information on past performance should not be provided, but any quality awards or certificates that indicate exceptional capacity to implement the proposed project may be described.</w:t>
      </w:r>
      <w:r w:rsidR="00BC1F81">
        <w:rPr>
          <w:rFonts w:ascii="Times New Roman" w:eastAsia="Times New Roman" w:hAnsi="Times New Roman" w:cs="Times New Roman"/>
          <w:sz w:val="24"/>
          <w:szCs w:val="24"/>
        </w:rPr>
        <w:t xml:space="preserve"> </w:t>
      </w:r>
    </w:p>
    <w:p w:rsidR="0096627A" w:rsidRDefault="0096627A" w:rsidP="00E65718">
      <w:pPr>
        <w:rPr>
          <w:rFonts w:ascii="Times New Roman" w:eastAsia="Times New Roman" w:hAnsi="Times New Roman" w:cs="Times New Roman"/>
          <w:b/>
          <w:sz w:val="24"/>
          <w:szCs w:val="24"/>
        </w:rPr>
      </w:pPr>
    </w:p>
    <w:p w:rsidR="00371FA3" w:rsidRDefault="00371FA3" w:rsidP="00371FA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Page 4</w:t>
      </w:r>
      <w:r w:rsidR="00B601C2">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w:t>
      </w:r>
      <w:r w:rsidR="00B601C2">
        <w:rPr>
          <w:rFonts w:ascii="Times New Roman" w:eastAsia="Times New Roman" w:hAnsi="Times New Roman" w:cs="Times New Roman"/>
          <w:b/>
          <w:sz w:val="24"/>
          <w:szCs w:val="24"/>
        </w:rPr>
        <w:t>Relative Importance of Review Criteria and Review Plan</w:t>
      </w:r>
      <w:r>
        <w:rPr>
          <w:rFonts w:ascii="Times New Roman" w:eastAsia="Times New Roman" w:hAnsi="Times New Roman" w:cs="Times New Roman"/>
          <w:b/>
          <w:sz w:val="24"/>
          <w:szCs w:val="24"/>
        </w:rPr>
        <w:t>”</w:t>
      </w:r>
    </w:p>
    <w:p w:rsidR="00CE564C" w:rsidRDefault="00CE564C" w:rsidP="00371FA3">
      <w:pPr>
        <w:rPr>
          <w:rFonts w:ascii="Times New Roman" w:eastAsia="Times New Roman" w:hAnsi="Times New Roman" w:cs="Times New Roman"/>
          <w:b/>
          <w:sz w:val="24"/>
          <w:szCs w:val="24"/>
        </w:rPr>
      </w:pPr>
    </w:p>
    <w:p w:rsidR="00371FA3" w:rsidRDefault="00B601C2" w:rsidP="00371FA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Remove </w:t>
      </w:r>
      <w:r>
        <w:rPr>
          <w:rFonts w:ascii="Times New Roman" w:eastAsia="Times New Roman" w:hAnsi="Times New Roman" w:cs="Times New Roman"/>
          <w:sz w:val="24"/>
          <w:szCs w:val="24"/>
        </w:rPr>
        <w:t xml:space="preserve">the order of importance bullet 5. Past Performance </w:t>
      </w:r>
    </w:p>
    <w:p w:rsidR="00B601C2" w:rsidRDefault="00B601C2" w:rsidP="00371FA3">
      <w:pPr>
        <w:rPr>
          <w:rFonts w:ascii="Times New Roman" w:eastAsia="Times New Roman" w:hAnsi="Times New Roman" w:cs="Times New Roman"/>
          <w:sz w:val="24"/>
          <w:szCs w:val="24"/>
        </w:rPr>
      </w:pPr>
    </w:p>
    <w:p w:rsidR="00B601C2" w:rsidRDefault="00B601C2" w:rsidP="00371FA3">
      <w:pPr>
        <w:rPr>
          <w:rFonts w:ascii="Times New Roman" w:eastAsia="Times New Roman" w:hAnsi="Times New Roman" w:cs="Times New Roman"/>
          <w:sz w:val="24"/>
          <w:szCs w:val="24"/>
        </w:rPr>
      </w:pPr>
      <w:r w:rsidRPr="00B601C2">
        <w:rPr>
          <w:rFonts w:ascii="Times New Roman" w:eastAsia="Times New Roman" w:hAnsi="Times New Roman" w:cs="Times New Roman"/>
          <w:b/>
          <w:sz w:val="24"/>
          <w:szCs w:val="24"/>
        </w:rPr>
        <w:t xml:space="preserve">Remove/ Insert </w:t>
      </w:r>
      <w:r w:rsidRPr="00B601C2">
        <w:rPr>
          <w:rFonts w:ascii="Times New Roman" w:eastAsia="Times New Roman" w:hAnsi="Times New Roman" w:cs="Times New Roman"/>
          <w:sz w:val="24"/>
          <w:szCs w:val="24"/>
        </w:rPr>
        <w:t>the table to illustrate the below:</w:t>
      </w:r>
    </w:p>
    <w:p w:rsidR="00CE564C" w:rsidRDefault="00CE564C" w:rsidP="00371FA3">
      <w:pPr>
        <w:rPr>
          <w:rFonts w:ascii="Times New Roman" w:eastAsia="Times New Roman" w:hAnsi="Times New Roman" w:cs="Times New Roman"/>
          <w:sz w:val="24"/>
          <w:szCs w:val="24"/>
        </w:rPr>
      </w:pPr>
    </w:p>
    <w:p w:rsidR="00EB34A0" w:rsidRDefault="00EB34A0" w:rsidP="00371FA3">
      <w:pPr>
        <w:rPr>
          <w:rFonts w:ascii="Times New Roman" w:eastAsia="Times New Roman" w:hAnsi="Times New Roman" w:cs="Times New Roman"/>
          <w:sz w:val="24"/>
          <w:szCs w:val="24"/>
        </w:rPr>
      </w:pPr>
    </w:p>
    <w:tbl>
      <w:tblPr>
        <w:tblW w:w="6495" w:type="dxa"/>
        <w:tblInd w:w="1440" w:type="dxa"/>
        <w:tblLook w:val="04A0" w:firstRow="1" w:lastRow="0" w:firstColumn="1" w:lastColumn="0" w:noHBand="0" w:noVBand="1"/>
      </w:tblPr>
      <w:tblGrid>
        <w:gridCol w:w="4600"/>
        <w:gridCol w:w="1895"/>
      </w:tblGrid>
      <w:tr w:rsidR="00EB34A0" w:rsidRPr="00EB34A0" w:rsidTr="00B601B2">
        <w:trPr>
          <w:trHeight w:val="900"/>
        </w:trPr>
        <w:tc>
          <w:tcPr>
            <w:tcW w:w="460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EB34A0" w:rsidRPr="00EB34A0" w:rsidRDefault="00EB34A0" w:rsidP="00EB34A0">
            <w:pPr>
              <w:spacing w:line="240" w:lineRule="auto"/>
              <w:rPr>
                <w:rFonts w:ascii="Times New Roman" w:eastAsia="Times New Roman" w:hAnsi="Times New Roman" w:cs="Times New Roman"/>
                <w:b/>
                <w:bCs/>
                <w:sz w:val="24"/>
                <w:szCs w:val="24"/>
              </w:rPr>
            </w:pPr>
            <w:r w:rsidRPr="00EB34A0">
              <w:rPr>
                <w:rFonts w:ascii="Times New Roman" w:eastAsia="Times New Roman" w:hAnsi="Times New Roman" w:cs="Times New Roman"/>
                <w:b/>
                <w:bCs/>
                <w:sz w:val="24"/>
                <w:szCs w:val="24"/>
              </w:rPr>
              <w:lastRenderedPageBreak/>
              <w:t>Application Criteria</w:t>
            </w:r>
          </w:p>
        </w:tc>
        <w:tc>
          <w:tcPr>
            <w:tcW w:w="1895" w:type="dxa"/>
            <w:tcBorders>
              <w:top w:val="single" w:sz="4" w:space="0" w:color="auto"/>
              <w:left w:val="nil"/>
              <w:bottom w:val="single" w:sz="4" w:space="0" w:color="auto"/>
              <w:right w:val="single" w:sz="4" w:space="0" w:color="auto"/>
            </w:tcBorders>
            <w:shd w:val="clear" w:color="000000" w:fill="A6A6A6"/>
            <w:vAlign w:val="center"/>
            <w:hideMark/>
          </w:tcPr>
          <w:p w:rsidR="00EB34A0" w:rsidRPr="00EB34A0" w:rsidRDefault="00EB34A0" w:rsidP="00EB34A0">
            <w:pPr>
              <w:spacing w:line="240" w:lineRule="auto"/>
              <w:jc w:val="center"/>
              <w:rPr>
                <w:rFonts w:ascii="Times New Roman" w:eastAsia="Times New Roman" w:hAnsi="Times New Roman" w:cs="Times New Roman"/>
                <w:b/>
                <w:bCs/>
                <w:sz w:val="24"/>
                <w:szCs w:val="24"/>
              </w:rPr>
            </w:pPr>
            <w:r w:rsidRPr="00EB34A0">
              <w:rPr>
                <w:rFonts w:ascii="Times New Roman" w:eastAsia="Times New Roman" w:hAnsi="Times New Roman" w:cs="Times New Roman"/>
                <w:b/>
                <w:bCs/>
                <w:sz w:val="24"/>
                <w:szCs w:val="24"/>
              </w:rPr>
              <w:t>Relative Weight (in %)</w:t>
            </w:r>
          </w:p>
        </w:tc>
      </w:tr>
      <w:tr w:rsidR="00EB34A0" w:rsidRPr="00EB34A0" w:rsidTr="00B601B2">
        <w:trPr>
          <w:trHeight w:val="315"/>
        </w:trPr>
        <w:tc>
          <w:tcPr>
            <w:tcW w:w="4600" w:type="dxa"/>
            <w:tcBorders>
              <w:top w:val="nil"/>
              <w:left w:val="single" w:sz="4" w:space="0" w:color="auto"/>
              <w:bottom w:val="single" w:sz="4" w:space="0" w:color="auto"/>
              <w:right w:val="single" w:sz="4" w:space="0" w:color="auto"/>
            </w:tcBorders>
            <w:shd w:val="clear" w:color="000000" w:fill="D9D9D9"/>
            <w:noWrap/>
            <w:vAlign w:val="center"/>
            <w:hideMark/>
          </w:tcPr>
          <w:p w:rsidR="00EB34A0" w:rsidRPr="00EB34A0" w:rsidRDefault="00EB34A0" w:rsidP="00EB34A0">
            <w:pPr>
              <w:spacing w:line="240" w:lineRule="auto"/>
              <w:jc w:val="both"/>
              <w:rPr>
                <w:rFonts w:ascii="Times New Roman" w:eastAsia="Times New Roman" w:hAnsi="Times New Roman" w:cs="Times New Roman"/>
                <w:sz w:val="24"/>
                <w:szCs w:val="24"/>
              </w:rPr>
            </w:pPr>
            <w:r w:rsidRPr="00EB34A0">
              <w:rPr>
                <w:rFonts w:ascii="Times New Roman" w:eastAsia="Times New Roman" w:hAnsi="Times New Roman" w:cs="Times New Roman"/>
                <w:sz w:val="24"/>
                <w:szCs w:val="24"/>
              </w:rPr>
              <w:t>Technical Approach</w:t>
            </w:r>
          </w:p>
        </w:tc>
        <w:tc>
          <w:tcPr>
            <w:tcW w:w="1895" w:type="dxa"/>
            <w:tcBorders>
              <w:top w:val="single" w:sz="4" w:space="0" w:color="auto"/>
              <w:left w:val="nil"/>
              <w:bottom w:val="single" w:sz="4" w:space="0" w:color="auto"/>
              <w:right w:val="single" w:sz="4" w:space="0" w:color="000000"/>
            </w:tcBorders>
            <w:shd w:val="clear" w:color="000000" w:fill="D9D9D9"/>
            <w:noWrap/>
            <w:vAlign w:val="bottom"/>
            <w:hideMark/>
          </w:tcPr>
          <w:p w:rsidR="00EB34A0" w:rsidRPr="00EB34A0" w:rsidRDefault="00EB34A0" w:rsidP="00EB34A0">
            <w:pPr>
              <w:spacing w:line="240" w:lineRule="auto"/>
              <w:jc w:val="center"/>
              <w:rPr>
                <w:rFonts w:ascii="Times New Roman" w:eastAsia="Times New Roman" w:hAnsi="Times New Roman" w:cs="Times New Roman"/>
                <w:sz w:val="24"/>
                <w:szCs w:val="24"/>
              </w:rPr>
            </w:pPr>
            <w:r w:rsidRPr="00EB34A0">
              <w:rPr>
                <w:rFonts w:ascii="Times New Roman" w:eastAsia="Times New Roman" w:hAnsi="Times New Roman" w:cs="Times New Roman"/>
                <w:sz w:val="24"/>
                <w:szCs w:val="24"/>
              </w:rPr>
              <w:t>43</w:t>
            </w:r>
          </w:p>
        </w:tc>
      </w:tr>
      <w:tr w:rsidR="00EB34A0" w:rsidRPr="00EB34A0" w:rsidTr="00B601B2">
        <w:trPr>
          <w:trHeight w:val="315"/>
        </w:trPr>
        <w:tc>
          <w:tcPr>
            <w:tcW w:w="4600" w:type="dxa"/>
            <w:tcBorders>
              <w:top w:val="nil"/>
              <w:left w:val="single" w:sz="4" w:space="0" w:color="auto"/>
              <w:bottom w:val="single" w:sz="4" w:space="0" w:color="auto"/>
              <w:right w:val="single" w:sz="4" w:space="0" w:color="auto"/>
            </w:tcBorders>
            <w:shd w:val="clear" w:color="000000" w:fill="D9D9D9"/>
            <w:noWrap/>
            <w:vAlign w:val="center"/>
            <w:hideMark/>
          </w:tcPr>
          <w:p w:rsidR="00EB34A0" w:rsidRPr="00EB34A0" w:rsidRDefault="00EB34A0" w:rsidP="00EB34A0">
            <w:pPr>
              <w:spacing w:line="240" w:lineRule="auto"/>
              <w:jc w:val="both"/>
              <w:rPr>
                <w:rFonts w:ascii="Times New Roman" w:eastAsia="Times New Roman" w:hAnsi="Times New Roman" w:cs="Times New Roman"/>
                <w:sz w:val="24"/>
                <w:szCs w:val="24"/>
              </w:rPr>
            </w:pPr>
            <w:r w:rsidRPr="00EB34A0">
              <w:rPr>
                <w:rFonts w:ascii="Times New Roman" w:eastAsia="Times New Roman" w:hAnsi="Times New Roman" w:cs="Times New Roman"/>
                <w:sz w:val="24"/>
                <w:szCs w:val="24"/>
              </w:rPr>
              <w:t>Monitoring and Evaluation</w:t>
            </w:r>
          </w:p>
        </w:tc>
        <w:tc>
          <w:tcPr>
            <w:tcW w:w="1895" w:type="dxa"/>
            <w:tcBorders>
              <w:top w:val="single" w:sz="4" w:space="0" w:color="auto"/>
              <w:left w:val="nil"/>
              <w:bottom w:val="single" w:sz="4" w:space="0" w:color="auto"/>
              <w:right w:val="single" w:sz="4" w:space="0" w:color="000000"/>
            </w:tcBorders>
            <w:shd w:val="clear" w:color="000000" w:fill="D9D9D9"/>
            <w:noWrap/>
            <w:vAlign w:val="bottom"/>
            <w:hideMark/>
          </w:tcPr>
          <w:p w:rsidR="00EB34A0" w:rsidRPr="00EB34A0" w:rsidRDefault="00EB34A0" w:rsidP="00EB34A0">
            <w:pPr>
              <w:spacing w:line="240" w:lineRule="auto"/>
              <w:jc w:val="center"/>
              <w:rPr>
                <w:rFonts w:ascii="Times New Roman" w:eastAsia="Times New Roman" w:hAnsi="Times New Roman" w:cs="Times New Roman"/>
                <w:sz w:val="24"/>
                <w:szCs w:val="24"/>
              </w:rPr>
            </w:pPr>
            <w:r w:rsidRPr="00EB34A0">
              <w:rPr>
                <w:rFonts w:ascii="Times New Roman" w:eastAsia="Times New Roman" w:hAnsi="Times New Roman" w:cs="Times New Roman"/>
                <w:sz w:val="24"/>
                <w:szCs w:val="24"/>
              </w:rPr>
              <w:t>23</w:t>
            </w:r>
          </w:p>
        </w:tc>
      </w:tr>
      <w:tr w:rsidR="00EB34A0" w:rsidRPr="00EB34A0" w:rsidTr="00B601B2">
        <w:trPr>
          <w:trHeight w:val="315"/>
        </w:trPr>
        <w:tc>
          <w:tcPr>
            <w:tcW w:w="4600" w:type="dxa"/>
            <w:tcBorders>
              <w:top w:val="nil"/>
              <w:left w:val="single" w:sz="4" w:space="0" w:color="auto"/>
              <w:bottom w:val="single" w:sz="4" w:space="0" w:color="auto"/>
              <w:right w:val="single" w:sz="4" w:space="0" w:color="auto"/>
            </w:tcBorders>
            <w:shd w:val="clear" w:color="000000" w:fill="D9D9D9"/>
            <w:noWrap/>
            <w:vAlign w:val="center"/>
            <w:hideMark/>
          </w:tcPr>
          <w:p w:rsidR="00EB34A0" w:rsidRPr="00EB34A0" w:rsidRDefault="00EB34A0" w:rsidP="00EB34A0">
            <w:pPr>
              <w:spacing w:line="240" w:lineRule="auto"/>
              <w:jc w:val="both"/>
              <w:rPr>
                <w:rFonts w:ascii="Times New Roman" w:eastAsia="Times New Roman" w:hAnsi="Times New Roman" w:cs="Times New Roman"/>
                <w:sz w:val="24"/>
                <w:szCs w:val="24"/>
              </w:rPr>
            </w:pPr>
            <w:r w:rsidRPr="00EB34A0">
              <w:rPr>
                <w:rFonts w:ascii="Times New Roman" w:eastAsia="Times New Roman" w:hAnsi="Times New Roman" w:cs="Times New Roman"/>
                <w:sz w:val="24"/>
                <w:szCs w:val="24"/>
              </w:rPr>
              <w:t>Management and Institutional Capacity</w:t>
            </w:r>
          </w:p>
        </w:tc>
        <w:tc>
          <w:tcPr>
            <w:tcW w:w="1895" w:type="dxa"/>
            <w:tcBorders>
              <w:top w:val="single" w:sz="4" w:space="0" w:color="auto"/>
              <w:left w:val="nil"/>
              <w:bottom w:val="single" w:sz="4" w:space="0" w:color="auto"/>
              <w:right w:val="single" w:sz="4" w:space="0" w:color="000000"/>
            </w:tcBorders>
            <w:shd w:val="clear" w:color="000000" w:fill="D9D9D9"/>
            <w:noWrap/>
            <w:vAlign w:val="bottom"/>
            <w:hideMark/>
          </w:tcPr>
          <w:p w:rsidR="00EB34A0" w:rsidRPr="00EB34A0" w:rsidRDefault="00EB34A0" w:rsidP="00EB34A0">
            <w:pPr>
              <w:spacing w:line="240" w:lineRule="auto"/>
              <w:jc w:val="center"/>
              <w:rPr>
                <w:rFonts w:ascii="Times New Roman" w:eastAsia="Times New Roman" w:hAnsi="Times New Roman" w:cs="Times New Roman"/>
                <w:sz w:val="24"/>
                <w:szCs w:val="24"/>
              </w:rPr>
            </w:pPr>
            <w:r w:rsidRPr="00EB34A0">
              <w:rPr>
                <w:rFonts w:ascii="Times New Roman" w:eastAsia="Times New Roman" w:hAnsi="Times New Roman" w:cs="Times New Roman"/>
                <w:sz w:val="24"/>
                <w:szCs w:val="24"/>
              </w:rPr>
              <w:t>17</w:t>
            </w:r>
          </w:p>
        </w:tc>
      </w:tr>
      <w:tr w:rsidR="00EB34A0" w:rsidRPr="00EB34A0" w:rsidTr="00B601B2">
        <w:trPr>
          <w:trHeight w:val="315"/>
        </w:trPr>
        <w:tc>
          <w:tcPr>
            <w:tcW w:w="4600" w:type="dxa"/>
            <w:tcBorders>
              <w:top w:val="nil"/>
              <w:left w:val="single" w:sz="4" w:space="0" w:color="auto"/>
              <w:bottom w:val="single" w:sz="4" w:space="0" w:color="auto"/>
              <w:right w:val="single" w:sz="4" w:space="0" w:color="auto"/>
            </w:tcBorders>
            <w:shd w:val="clear" w:color="000000" w:fill="D9D9D9"/>
            <w:noWrap/>
            <w:vAlign w:val="center"/>
            <w:hideMark/>
          </w:tcPr>
          <w:p w:rsidR="00EB34A0" w:rsidRPr="00EB34A0" w:rsidRDefault="00EB34A0" w:rsidP="00EB34A0">
            <w:pPr>
              <w:spacing w:line="240" w:lineRule="auto"/>
              <w:jc w:val="both"/>
              <w:rPr>
                <w:rFonts w:ascii="Times New Roman" w:eastAsia="Times New Roman" w:hAnsi="Times New Roman" w:cs="Times New Roman"/>
                <w:sz w:val="24"/>
                <w:szCs w:val="24"/>
              </w:rPr>
            </w:pPr>
            <w:r w:rsidRPr="00EB34A0">
              <w:rPr>
                <w:rFonts w:ascii="Times New Roman" w:eastAsia="Times New Roman" w:hAnsi="Times New Roman" w:cs="Times New Roman"/>
                <w:sz w:val="24"/>
                <w:szCs w:val="24"/>
              </w:rPr>
              <w:t>Key Personnel and staffing</w:t>
            </w:r>
          </w:p>
        </w:tc>
        <w:tc>
          <w:tcPr>
            <w:tcW w:w="1895" w:type="dxa"/>
            <w:tcBorders>
              <w:top w:val="single" w:sz="4" w:space="0" w:color="auto"/>
              <w:left w:val="nil"/>
              <w:bottom w:val="single" w:sz="4" w:space="0" w:color="auto"/>
              <w:right w:val="single" w:sz="4" w:space="0" w:color="000000"/>
            </w:tcBorders>
            <w:shd w:val="clear" w:color="000000" w:fill="D9D9D9"/>
            <w:noWrap/>
            <w:vAlign w:val="bottom"/>
            <w:hideMark/>
          </w:tcPr>
          <w:p w:rsidR="00EB34A0" w:rsidRPr="00EB34A0" w:rsidRDefault="00EB34A0" w:rsidP="00EB34A0">
            <w:pPr>
              <w:spacing w:line="240" w:lineRule="auto"/>
              <w:jc w:val="center"/>
              <w:rPr>
                <w:rFonts w:ascii="Times New Roman" w:eastAsia="Times New Roman" w:hAnsi="Times New Roman" w:cs="Times New Roman"/>
                <w:sz w:val="24"/>
                <w:szCs w:val="24"/>
              </w:rPr>
            </w:pPr>
            <w:r w:rsidRPr="00EB34A0">
              <w:rPr>
                <w:rFonts w:ascii="Times New Roman" w:eastAsia="Times New Roman" w:hAnsi="Times New Roman" w:cs="Times New Roman"/>
                <w:sz w:val="24"/>
                <w:szCs w:val="24"/>
              </w:rPr>
              <w:t>17</w:t>
            </w:r>
          </w:p>
        </w:tc>
      </w:tr>
    </w:tbl>
    <w:p w:rsidR="00EB34A0" w:rsidRPr="00B601C2" w:rsidRDefault="00EB34A0" w:rsidP="00371FA3">
      <w:pPr>
        <w:rPr>
          <w:rFonts w:ascii="Times New Roman" w:eastAsia="Times New Roman" w:hAnsi="Times New Roman" w:cs="Times New Roman"/>
          <w:sz w:val="24"/>
          <w:szCs w:val="24"/>
        </w:rPr>
      </w:pPr>
    </w:p>
    <w:p w:rsidR="00B601B2" w:rsidRDefault="00B601B2" w:rsidP="00B601B2">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Remove </w:t>
      </w:r>
      <w:r w:rsidR="0096627A">
        <w:rPr>
          <w:rFonts w:ascii="Times New Roman" w:eastAsia="Times New Roman" w:hAnsi="Times New Roman" w:cs="Times New Roman"/>
          <w:sz w:val="24"/>
          <w:szCs w:val="24"/>
        </w:rPr>
        <w:t xml:space="preserve">all past performance discussions under the “A. Adjectival Rating Methodology” in both the narrative and tables. </w:t>
      </w:r>
      <w:r>
        <w:rPr>
          <w:rFonts w:ascii="Times New Roman" w:eastAsia="Times New Roman" w:hAnsi="Times New Roman" w:cs="Times New Roman"/>
          <w:sz w:val="24"/>
          <w:szCs w:val="24"/>
        </w:rPr>
        <w:t xml:space="preserve"> </w:t>
      </w:r>
    </w:p>
    <w:p w:rsidR="0096627A" w:rsidRDefault="0096627A" w:rsidP="00B601B2">
      <w:pPr>
        <w:rPr>
          <w:rFonts w:ascii="Times New Roman" w:eastAsia="Times New Roman" w:hAnsi="Times New Roman" w:cs="Times New Roman"/>
          <w:sz w:val="24"/>
          <w:szCs w:val="24"/>
        </w:rPr>
      </w:pPr>
    </w:p>
    <w:p w:rsidR="0096627A" w:rsidRDefault="0096627A" w:rsidP="00B601B2">
      <w:pPr>
        <w:rPr>
          <w:rFonts w:ascii="Times New Roman" w:eastAsia="Times New Roman" w:hAnsi="Times New Roman" w:cs="Times New Roman"/>
          <w:b/>
          <w:sz w:val="24"/>
          <w:szCs w:val="24"/>
        </w:rPr>
      </w:pPr>
      <w:r w:rsidRPr="0096627A">
        <w:rPr>
          <w:rFonts w:ascii="Times New Roman" w:eastAsia="Times New Roman" w:hAnsi="Times New Roman" w:cs="Times New Roman"/>
          <w:b/>
          <w:sz w:val="24"/>
          <w:szCs w:val="24"/>
        </w:rPr>
        <w:t>Page 47. “B5. Past Performance”</w:t>
      </w:r>
    </w:p>
    <w:p w:rsidR="00BC1F81" w:rsidRDefault="00BC1F81" w:rsidP="00B601B2">
      <w:pPr>
        <w:rPr>
          <w:rFonts w:ascii="Times New Roman" w:eastAsia="Times New Roman" w:hAnsi="Times New Roman" w:cs="Times New Roman"/>
          <w:sz w:val="24"/>
          <w:szCs w:val="24"/>
        </w:rPr>
      </w:pPr>
    </w:p>
    <w:p w:rsidR="005334C7" w:rsidRDefault="0096627A" w:rsidP="005334C7">
      <w:pPr>
        <w:rPr>
          <w:rFonts w:ascii="Times New Roman" w:eastAsia="Times New Roman" w:hAnsi="Times New Roman" w:cs="Times New Roman"/>
          <w:b/>
          <w:sz w:val="24"/>
          <w:szCs w:val="24"/>
        </w:rPr>
      </w:pPr>
      <w:r w:rsidRPr="0096627A">
        <w:rPr>
          <w:rFonts w:ascii="Times New Roman" w:eastAsia="Times New Roman" w:hAnsi="Times New Roman" w:cs="Times New Roman"/>
          <w:b/>
          <w:sz w:val="24"/>
          <w:szCs w:val="24"/>
        </w:rPr>
        <w:t xml:space="preserve">Remove </w:t>
      </w:r>
      <w:r>
        <w:rPr>
          <w:rFonts w:ascii="Times New Roman" w:eastAsia="Times New Roman" w:hAnsi="Times New Roman" w:cs="Times New Roman"/>
          <w:sz w:val="24"/>
          <w:szCs w:val="24"/>
        </w:rPr>
        <w:t>entire section from the review criteria discussions about past performance.</w:t>
      </w:r>
      <w:r w:rsidR="00CE564C">
        <w:rPr>
          <w:rFonts w:ascii="Times New Roman" w:eastAsia="Times New Roman" w:hAnsi="Times New Roman" w:cs="Times New Roman"/>
          <w:sz w:val="24"/>
          <w:szCs w:val="24"/>
        </w:rPr>
        <w:br/>
      </w:r>
      <w:r w:rsidR="00CE564C">
        <w:rPr>
          <w:rFonts w:ascii="Times New Roman" w:eastAsia="Times New Roman" w:hAnsi="Times New Roman" w:cs="Times New Roman"/>
          <w:sz w:val="24"/>
          <w:szCs w:val="24"/>
        </w:rPr>
        <w:br/>
      </w:r>
      <w:r w:rsidR="00CE564C">
        <w:rPr>
          <w:rFonts w:ascii="Times New Roman" w:eastAsia="Times New Roman" w:hAnsi="Times New Roman" w:cs="Times New Roman"/>
          <w:sz w:val="24"/>
          <w:szCs w:val="24"/>
        </w:rPr>
        <w:br/>
      </w:r>
    </w:p>
    <w:p w:rsidR="005334C7" w:rsidRPr="005334C7" w:rsidRDefault="00B601C2" w:rsidP="005334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[End of Amendment No.: 02</w:t>
      </w:r>
      <w:r w:rsidR="005334C7">
        <w:rPr>
          <w:rFonts w:ascii="Times New Roman" w:eastAsia="Times New Roman" w:hAnsi="Times New Roman" w:cs="Times New Roman"/>
          <w:b/>
          <w:sz w:val="24"/>
          <w:szCs w:val="24"/>
        </w:rPr>
        <w:t>]</w:t>
      </w:r>
    </w:p>
    <w:sectPr w:rsidR="005334C7" w:rsidRPr="005334C7">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84C" w:rsidRDefault="0068484C" w:rsidP="001C2C19">
      <w:pPr>
        <w:spacing w:line="240" w:lineRule="auto"/>
      </w:pPr>
      <w:r>
        <w:separator/>
      </w:r>
    </w:p>
  </w:endnote>
  <w:endnote w:type="continuationSeparator" w:id="0">
    <w:p w:rsidR="0068484C" w:rsidRDefault="0068484C" w:rsidP="001C2C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373664"/>
      <w:docPartObj>
        <w:docPartGallery w:val="Page Numbers (Bottom of Page)"/>
        <w:docPartUnique/>
      </w:docPartObj>
    </w:sdtPr>
    <w:sdtEndPr/>
    <w:sdtContent>
      <w:sdt>
        <w:sdtPr>
          <w:id w:val="860082579"/>
          <w:docPartObj>
            <w:docPartGallery w:val="Page Numbers (Top of Page)"/>
            <w:docPartUnique/>
          </w:docPartObj>
        </w:sdtPr>
        <w:sdtEndPr/>
        <w:sdtContent>
          <w:p w:rsidR="00EE5A7D" w:rsidRDefault="00EE5A7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1F8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1F81">
              <w:rPr>
                <w:b/>
                <w:bCs/>
                <w:noProof/>
              </w:rPr>
              <w:t>2</w:t>
            </w:r>
            <w:r>
              <w:rPr>
                <w:b/>
                <w:bCs/>
                <w:sz w:val="24"/>
                <w:szCs w:val="24"/>
              </w:rPr>
              <w:fldChar w:fldCharType="end"/>
            </w:r>
          </w:p>
        </w:sdtContent>
      </w:sdt>
    </w:sdtContent>
  </w:sdt>
  <w:p w:rsidR="001C2C19" w:rsidRDefault="001C2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84C" w:rsidRDefault="0068484C" w:rsidP="001C2C19">
      <w:pPr>
        <w:spacing w:line="240" w:lineRule="auto"/>
      </w:pPr>
      <w:r>
        <w:separator/>
      </w:r>
    </w:p>
  </w:footnote>
  <w:footnote w:type="continuationSeparator" w:id="0">
    <w:p w:rsidR="0068484C" w:rsidRDefault="0068484C" w:rsidP="001C2C1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D02" w:rsidRPr="00710D02" w:rsidRDefault="00710D02" w:rsidP="00710D02">
    <w:pPr>
      <w:pStyle w:val="Header"/>
      <w:jc w:val="right"/>
      <w:rPr>
        <w:rFonts w:ascii="Times New Roman" w:hAnsi="Times New Roman" w:cs="Times New Roman"/>
        <w:sz w:val="24"/>
        <w:szCs w:val="24"/>
      </w:rPr>
    </w:pPr>
    <w:r w:rsidRPr="00710D02">
      <w:rPr>
        <w:rFonts w:ascii="Times New Roman" w:hAnsi="Times New Roman" w:cs="Times New Roman"/>
        <w:sz w:val="24"/>
        <w:szCs w:val="24"/>
      </w:rPr>
      <w:ptab w:relativeTo="margin" w:alignment="center" w:leader="none"/>
    </w:r>
    <w:r w:rsidRPr="00710D02">
      <w:rPr>
        <w:rFonts w:ascii="Times New Roman" w:hAnsi="Times New Roman" w:cs="Times New Roman"/>
        <w:sz w:val="24"/>
        <w:szCs w:val="24"/>
      </w:rPr>
      <w:ptab w:relativeTo="margin" w:alignment="right" w:leader="none"/>
    </w:r>
    <w:r w:rsidRPr="00710D02">
      <w:rPr>
        <w:rFonts w:ascii="Times New Roman" w:hAnsi="Times New Roman" w:cs="Times New Roman"/>
        <w:sz w:val="24"/>
        <w:szCs w:val="24"/>
      </w:rPr>
      <w:t>Human Resource for Health (HRH) Program</w:t>
    </w:r>
  </w:p>
  <w:p w:rsidR="00710D02" w:rsidRPr="00710D02" w:rsidRDefault="00710D02" w:rsidP="00710D02">
    <w:pPr>
      <w:pStyle w:val="Header"/>
      <w:jc w:val="right"/>
      <w:rPr>
        <w:rFonts w:ascii="Times New Roman" w:hAnsi="Times New Roman" w:cs="Times New Roman"/>
        <w:sz w:val="24"/>
        <w:szCs w:val="24"/>
      </w:rPr>
    </w:pPr>
    <w:r w:rsidRPr="00710D02">
      <w:rPr>
        <w:rFonts w:ascii="Times New Roman" w:hAnsi="Times New Roman" w:cs="Times New Roman"/>
        <w:sz w:val="24"/>
        <w:szCs w:val="24"/>
      </w:rPr>
      <w:t>RFA-OAA-15-000021</w:t>
    </w:r>
  </w:p>
  <w:p w:rsidR="00710D02" w:rsidRPr="00710D02" w:rsidRDefault="00710D02" w:rsidP="00710D02">
    <w:pPr>
      <w:pStyle w:val="Header"/>
      <w:jc w:val="right"/>
      <w:rPr>
        <w:rFonts w:ascii="Times New Roman" w:hAnsi="Times New Roman" w:cs="Times New Roman"/>
        <w:sz w:val="24"/>
        <w:szCs w:val="24"/>
      </w:rPr>
    </w:pPr>
    <w:r w:rsidRPr="00710D02">
      <w:rPr>
        <w:rFonts w:ascii="Times New Roman" w:hAnsi="Times New Roman" w:cs="Times New Roman"/>
        <w:sz w:val="24"/>
        <w:szCs w:val="24"/>
      </w:rPr>
      <w:t xml:space="preserve">Amendment No.: </w:t>
    </w:r>
    <w:r w:rsidR="00B601C2">
      <w:rPr>
        <w:rFonts w:ascii="Times New Roman" w:hAnsi="Times New Roman" w:cs="Times New Roman"/>
        <w:sz w:val="24"/>
        <w:szCs w:val="24"/>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9DC"/>
    <w:multiLevelType w:val="hybridMultilevel"/>
    <w:tmpl w:val="A6F45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427D8B"/>
    <w:multiLevelType w:val="hybridMultilevel"/>
    <w:tmpl w:val="587C138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8663391"/>
    <w:multiLevelType w:val="hybridMultilevel"/>
    <w:tmpl w:val="18F0F96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3104736"/>
    <w:multiLevelType w:val="multilevel"/>
    <w:tmpl w:val="43BABD20"/>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abstractNum w:abstractNumId="4">
    <w:nsid w:val="277B584C"/>
    <w:multiLevelType w:val="hybridMultilevel"/>
    <w:tmpl w:val="98C42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43A52BB"/>
    <w:multiLevelType w:val="hybridMultilevel"/>
    <w:tmpl w:val="492229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FBE0CB9"/>
    <w:multiLevelType w:val="multilevel"/>
    <w:tmpl w:val="96CCA066"/>
    <w:lvl w:ilvl="0">
      <w:start w:val="1"/>
      <w:numFmt w:val="decimal"/>
      <w:lvlText w:val="%1."/>
      <w:lvlJc w:val="left"/>
      <w:pPr>
        <w:ind w:left="720" w:firstLine="360"/>
      </w:pPr>
      <w:rPr>
        <w:b/>
      </w:rPr>
    </w:lvl>
    <w:lvl w:ilvl="1">
      <w:start w:val="1"/>
      <w:numFmt w:val="bullet"/>
      <w:lvlText w:val="○"/>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7">
    <w:nsid w:val="43500542"/>
    <w:multiLevelType w:val="multilevel"/>
    <w:tmpl w:val="B57A92EC"/>
    <w:lvl w:ilvl="0">
      <w:start w:val="1"/>
      <w:numFmt w:val="bullet"/>
      <w:lvlText w:val="●"/>
      <w:lvlJc w:val="left"/>
      <w:pPr>
        <w:ind w:left="2160" w:firstLine="1800"/>
      </w:pPr>
    </w:lvl>
    <w:lvl w:ilvl="1">
      <w:start w:val="1"/>
      <w:numFmt w:val="bullet"/>
      <w:lvlText w:val="○"/>
      <w:lvlJc w:val="left"/>
      <w:pPr>
        <w:ind w:left="2880" w:firstLine="2520"/>
      </w:pPr>
    </w:lvl>
    <w:lvl w:ilvl="2">
      <w:start w:val="1"/>
      <w:numFmt w:val="bullet"/>
      <w:lvlText w:val="■"/>
      <w:lvlJc w:val="left"/>
      <w:pPr>
        <w:ind w:left="3600" w:firstLine="3240"/>
      </w:pPr>
    </w:lvl>
    <w:lvl w:ilvl="3">
      <w:start w:val="1"/>
      <w:numFmt w:val="bullet"/>
      <w:lvlText w:val="●"/>
      <w:lvlJc w:val="left"/>
      <w:pPr>
        <w:ind w:left="4320" w:firstLine="3960"/>
      </w:pPr>
    </w:lvl>
    <w:lvl w:ilvl="4">
      <w:start w:val="1"/>
      <w:numFmt w:val="bullet"/>
      <w:lvlText w:val="○"/>
      <w:lvlJc w:val="left"/>
      <w:pPr>
        <w:ind w:left="5040" w:firstLine="4680"/>
      </w:pPr>
    </w:lvl>
    <w:lvl w:ilvl="5">
      <w:start w:val="1"/>
      <w:numFmt w:val="bullet"/>
      <w:lvlText w:val="■"/>
      <w:lvlJc w:val="left"/>
      <w:pPr>
        <w:ind w:left="5760" w:firstLine="5400"/>
      </w:pPr>
    </w:lvl>
    <w:lvl w:ilvl="6">
      <w:start w:val="1"/>
      <w:numFmt w:val="bullet"/>
      <w:lvlText w:val="●"/>
      <w:lvlJc w:val="left"/>
      <w:pPr>
        <w:ind w:left="6480" w:firstLine="6120"/>
      </w:pPr>
    </w:lvl>
    <w:lvl w:ilvl="7">
      <w:start w:val="1"/>
      <w:numFmt w:val="bullet"/>
      <w:lvlText w:val="○"/>
      <w:lvlJc w:val="left"/>
      <w:pPr>
        <w:ind w:left="7200" w:firstLine="6840"/>
      </w:pPr>
    </w:lvl>
    <w:lvl w:ilvl="8">
      <w:start w:val="1"/>
      <w:numFmt w:val="bullet"/>
      <w:lvlText w:val="■"/>
      <w:lvlJc w:val="left"/>
      <w:pPr>
        <w:ind w:left="7920" w:firstLine="7560"/>
      </w:pPr>
    </w:lvl>
  </w:abstractNum>
  <w:abstractNum w:abstractNumId="8">
    <w:nsid w:val="4A5C7814"/>
    <w:multiLevelType w:val="multilevel"/>
    <w:tmpl w:val="B3229364"/>
    <w:lvl w:ilvl="0">
      <w:start w:val="1"/>
      <w:numFmt w:val="bullet"/>
      <w:lvlText w:val="●"/>
      <w:lvlJc w:val="left"/>
      <w:pPr>
        <w:ind w:left="1440" w:firstLine="1080"/>
      </w:pPr>
    </w:lvl>
    <w:lvl w:ilvl="1">
      <w:start w:val="1"/>
      <w:numFmt w:val="bullet"/>
      <w:lvlText w:val="○"/>
      <w:lvlJc w:val="left"/>
      <w:pPr>
        <w:ind w:left="2160" w:firstLine="1800"/>
      </w:pPr>
    </w:lvl>
    <w:lvl w:ilvl="2">
      <w:start w:val="1"/>
      <w:numFmt w:val="bullet"/>
      <w:lvlText w:val="■"/>
      <w:lvlJc w:val="left"/>
      <w:pPr>
        <w:ind w:left="2880" w:firstLine="2520"/>
      </w:pPr>
    </w:lvl>
    <w:lvl w:ilvl="3">
      <w:start w:val="1"/>
      <w:numFmt w:val="bullet"/>
      <w:lvlText w:val="●"/>
      <w:lvlJc w:val="left"/>
      <w:pPr>
        <w:ind w:left="3600" w:firstLine="3240"/>
      </w:pPr>
    </w:lvl>
    <w:lvl w:ilvl="4">
      <w:start w:val="1"/>
      <w:numFmt w:val="bullet"/>
      <w:lvlText w:val="○"/>
      <w:lvlJc w:val="left"/>
      <w:pPr>
        <w:ind w:left="4320" w:firstLine="3960"/>
      </w:pPr>
    </w:lvl>
    <w:lvl w:ilvl="5">
      <w:start w:val="1"/>
      <w:numFmt w:val="bullet"/>
      <w:lvlText w:val="■"/>
      <w:lvlJc w:val="left"/>
      <w:pPr>
        <w:ind w:left="5040" w:firstLine="4680"/>
      </w:pPr>
    </w:lvl>
    <w:lvl w:ilvl="6">
      <w:start w:val="1"/>
      <w:numFmt w:val="bullet"/>
      <w:lvlText w:val="●"/>
      <w:lvlJc w:val="left"/>
      <w:pPr>
        <w:ind w:left="5760" w:firstLine="5400"/>
      </w:pPr>
    </w:lvl>
    <w:lvl w:ilvl="7">
      <w:start w:val="1"/>
      <w:numFmt w:val="bullet"/>
      <w:lvlText w:val="○"/>
      <w:lvlJc w:val="left"/>
      <w:pPr>
        <w:ind w:left="6480" w:firstLine="6120"/>
      </w:pPr>
    </w:lvl>
    <w:lvl w:ilvl="8">
      <w:start w:val="1"/>
      <w:numFmt w:val="bullet"/>
      <w:lvlText w:val="■"/>
      <w:lvlJc w:val="left"/>
      <w:pPr>
        <w:ind w:left="7200" w:firstLine="6840"/>
      </w:pPr>
    </w:lvl>
  </w:abstractNum>
  <w:abstractNum w:abstractNumId="9">
    <w:nsid w:val="53E7143C"/>
    <w:multiLevelType w:val="multilevel"/>
    <w:tmpl w:val="D6ECCF7E"/>
    <w:lvl w:ilvl="0">
      <w:start w:val="1"/>
      <w:numFmt w:val="decimal"/>
      <w:lvlText w:val="%1."/>
      <w:lvlJc w:val="left"/>
      <w:pPr>
        <w:ind w:left="720" w:firstLine="360"/>
      </w:pPr>
      <w:rPr>
        <w:b/>
      </w:rPr>
    </w:lvl>
    <w:lvl w:ilvl="1">
      <w:start w:val="1"/>
      <w:numFmt w:val="bullet"/>
      <w:lvlText w:val="○"/>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10">
    <w:nsid w:val="551432DD"/>
    <w:multiLevelType w:val="hybridMultilevel"/>
    <w:tmpl w:val="EE689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A8453F"/>
    <w:multiLevelType w:val="hybridMultilevel"/>
    <w:tmpl w:val="93A48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B97888"/>
    <w:multiLevelType w:val="multilevel"/>
    <w:tmpl w:val="9CFE58A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13">
    <w:nsid w:val="6CFF3969"/>
    <w:multiLevelType w:val="hybridMultilevel"/>
    <w:tmpl w:val="7696F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DCE3F64"/>
    <w:multiLevelType w:val="multilevel"/>
    <w:tmpl w:val="27D2F248"/>
    <w:lvl w:ilvl="0">
      <w:start w:val="1"/>
      <w:numFmt w:val="decimal"/>
      <w:lvlText w:val="%1."/>
      <w:lvlJc w:val="left"/>
      <w:pPr>
        <w:ind w:left="720" w:firstLine="360"/>
      </w:pPr>
      <w:rPr>
        <w:b/>
      </w:rPr>
    </w:lvl>
    <w:lvl w:ilvl="1">
      <w:start w:val="1"/>
      <w:numFmt w:val="bullet"/>
      <w:lvlText w:val="○"/>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15">
    <w:nsid w:val="6ED128CF"/>
    <w:multiLevelType w:val="hybridMultilevel"/>
    <w:tmpl w:val="801C1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FF55850"/>
    <w:multiLevelType w:val="multilevel"/>
    <w:tmpl w:val="6D16714A"/>
    <w:lvl w:ilvl="0">
      <w:start w:val="1"/>
      <w:numFmt w:val="decimal"/>
      <w:lvlText w:val="%1."/>
      <w:lvlJc w:val="left"/>
      <w:pPr>
        <w:ind w:left="720" w:firstLine="360"/>
      </w:pPr>
      <w:rPr>
        <w:b/>
      </w:rPr>
    </w:lvl>
    <w:lvl w:ilvl="1">
      <w:start w:val="1"/>
      <w:numFmt w:val="bullet"/>
      <w:lvlText w:val="○"/>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17">
    <w:nsid w:val="70B8188D"/>
    <w:multiLevelType w:val="hybridMultilevel"/>
    <w:tmpl w:val="6B201DD0"/>
    <w:lvl w:ilvl="0" w:tplc="46EADE58">
      <w:start w:val="2"/>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012B32"/>
    <w:multiLevelType w:val="hybridMultilevel"/>
    <w:tmpl w:val="9A7CE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4677F8"/>
    <w:multiLevelType w:val="multilevel"/>
    <w:tmpl w:val="55B8C8EC"/>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num w:numId="1">
    <w:abstractNumId w:val="12"/>
  </w:num>
  <w:num w:numId="2">
    <w:abstractNumId w:val="6"/>
  </w:num>
  <w:num w:numId="3">
    <w:abstractNumId w:val="19"/>
  </w:num>
  <w:num w:numId="4">
    <w:abstractNumId w:val="9"/>
  </w:num>
  <w:num w:numId="5">
    <w:abstractNumId w:val="8"/>
  </w:num>
  <w:num w:numId="6">
    <w:abstractNumId w:val="16"/>
  </w:num>
  <w:num w:numId="7">
    <w:abstractNumId w:val="7"/>
  </w:num>
  <w:num w:numId="8">
    <w:abstractNumId w:val="14"/>
  </w:num>
  <w:num w:numId="9">
    <w:abstractNumId w:val="3"/>
  </w:num>
  <w:num w:numId="10">
    <w:abstractNumId w:val="4"/>
  </w:num>
  <w:num w:numId="11">
    <w:abstractNumId w:val="2"/>
  </w:num>
  <w:num w:numId="12">
    <w:abstractNumId w:val="0"/>
  </w:num>
  <w:num w:numId="13">
    <w:abstractNumId w:val="17"/>
  </w:num>
  <w:num w:numId="14">
    <w:abstractNumId w:val="18"/>
  </w:num>
  <w:num w:numId="15">
    <w:abstractNumId w:val="1"/>
  </w:num>
  <w:num w:numId="16">
    <w:abstractNumId w:val="15"/>
  </w:num>
  <w:num w:numId="17">
    <w:abstractNumId w:val="10"/>
  </w:num>
  <w:num w:numId="18">
    <w:abstractNumId w:val="11"/>
  </w:num>
  <w:num w:numId="19">
    <w:abstractNumId w:val="1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C3ABA"/>
    <w:rsid w:val="00015369"/>
    <w:rsid w:val="00055FA5"/>
    <w:rsid w:val="000D4993"/>
    <w:rsid w:val="00114B69"/>
    <w:rsid w:val="00177AB1"/>
    <w:rsid w:val="00187B8C"/>
    <w:rsid w:val="001C2C19"/>
    <w:rsid w:val="001E2164"/>
    <w:rsid w:val="001E7E56"/>
    <w:rsid w:val="002C3ABA"/>
    <w:rsid w:val="0035362C"/>
    <w:rsid w:val="00370F98"/>
    <w:rsid w:val="00371FA3"/>
    <w:rsid w:val="00420B1C"/>
    <w:rsid w:val="005334C7"/>
    <w:rsid w:val="00575C67"/>
    <w:rsid w:val="005F29FF"/>
    <w:rsid w:val="00610654"/>
    <w:rsid w:val="00616030"/>
    <w:rsid w:val="0068484C"/>
    <w:rsid w:val="006922BB"/>
    <w:rsid w:val="00710D02"/>
    <w:rsid w:val="00721DC3"/>
    <w:rsid w:val="00751405"/>
    <w:rsid w:val="00825423"/>
    <w:rsid w:val="008338FA"/>
    <w:rsid w:val="00894379"/>
    <w:rsid w:val="0096627A"/>
    <w:rsid w:val="00984CDA"/>
    <w:rsid w:val="009B0185"/>
    <w:rsid w:val="00A1278E"/>
    <w:rsid w:val="00AB084A"/>
    <w:rsid w:val="00B601B2"/>
    <w:rsid w:val="00B601C2"/>
    <w:rsid w:val="00B61885"/>
    <w:rsid w:val="00BC1F81"/>
    <w:rsid w:val="00BD383C"/>
    <w:rsid w:val="00CE564C"/>
    <w:rsid w:val="00D12A9C"/>
    <w:rsid w:val="00DF3A5B"/>
    <w:rsid w:val="00E0708A"/>
    <w:rsid w:val="00E65718"/>
    <w:rsid w:val="00EB34A0"/>
    <w:rsid w:val="00EE5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C2C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C19"/>
    <w:rPr>
      <w:rFonts w:ascii="Tahoma" w:hAnsi="Tahoma" w:cs="Tahoma"/>
      <w:sz w:val="16"/>
      <w:szCs w:val="16"/>
    </w:rPr>
  </w:style>
  <w:style w:type="paragraph" w:styleId="ListParagraph">
    <w:name w:val="List Paragraph"/>
    <w:basedOn w:val="Normal"/>
    <w:uiPriority w:val="34"/>
    <w:qFormat/>
    <w:rsid w:val="001C2C19"/>
    <w:pPr>
      <w:ind w:left="720"/>
      <w:contextualSpacing/>
    </w:pPr>
  </w:style>
  <w:style w:type="paragraph" w:styleId="Header">
    <w:name w:val="header"/>
    <w:basedOn w:val="Normal"/>
    <w:link w:val="HeaderChar"/>
    <w:uiPriority w:val="99"/>
    <w:unhideWhenUsed/>
    <w:rsid w:val="001C2C19"/>
    <w:pPr>
      <w:tabs>
        <w:tab w:val="center" w:pos="4680"/>
        <w:tab w:val="right" w:pos="9360"/>
      </w:tabs>
      <w:spacing w:line="240" w:lineRule="auto"/>
    </w:pPr>
  </w:style>
  <w:style w:type="character" w:customStyle="1" w:styleId="HeaderChar">
    <w:name w:val="Header Char"/>
    <w:basedOn w:val="DefaultParagraphFont"/>
    <w:link w:val="Header"/>
    <w:uiPriority w:val="99"/>
    <w:rsid w:val="001C2C19"/>
  </w:style>
  <w:style w:type="paragraph" w:styleId="Footer">
    <w:name w:val="footer"/>
    <w:basedOn w:val="Normal"/>
    <w:link w:val="FooterChar"/>
    <w:uiPriority w:val="99"/>
    <w:unhideWhenUsed/>
    <w:rsid w:val="001C2C19"/>
    <w:pPr>
      <w:tabs>
        <w:tab w:val="center" w:pos="4680"/>
        <w:tab w:val="right" w:pos="9360"/>
      </w:tabs>
      <w:spacing w:line="240" w:lineRule="auto"/>
    </w:pPr>
  </w:style>
  <w:style w:type="character" w:customStyle="1" w:styleId="FooterChar">
    <w:name w:val="Footer Char"/>
    <w:basedOn w:val="DefaultParagraphFont"/>
    <w:link w:val="Footer"/>
    <w:uiPriority w:val="99"/>
    <w:rsid w:val="001C2C19"/>
  </w:style>
  <w:style w:type="paragraph" w:styleId="CommentSubject">
    <w:name w:val="annotation subject"/>
    <w:basedOn w:val="CommentText"/>
    <w:next w:val="CommentText"/>
    <w:link w:val="CommentSubjectChar"/>
    <w:uiPriority w:val="99"/>
    <w:semiHidden/>
    <w:unhideWhenUsed/>
    <w:rsid w:val="00187B8C"/>
    <w:rPr>
      <w:b/>
      <w:bCs/>
    </w:rPr>
  </w:style>
  <w:style w:type="character" w:customStyle="1" w:styleId="CommentSubjectChar">
    <w:name w:val="Comment Subject Char"/>
    <w:basedOn w:val="CommentTextChar"/>
    <w:link w:val="CommentSubject"/>
    <w:uiPriority w:val="99"/>
    <w:semiHidden/>
    <w:rsid w:val="00187B8C"/>
    <w:rPr>
      <w:b/>
      <w:bCs/>
      <w:sz w:val="20"/>
      <w:szCs w:val="20"/>
    </w:rPr>
  </w:style>
  <w:style w:type="paragraph" w:styleId="Revision">
    <w:name w:val="Revision"/>
    <w:hidden/>
    <w:uiPriority w:val="99"/>
    <w:semiHidden/>
    <w:rsid w:val="00177AB1"/>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C2C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C19"/>
    <w:rPr>
      <w:rFonts w:ascii="Tahoma" w:hAnsi="Tahoma" w:cs="Tahoma"/>
      <w:sz w:val="16"/>
      <w:szCs w:val="16"/>
    </w:rPr>
  </w:style>
  <w:style w:type="paragraph" w:styleId="ListParagraph">
    <w:name w:val="List Paragraph"/>
    <w:basedOn w:val="Normal"/>
    <w:uiPriority w:val="34"/>
    <w:qFormat/>
    <w:rsid w:val="001C2C19"/>
    <w:pPr>
      <w:ind w:left="720"/>
      <w:contextualSpacing/>
    </w:pPr>
  </w:style>
  <w:style w:type="paragraph" w:styleId="Header">
    <w:name w:val="header"/>
    <w:basedOn w:val="Normal"/>
    <w:link w:val="HeaderChar"/>
    <w:uiPriority w:val="99"/>
    <w:unhideWhenUsed/>
    <w:rsid w:val="001C2C19"/>
    <w:pPr>
      <w:tabs>
        <w:tab w:val="center" w:pos="4680"/>
        <w:tab w:val="right" w:pos="9360"/>
      </w:tabs>
      <w:spacing w:line="240" w:lineRule="auto"/>
    </w:pPr>
  </w:style>
  <w:style w:type="character" w:customStyle="1" w:styleId="HeaderChar">
    <w:name w:val="Header Char"/>
    <w:basedOn w:val="DefaultParagraphFont"/>
    <w:link w:val="Header"/>
    <w:uiPriority w:val="99"/>
    <w:rsid w:val="001C2C19"/>
  </w:style>
  <w:style w:type="paragraph" w:styleId="Footer">
    <w:name w:val="footer"/>
    <w:basedOn w:val="Normal"/>
    <w:link w:val="FooterChar"/>
    <w:uiPriority w:val="99"/>
    <w:unhideWhenUsed/>
    <w:rsid w:val="001C2C19"/>
    <w:pPr>
      <w:tabs>
        <w:tab w:val="center" w:pos="4680"/>
        <w:tab w:val="right" w:pos="9360"/>
      </w:tabs>
      <w:spacing w:line="240" w:lineRule="auto"/>
    </w:pPr>
  </w:style>
  <w:style w:type="character" w:customStyle="1" w:styleId="FooterChar">
    <w:name w:val="Footer Char"/>
    <w:basedOn w:val="DefaultParagraphFont"/>
    <w:link w:val="Footer"/>
    <w:uiPriority w:val="99"/>
    <w:rsid w:val="001C2C19"/>
  </w:style>
  <w:style w:type="paragraph" w:styleId="CommentSubject">
    <w:name w:val="annotation subject"/>
    <w:basedOn w:val="CommentText"/>
    <w:next w:val="CommentText"/>
    <w:link w:val="CommentSubjectChar"/>
    <w:uiPriority w:val="99"/>
    <w:semiHidden/>
    <w:unhideWhenUsed/>
    <w:rsid w:val="00187B8C"/>
    <w:rPr>
      <w:b/>
      <w:bCs/>
    </w:rPr>
  </w:style>
  <w:style w:type="character" w:customStyle="1" w:styleId="CommentSubjectChar">
    <w:name w:val="Comment Subject Char"/>
    <w:basedOn w:val="CommentTextChar"/>
    <w:link w:val="CommentSubject"/>
    <w:uiPriority w:val="99"/>
    <w:semiHidden/>
    <w:rsid w:val="00187B8C"/>
    <w:rPr>
      <w:b/>
      <w:bCs/>
      <w:sz w:val="20"/>
      <w:szCs w:val="20"/>
    </w:rPr>
  </w:style>
  <w:style w:type="paragraph" w:styleId="Revision">
    <w:name w:val="Revision"/>
    <w:hidden/>
    <w:uiPriority w:val="99"/>
    <w:semiHidden/>
    <w:rsid w:val="00177AB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95518">
      <w:bodyDiv w:val="1"/>
      <w:marLeft w:val="0"/>
      <w:marRight w:val="0"/>
      <w:marTop w:val="0"/>
      <w:marBottom w:val="0"/>
      <w:divBdr>
        <w:top w:val="none" w:sz="0" w:space="0" w:color="auto"/>
        <w:left w:val="none" w:sz="0" w:space="0" w:color="auto"/>
        <w:bottom w:val="none" w:sz="0" w:space="0" w:color="auto"/>
        <w:right w:val="none" w:sz="0" w:space="0" w:color="auto"/>
      </w:divBdr>
    </w:div>
    <w:div w:id="1798716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AC996-530C-49F6-B108-C30546CDA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Magill, Courtney J. (M/OAA/GH)</dc:creator>
  <cp:lastModifiedBy>Asante, Albert P. (M/OAA/GH)</cp:lastModifiedBy>
  <cp:revision>5</cp:revision>
  <cp:lastPrinted>2015-06-15T20:28:00Z</cp:lastPrinted>
  <dcterms:created xsi:type="dcterms:W3CDTF">2015-06-15T19:01:00Z</dcterms:created>
  <dcterms:modified xsi:type="dcterms:W3CDTF">2015-06-15T20:45:00Z</dcterms:modified>
</cp:coreProperties>
</file>