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7145C" w14:textId="77777777" w:rsidR="00BC3E9B" w:rsidRPr="00BC3E9B" w:rsidRDefault="00BC3E9B" w:rsidP="00BC3E9B">
      <w:pPr>
        <w:pStyle w:val="Heading1"/>
      </w:pPr>
      <w:r w:rsidRPr="00BC3E9B">
        <w:t>CDC-RFA-DD-24-0083</w:t>
      </w:r>
    </w:p>
    <w:p w14:paraId="6064DE0B" w14:textId="77777777" w:rsidR="00BC3E9B" w:rsidRPr="00BC3E9B" w:rsidRDefault="00BC3E9B" w:rsidP="00BC3E9B">
      <w:pPr>
        <w:pStyle w:val="Heading1"/>
      </w:pPr>
      <w:r w:rsidRPr="00BC3E9B">
        <w:t xml:space="preserve">“Documenting outcomes associated with Persistent Tic Disorders (including Tourette Syndrome) in Children, Adolescents, and Young Adults through </w:t>
      </w:r>
      <w:proofErr w:type="gramStart"/>
      <w:r w:rsidRPr="00BC3E9B">
        <w:t>Surveillance</w:t>
      </w:r>
      <w:proofErr w:type="gramEnd"/>
      <w:r w:rsidRPr="00BC3E9B">
        <w:t>”</w:t>
      </w:r>
    </w:p>
    <w:p w14:paraId="18A736EC" w14:textId="77777777" w:rsidR="00BC3E9B" w:rsidRPr="00BC3E9B" w:rsidRDefault="00BC3E9B" w:rsidP="00BC3E9B">
      <w:pPr>
        <w:pStyle w:val="Heading1"/>
      </w:pPr>
      <w:r w:rsidRPr="00BC3E9B">
        <w:t xml:space="preserve"> Questions and Answers</w:t>
      </w:r>
    </w:p>
    <w:p w14:paraId="61F2B6ED" w14:textId="77777777" w:rsidR="00BC3E9B" w:rsidRPr="00BC3E9B" w:rsidRDefault="00BC3E9B" w:rsidP="00BC3E9B">
      <w:pPr>
        <w:shd w:val="clear" w:color="auto" w:fill="FFFFFF"/>
        <w:spacing w:before="100" w:beforeAutospacing="1" w:after="100" w:afterAutospacing="1" w:line="240" w:lineRule="auto"/>
        <w:outlineLvl w:val="1"/>
        <w:rPr>
          <w:rFonts w:eastAsia="Times New Roman" w:cstheme="minorHAnsi"/>
          <w:b/>
          <w:bCs/>
          <w:color w:val="333333"/>
          <w:kern w:val="0"/>
          <w:sz w:val="24"/>
          <w:szCs w:val="24"/>
          <w14:ligatures w14:val="none"/>
        </w:rPr>
      </w:pPr>
      <w:r w:rsidRPr="00BC3E9B">
        <w:rPr>
          <w:rFonts w:cstheme="minorHAnsi"/>
          <w:sz w:val="24"/>
          <w:szCs w:val="24"/>
        </w:rPr>
        <w:t xml:space="preserve">Questions originally posted and responded to as received here: </w:t>
      </w:r>
      <w:r w:rsidRPr="00BC3E9B">
        <w:rPr>
          <w:rFonts w:eastAsia="Times New Roman" w:cstheme="minorHAnsi"/>
          <w:b/>
          <w:bCs/>
          <w:color w:val="333333"/>
          <w:kern w:val="0"/>
          <w:sz w:val="24"/>
          <w:szCs w:val="24"/>
          <w14:ligatures w14:val="none"/>
        </w:rPr>
        <w:t xml:space="preserve"> </w:t>
      </w:r>
      <w:hyperlink r:id="rId5" w:history="1">
        <w:r w:rsidRPr="00BC3E9B">
          <w:rPr>
            <w:rStyle w:val="Hyperlink"/>
            <w:rFonts w:cstheme="minorHAnsi"/>
            <w:sz w:val="24"/>
            <w:szCs w:val="24"/>
          </w:rPr>
          <w:t>Notice of Funding Opportunity (NOFO) CDC-RFA-DD-24-0083 | CDC</w:t>
        </w:r>
      </w:hyperlink>
      <w:r>
        <w:rPr>
          <w:rFonts w:eastAsia="Times New Roman" w:cstheme="minorHAnsi"/>
          <w:b/>
          <w:bCs/>
          <w:color w:val="333333"/>
          <w:kern w:val="0"/>
          <w:sz w:val="24"/>
          <w:szCs w:val="24"/>
          <w14:ligatures w14:val="none"/>
        </w:rPr>
        <w:t xml:space="preserve"> </w:t>
      </w:r>
      <w:r w:rsidRPr="00BC3E9B">
        <w:rPr>
          <w:rFonts w:eastAsia="Times New Roman" w:cstheme="minorHAnsi"/>
          <w:color w:val="000000"/>
          <w:kern w:val="0"/>
          <w:sz w:val="24"/>
          <w:szCs w:val="24"/>
          <w14:ligatures w14:val="none"/>
        </w:rPr>
        <w:t>Note: The deadline to submit questions was April 5, 2024.</w:t>
      </w:r>
    </w:p>
    <w:p w14:paraId="37608EF8" w14:textId="77777777" w:rsidR="00BC3E9B" w:rsidRPr="00BC3E9B" w:rsidRDefault="00BC3E9B" w:rsidP="00BC3E9B">
      <w:pPr>
        <w:shd w:val="clear" w:color="auto" w:fill="FFFFFF"/>
        <w:spacing w:before="100" w:beforeAutospacing="1" w:after="100" w:afterAutospacing="1" w:line="240" w:lineRule="auto"/>
        <w:outlineLvl w:val="2"/>
        <w:rPr>
          <w:rFonts w:eastAsia="Times New Roman" w:cstheme="minorHAnsi"/>
          <w:color w:val="222222"/>
          <w:kern w:val="0"/>
          <w:sz w:val="24"/>
          <w:szCs w:val="24"/>
          <w:u w:val="single"/>
          <w14:ligatures w14:val="none"/>
        </w:rPr>
      </w:pPr>
      <w:r w:rsidRPr="00BC3E9B">
        <w:rPr>
          <w:rFonts w:eastAsia="Times New Roman" w:cstheme="minorHAnsi"/>
          <w:color w:val="222222"/>
          <w:kern w:val="0"/>
          <w:sz w:val="24"/>
          <w:szCs w:val="24"/>
          <w:u w:val="single"/>
          <w14:ligatures w14:val="none"/>
        </w:rPr>
        <w:t>Application Information</w:t>
      </w:r>
    </w:p>
    <w:p w14:paraId="0E599704"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Is CDC specifying a type of database that all funded entities use across the board to facilitate data sharing and the ability to analyze all the data together? Is there a specific type of database that CDC would like to see?</w:t>
      </w:r>
    </w:p>
    <w:p w14:paraId="1E031C8B"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CDC did not specify a type of database for this project.</w:t>
      </w:r>
    </w:p>
    <w:p w14:paraId="786ABACA"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Will CDC use a data warehouse for dissemination of the database after this project concludes?</w:t>
      </w:r>
    </w:p>
    <w:p w14:paraId="318CBD5D"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Generally, CDC does not take responsibility for the dissemination of grantees’ data and long-term archiving of data after the project concludes. Grantees may use their own sites, privately owned repositories, or government-based sites (e.g., NIH Repositories) to share and archive project data.</w:t>
      </w:r>
    </w:p>
    <w:p w14:paraId="7F495480"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 xml:space="preserve">Q: It states in the NOFO that the funds should not be used for research—what specifically is the meaning of that as far as specific data use? The data that is </w:t>
      </w:r>
      <w:proofErr w:type="gramStart"/>
      <w:r w:rsidRPr="00BC3E9B">
        <w:rPr>
          <w:rFonts w:eastAsia="Times New Roman" w:cstheme="minorHAnsi"/>
          <w:color w:val="000000"/>
          <w:kern w:val="0"/>
          <w:sz w:val="24"/>
          <w:szCs w:val="24"/>
          <w14:ligatures w14:val="none"/>
        </w:rPr>
        <w:t>collected—part</w:t>
      </w:r>
      <w:proofErr w:type="gramEnd"/>
      <w:r w:rsidRPr="00BC3E9B">
        <w:rPr>
          <w:rFonts w:eastAsia="Times New Roman" w:cstheme="minorHAnsi"/>
          <w:color w:val="000000"/>
          <w:kern w:val="0"/>
          <w:sz w:val="24"/>
          <w:szCs w:val="24"/>
          <w14:ligatures w14:val="none"/>
        </w:rPr>
        <w:t xml:space="preserve"> of the expectation is that this data should be shared with other entities as well, could it then be used as part of research?</w:t>
      </w:r>
    </w:p>
    <w:p w14:paraId="3B3BA9C9" w14:textId="77777777" w:rsidR="00BC3E9B" w:rsidRPr="00BC3E9B" w:rsidRDefault="00BC3E9B" w:rsidP="00BC3E9B">
      <w:pPr>
        <w:spacing w:after="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The Office for Human Research Protections (OHRP) states that, “The difference between public health surveillance and research in this context is that the purpose of the surveillance is to inform the decisions or actions that must be made by a public health authority.” Read more: </w:t>
      </w:r>
      <w:hyperlink r:id="rId6" w:history="1">
        <w:r w:rsidRPr="00BC3E9B">
          <w:rPr>
            <w:rFonts w:eastAsia="Times New Roman" w:cstheme="minorHAnsi"/>
            <w:color w:val="075290"/>
            <w:kern w:val="0"/>
            <w:sz w:val="24"/>
            <w:szCs w:val="24"/>
            <w:u w:val="single"/>
            <w14:ligatures w14:val="none"/>
          </w:rPr>
          <w:t>https://www.hhs.gov/ohrp/regulations-and-policy/requests-for-comments/draft-guidance-activities-deemed-not-be-research-public-health-surveillance/index.html</w:t>
        </w:r>
      </w:hyperlink>
      <w:r w:rsidRPr="00BC3E9B">
        <w:rPr>
          <w:rFonts w:eastAsia="Times New Roman" w:cstheme="minorHAnsi"/>
          <w:color w:val="000000"/>
          <w:kern w:val="0"/>
          <w:sz w:val="24"/>
          <w:szCs w:val="24"/>
          <w14:ligatures w14:val="none"/>
        </w:rPr>
        <w:t>.</w:t>
      </w:r>
    </w:p>
    <w:p w14:paraId="7AED6473"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The definition of research is “A means of systematic investigation, including research development, testing and evaluation, designed to develop or contribute to generalizable knowledge. The purpose of research is to generate or contribute to generalizable knowledge.” Read more: </w:t>
      </w:r>
      <w:hyperlink r:id="rId7" w:anchor=":~:text=Additional%20Requirement%20%E2%80%93%2031%3A%20Research%20Definition&amp;text=A%20means%20of%20systematic%20investigation,or%20contribute%20to%20generalizable%20knowledge." w:history="1">
        <w:r w:rsidRPr="00BC3E9B">
          <w:rPr>
            <w:rFonts w:eastAsia="Times New Roman" w:cstheme="minorHAnsi"/>
            <w:color w:val="075290"/>
            <w:kern w:val="0"/>
            <w:sz w:val="24"/>
            <w:szCs w:val="24"/>
            <w:u w:val="single"/>
            <w14:ligatures w14:val="none"/>
          </w:rPr>
          <w:t>Additional Requirement – 31 | Grants | CDC</w:t>
        </w:r>
      </w:hyperlink>
      <w:r w:rsidRPr="00BC3E9B">
        <w:rPr>
          <w:rFonts w:eastAsia="Times New Roman" w:cstheme="minorHAnsi"/>
          <w:color w:val="000000"/>
          <w:kern w:val="0"/>
          <w:sz w:val="24"/>
          <w:szCs w:val="24"/>
          <w14:ligatures w14:val="none"/>
        </w:rPr>
        <w:t>.</w:t>
      </w:r>
    </w:p>
    <w:p w14:paraId="00338738"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Data from this project can be used for reports, presentations, and scientific publications.</w:t>
      </w:r>
    </w:p>
    <w:p w14:paraId="53D71123"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lastRenderedPageBreak/>
        <w:t xml:space="preserve">Q: Is it a priority to include multiple sampling sites (e.g., different settings </w:t>
      </w:r>
      <w:proofErr w:type="gramStart"/>
      <w:r w:rsidRPr="00BC3E9B">
        <w:rPr>
          <w:rFonts w:eastAsia="Times New Roman" w:cstheme="minorHAnsi"/>
          <w:color w:val="000000"/>
          <w:kern w:val="0"/>
          <w:sz w:val="24"/>
          <w:szCs w:val="24"/>
          <w14:ligatures w14:val="none"/>
        </w:rPr>
        <w:t>in order to</w:t>
      </w:r>
      <w:proofErr w:type="gramEnd"/>
      <w:r w:rsidRPr="00BC3E9B">
        <w:rPr>
          <w:rFonts w:eastAsia="Times New Roman" w:cstheme="minorHAnsi"/>
          <w:color w:val="000000"/>
          <w:kern w:val="0"/>
          <w:sz w:val="24"/>
          <w:szCs w:val="24"/>
          <w14:ligatures w14:val="none"/>
        </w:rPr>
        <w:t xml:space="preserve"> capture a more diverse sample and/or to replicate/test the sampling/analytical approaches in alternative settings) or rather, is the intent that alignment/comparisons and this will be done across awardees?</w:t>
      </w:r>
    </w:p>
    <w:p w14:paraId="7CB9427B"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Either option is acceptable. Page 18 of the NOFO states, “If recipient uses a sub-recipient for all or part of the workplan activities, the recipient must demonstrate adequate staffing and capacity to supervise sub-recipient’s activities and products.” If multiple sites apply together, one site must be the primary applicant (and recipient, if awarded).</w:t>
      </w:r>
    </w:p>
    <w:p w14:paraId="6A385DF2"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Given that the recruitment is in a TS/CTD patient population, and the downstream focus appears to be on establishing a mechanism for tracking key associations with TS/CTD/sequela, is diagnostic confirmation/clinician-rated objective measure of tic clinical severity either recommended or required?</w:t>
      </w:r>
    </w:p>
    <w:p w14:paraId="0F78F119"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Applicants should describe the recruitment population and how a diagnosis has been documented or will be documented as part of the project.</w:t>
      </w:r>
    </w:p>
    <w:p w14:paraId="2DC5F9F1"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What are the procedures to conduct the study?</w:t>
      </w:r>
    </w:p>
    <w:p w14:paraId="1F124C53"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This is a non-research NOFO. Page 2 of the NOFO states, the applicant needs to propose a methodology to recruit participants and collect and share data. Final procedures will be determined across recipients with coordination by CDC.</w:t>
      </w:r>
    </w:p>
    <w:p w14:paraId="1C06C15B"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Can an award recipient advertise online for participants?</w:t>
      </w:r>
    </w:p>
    <w:p w14:paraId="4A34722F" w14:textId="77777777" w:rsid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Yes. Page 9 of the NOFO, under Strategy 2 states that successful applicants will have to show plans to recruit the target population from clinic populations.</w:t>
      </w:r>
    </w:p>
    <w:p w14:paraId="0B4239D8" w14:textId="77777777" w:rsidR="00CE10C9" w:rsidRPr="00CE10C9" w:rsidRDefault="00CE10C9" w:rsidP="00CE10C9">
      <w:pPr>
        <w:rPr>
          <w:sz w:val="24"/>
          <w:szCs w:val="24"/>
        </w:rPr>
      </w:pPr>
      <w:r w:rsidRPr="00CE10C9">
        <w:rPr>
          <w:rFonts w:ascii="Calibri" w:eastAsia="Calibri" w:hAnsi="Calibri" w:cs="Calibri"/>
          <w:sz w:val="24"/>
          <w:szCs w:val="24"/>
        </w:rPr>
        <w:t xml:space="preserve">Q: </w:t>
      </w:r>
      <w:r w:rsidRPr="00CE10C9">
        <w:rPr>
          <w:sz w:val="24"/>
          <w:szCs w:val="24"/>
        </w:rPr>
        <w:t>On page 43 under Phase II review section, the rubric is broken down into three categories that do not align directly with the order of the sections in the narrative. They are Approach, Evaluation, and Org. Capacity. Under Approach, it says “Present a workplan aligned with the strategies/activities, outcomes, and performance measures and consistent with the content and format of the CDC template” is worth 3/25 points awarded for that section. Is this the same work plan that is outlined on page 36 where it reads</w:t>
      </w:r>
      <w:proofErr w:type="gramStart"/>
      <w:r w:rsidRPr="00CE10C9">
        <w:rPr>
          <w:sz w:val="24"/>
          <w:szCs w:val="24"/>
        </w:rPr>
        <w:t>, ”</w:t>
      </w:r>
      <w:proofErr w:type="gramEnd"/>
      <w:r w:rsidRPr="00CE10C9">
        <w:rPr>
          <w:sz w:val="24"/>
          <w:szCs w:val="24"/>
        </w:rPr>
        <w:t xml:space="preserve"> “Applicants must prepare a work plan consistent with the CDC Project Description Work Plan section. The work plan integrates and delineates more specifically how the recipient plans to carry out achieving the period of performance outcomes, strategies and activities, evaluation, and performance measurement. The applicant must provide a detailed work plan for the first year of the project and a high-level work plan for subsequent years to track and monitor implementation of activities and progress on period of performance outcomes. The recommended work plan format is a table listing the strategies and activities, outcomes, and evaluation and performance measures as presented in the logic model and the narrative sections of the NOFO”? </w:t>
      </w:r>
    </w:p>
    <w:p w14:paraId="06B1CE24" w14:textId="77777777" w:rsidR="00CE10C9" w:rsidRPr="00CE10C9" w:rsidRDefault="00CE10C9" w:rsidP="00CE10C9">
      <w:pPr>
        <w:rPr>
          <w:sz w:val="24"/>
          <w:szCs w:val="24"/>
        </w:rPr>
      </w:pPr>
      <w:r w:rsidRPr="00CE10C9">
        <w:rPr>
          <w:sz w:val="24"/>
          <w:szCs w:val="24"/>
        </w:rPr>
        <w:t>Our interpretation is that the work plan that comes at the end of the narrative will be scored under the Approach section and that these two sections refer to the same item, but I just want to make sure this is the case.</w:t>
      </w:r>
    </w:p>
    <w:p w14:paraId="6E3DF72B" w14:textId="77777777" w:rsidR="00CE10C9" w:rsidRDefault="00CE10C9" w:rsidP="00CE10C9">
      <w:pPr>
        <w:pStyle w:val="paragraph"/>
        <w:spacing w:before="0" w:beforeAutospacing="0" w:after="0" w:afterAutospacing="0"/>
        <w:textAlignment w:val="baseline"/>
        <w:rPr>
          <w:rFonts w:ascii="Calibri" w:eastAsia="Calibri" w:hAnsi="Calibri" w:cs="Calibri"/>
        </w:rPr>
      </w:pPr>
      <w:r w:rsidRPr="00306DC5">
        <w:rPr>
          <w:rFonts w:ascii="Calibri" w:eastAsia="Calibri" w:hAnsi="Calibri" w:cs="Calibri"/>
          <w:b/>
          <w:bCs/>
        </w:rPr>
        <w:lastRenderedPageBreak/>
        <w:t>A:</w:t>
      </w:r>
      <w:r w:rsidRPr="00D4504A">
        <w:rPr>
          <w:rFonts w:ascii="Calibri" w:eastAsia="Calibri" w:hAnsi="Calibri" w:cs="Calibri"/>
        </w:rPr>
        <w:t xml:space="preserve"> Yes, t</w:t>
      </w:r>
      <w:r>
        <w:rPr>
          <w:rFonts w:ascii="Calibri" w:eastAsia="Calibri" w:hAnsi="Calibri" w:cs="Calibri"/>
        </w:rPr>
        <w:t>hese two sections refer to the same workplan.</w:t>
      </w:r>
    </w:p>
    <w:p w14:paraId="12000AB7" w14:textId="77777777" w:rsidR="000B762E" w:rsidRDefault="000B762E" w:rsidP="00CE10C9">
      <w:pPr>
        <w:pStyle w:val="paragraph"/>
        <w:spacing w:before="0" w:beforeAutospacing="0" w:after="0" w:afterAutospacing="0"/>
        <w:textAlignment w:val="baseline"/>
        <w:rPr>
          <w:rFonts w:ascii="Calibri" w:eastAsia="Calibri" w:hAnsi="Calibri" w:cs="Calibri"/>
        </w:rPr>
      </w:pPr>
    </w:p>
    <w:p w14:paraId="13393E16" w14:textId="447EE93F" w:rsidR="000B762E" w:rsidRPr="000B762E" w:rsidRDefault="000B762E" w:rsidP="000B762E">
      <w:pPr>
        <w:spacing w:after="0" w:line="240" w:lineRule="auto"/>
        <w:rPr>
          <w:rFonts w:eastAsia="Times New Roman" w:cstheme="minorHAnsi"/>
          <w:color w:val="000000"/>
          <w:kern w:val="0"/>
          <w:sz w:val="24"/>
          <w:szCs w:val="24"/>
          <w14:ligatures w14:val="none"/>
        </w:rPr>
      </w:pPr>
      <w:r w:rsidRPr="000B762E">
        <w:rPr>
          <w:rFonts w:eastAsia="Times New Roman" w:cstheme="minorHAnsi"/>
          <w:color w:val="000000"/>
          <w:kern w:val="0"/>
          <w:sz w:val="24"/>
          <w:szCs w:val="24"/>
          <w14:ligatures w14:val="none"/>
        </w:rPr>
        <w:t>Q: On page 55 of the notice, it lists the supplemental documents that we can include.” Are the items listed there the only acceptable submissions in this section? Could we also include, for instance, a list of references or endnotes in the “other documents” section?</w:t>
      </w:r>
    </w:p>
    <w:p w14:paraId="705FD1A5" w14:textId="08263473" w:rsidR="000B762E" w:rsidRPr="000B762E" w:rsidRDefault="000B762E" w:rsidP="000B762E">
      <w:pPr>
        <w:spacing w:after="0" w:line="240" w:lineRule="auto"/>
        <w:rPr>
          <w:rFonts w:eastAsia="Times New Roman" w:cstheme="minorHAnsi"/>
          <w:color w:val="000000"/>
          <w:kern w:val="0"/>
          <w:sz w:val="24"/>
          <w:szCs w:val="24"/>
          <w14:ligatures w14:val="none"/>
        </w:rPr>
      </w:pPr>
      <w:r w:rsidRPr="000B762E">
        <w:rPr>
          <w:rFonts w:eastAsia="Times New Roman" w:cstheme="minorHAnsi"/>
          <w:b/>
          <w:bCs/>
          <w:color w:val="000000"/>
          <w:kern w:val="0"/>
          <w:sz w:val="24"/>
          <w:szCs w:val="24"/>
          <w14:ligatures w14:val="none"/>
        </w:rPr>
        <w:t>A:</w:t>
      </w:r>
      <w:r w:rsidRPr="000B762E">
        <w:rPr>
          <w:rFonts w:eastAsia="Times New Roman" w:cstheme="minorHAnsi"/>
          <w:color w:val="000000"/>
          <w:kern w:val="0"/>
          <w:sz w:val="24"/>
          <w:szCs w:val="24"/>
          <w14:ligatures w14:val="none"/>
        </w:rPr>
        <w:t xml:space="preserve"> Please follow the guidance on page 55, which states, “Applicants may not attach documents other than those listed; if other documents are attached, applications will not be reviewed.”</w:t>
      </w:r>
    </w:p>
    <w:p w14:paraId="590D62C5" w14:textId="77777777" w:rsidR="00BC3E9B" w:rsidRPr="00BC3E9B" w:rsidRDefault="00BC3E9B" w:rsidP="00BC3E9B">
      <w:pPr>
        <w:shd w:val="clear" w:color="auto" w:fill="FFFFFF"/>
        <w:spacing w:before="100" w:beforeAutospacing="1" w:after="100" w:afterAutospacing="1" w:line="240" w:lineRule="auto"/>
        <w:outlineLvl w:val="2"/>
        <w:rPr>
          <w:rFonts w:eastAsia="Times New Roman" w:cstheme="minorHAnsi"/>
          <w:color w:val="222222"/>
          <w:kern w:val="0"/>
          <w:sz w:val="24"/>
          <w:szCs w:val="24"/>
          <w:u w:val="single"/>
          <w14:ligatures w14:val="none"/>
        </w:rPr>
      </w:pPr>
      <w:r w:rsidRPr="00BC3E9B">
        <w:rPr>
          <w:rFonts w:eastAsia="Times New Roman" w:cstheme="minorHAnsi"/>
          <w:color w:val="222222"/>
          <w:kern w:val="0"/>
          <w:sz w:val="24"/>
          <w:szCs w:val="24"/>
          <w:u w:val="single"/>
          <w14:ligatures w14:val="none"/>
        </w:rPr>
        <w:t>Eligibility</w:t>
      </w:r>
    </w:p>
    <w:p w14:paraId="7192F668"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Does every business have to file the Lobbyists form or only those who are Lobbyists?</w:t>
      </w:r>
    </w:p>
    <w:p w14:paraId="2E03E1A1"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Yes, the “Disclosure of Lobbying Activities” (SFLLL) is required as part of the submission.</w:t>
      </w:r>
    </w:p>
    <w:p w14:paraId="65F39C0D" w14:textId="77777777" w:rsidR="00BC3E9B" w:rsidRPr="00BC3E9B" w:rsidRDefault="00BC3E9B" w:rsidP="00BC3E9B">
      <w:pPr>
        <w:shd w:val="clear" w:color="auto" w:fill="FFFFFF"/>
        <w:spacing w:before="100" w:beforeAutospacing="1" w:after="100" w:afterAutospacing="1" w:line="240" w:lineRule="auto"/>
        <w:outlineLvl w:val="2"/>
        <w:rPr>
          <w:rFonts w:eastAsia="Times New Roman" w:cstheme="minorHAnsi"/>
          <w:color w:val="222222"/>
          <w:kern w:val="0"/>
          <w:sz w:val="24"/>
          <w:szCs w:val="24"/>
          <w:u w:val="single"/>
          <w14:ligatures w14:val="none"/>
        </w:rPr>
      </w:pPr>
      <w:r w:rsidRPr="00BC3E9B">
        <w:rPr>
          <w:rFonts w:eastAsia="Times New Roman" w:cstheme="minorHAnsi"/>
          <w:color w:val="222222"/>
          <w:kern w:val="0"/>
          <w:sz w:val="24"/>
          <w:szCs w:val="24"/>
          <w:u w:val="single"/>
          <w14:ligatures w14:val="none"/>
        </w:rPr>
        <w:t>Programmatic Information</w:t>
      </w:r>
    </w:p>
    <w:p w14:paraId="4DB69243"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If they work in a clinic, do they collect data on each patient once during a 5-year period?</w:t>
      </w:r>
    </w:p>
    <w:p w14:paraId="7015F19F"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The NOFO project objective is to collect cross-sectional data on priority outcomes for diverse populations of children, adolescents, and young adults with PTD/TS as well as data on selected impacts (e.g., employment) for caregivers of children and adolescents. The applicant should include a data management plan with a description of the data to be collected or generated in the proposed project. Data collection procedures will be standardized across sites post-award.</w:t>
      </w:r>
    </w:p>
    <w:p w14:paraId="14E36670"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What end date of the 5 years of the application period?</w:t>
      </w:r>
    </w:p>
    <w:p w14:paraId="72DD8BF5"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The end date of the 5-year award period is August 31, 2029</w:t>
      </w:r>
    </w:p>
    <w:p w14:paraId="384F3BD4"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Is the Intermediate to Long term Outcome of continued surveillance envisioned as part of an ongoing data collection infrastructure (i.e., embedded in the clinical process/medical record) or creation of a patient registry? In other words, is the goal to create and evaluate the infrastructure to collect data “locally” but with the ability coordinate/share/census-track or rather to collaboratively design/develop a single collection infrastructure (akin to a registry)?</w:t>
      </w:r>
    </w:p>
    <w:p w14:paraId="52B6F760"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t>A:</w:t>
      </w:r>
      <w:r w:rsidRPr="00BC3E9B">
        <w:rPr>
          <w:rFonts w:eastAsia="Times New Roman" w:cstheme="minorHAnsi"/>
          <w:color w:val="000000"/>
          <w:kern w:val="0"/>
          <w:sz w:val="24"/>
          <w:szCs w:val="24"/>
          <w14:ligatures w14:val="none"/>
        </w:rPr>
        <w:t> The goal of this NOFO is to collaboratively develop a standard survey and data collection protocol that can be implemented at multiple sites.</w:t>
      </w:r>
    </w:p>
    <w:p w14:paraId="503D0307"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Page 4 of the NOFO states, “Recipients will collaborate with CDC and other NOFO recipients to finalize measures for priority outcomes, to develop a standard survey and surveillance data collection protocol across sites, to establish a data sharing approach, and to analyze, summarize, and disseminate multi-site findings.”</w:t>
      </w:r>
    </w:p>
    <w:p w14:paraId="4FAA05A0"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Page 9 of the NOFO indicates recipients may implement “a limited number (e.g., 1-3) of measures for non-priority outcomes can be proposed) minimizing participant burden.”</w:t>
      </w:r>
    </w:p>
    <w:p w14:paraId="48A69C0C" w14:textId="77777777" w:rsidR="00BC3E9B" w:rsidRPr="00BC3E9B" w:rsidRDefault="00BC3E9B" w:rsidP="00BC3E9B">
      <w:pPr>
        <w:shd w:val="clear" w:color="auto" w:fill="FFFFFF"/>
        <w:spacing w:before="100" w:beforeAutospacing="1" w:after="100" w:afterAutospacing="1" w:line="240" w:lineRule="auto"/>
        <w:outlineLvl w:val="2"/>
        <w:rPr>
          <w:rFonts w:eastAsia="Times New Roman" w:cstheme="minorHAnsi"/>
          <w:color w:val="222222"/>
          <w:kern w:val="0"/>
          <w:sz w:val="24"/>
          <w:szCs w:val="24"/>
          <w:u w:val="single"/>
          <w14:ligatures w14:val="none"/>
        </w:rPr>
      </w:pPr>
      <w:r w:rsidRPr="00BC3E9B">
        <w:rPr>
          <w:rFonts w:eastAsia="Times New Roman" w:cstheme="minorHAnsi"/>
          <w:color w:val="222222"/>
          <w:kern w:val="0"/>
          <w:sz w:val="24"/>
          <w:szCs w:val="24"/>
          <w:u w:val="single"/>
          <w14:ligatures w14:val="none"/>
        </w:rPr>
        <w:t>Budget</w:t>
      </w:r>
    </w:p>
    <w:p w14:paraId="3ABD58CB" w14:textId="77777777" w:rsidR="00BC3E9B" w:rsidRPr="00BC3E9B" w:rsidRDefault="00BC3E9B" w:rsidP="00BC3E9B">
      <w:pPr>
        <w:spacing w:after="0" w:line="240" w:lineRule="auto"/>
        <w:rPr>
          <w:rFonts w:eastAsia="Times New Roman" w:cstheme="minorHAnsi"/>
          <w:color w:val="000000"/>
          <w:kern w:val="0"/>
          <w:sz w:val="24"/>
          <w:szCs w:val="24"/>
          <w14:ligatures w14:val="none"/>
        </w:rPr>
      </w:pPr>
      <w:r w:rsidRPr="00BC3E9B">
        <w:rPr>
          <w:rFonts w:eastAsia="Times New Roman" w:cstheme="minorHAnsi"/>
          <w:color w:val="000000"/>
          <w:kern w:val="0"/>
          <w:sz w:val="24"/>
          <w:szCs w:val="24"/>
          <w14:ligatures w14:val="none"/>
        </w:rPr>
        <w:t>Q: Does the funding amount represent direct and indirect?</w:t>
      </w:r>
    </w:p>
    <w:p w14:paraId="0D0434D2" w14:textId="77777777" w:rsidR="00BC3E9B" w:rsidRPr="00BC3E9B" w:rsidRDefault="00BC3E9B" w:rsidP="00BC3E9B">
      <w:pPr>
        <w:spacing w:after="100" w:afterAutospacing="1" w:line="240" w:lineRule="auto"/>
        <w:rPr>
          <w:rFonts w:eastAsia="Times New Roman" w:cstheme="minorHAnsi"/>
          <w:color w:val="000000"/>
          <w:kern w:val="0"/>
          <w:sz w:val="24"/>
          <w:szCs w:val="24"/>
          <w14:ligatures w14:val="none"/>
        </w:rPr>
      </w:pPr>
      <w:r w:rsidRPr="00BC3E9B">
        <w:rPr>
          <w:rFonts w:eastAsia="Times New Roman" w:cstheme="minorHAnsi"/>
          <w:b/>
          <w:bCs/>
          <w:color w:val="000000"/>
          <w:kern w:val="0"/>
          <w:sz w:val="24"/>
          <w:szCs w:val="24"/>
          <w14:ligatures w14:val="none"/>
        </w:rPr>
        <w:lastRenderedPageBreak/>
        <w:t>A:</w:t>
      </w:r>
      <w:r w:rsidRPr="00BC3E9B">
        <w:rPr>
          <w:rFonts w:eastAsia="Times New Roman" w:cstheme="minorHAnsi"/>
          <w:color w:val="000000"/>
          <w:kern w:val="0"/>
          <w:sz w:val="24"/>
          <w:szCs w:val="24"/>
          <w14:ligatures w14:val="none"/>
        </w:rPr>
        <w:t> Yes, the funding amount listed on page 21 of the NOFO includes both direct and indirect costs</w:t>
      </w:r>
    </w:p>
    <w:p w14:paraId="756B244B" w14:textId="77777777" w:rsidR="009C66B0" w:rsidRPr="00BC3E9B" w:rsidRDefault="009C66B0">
      <w:pPr>
        <w:rPr>
          <w:rFonts w:cstheme="minorHAnsi"/>
          <w:sz w:val="24"/>
          <w:szCs w:val="24"/>
        </w:rPr>
      </w:pPr>
    </w:p>
    <w:sectPr w:rsidR="009C66B0" w:rsidRPr="00BC3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24233"/>
    <w:multiLevelType w:val="multilevel"/>
    <w:tmpl w:val="A756F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3150D6"/>
    <w:multiLevelType w:val="multilevel"/>
    <w:tmpl w:val="E568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705371">
    <w:abstractNumId w:val="0"/>
  </w:num>
  <w:num w:numId="2" w16cid:durableId="1457987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E9B"/>
    <w:rsid w:val="000B762E"/>
    <w:rsid w:val="001A26FA"/>
    <w:rsid w:val="003E08BE"/>
    <w:rsid w:val="0063657C"/>
    <w:rsid w:val="009C66B0"/>
    <w:rsid w:val="00BC3E9B"/>
    <w:rsid w:val="00CE10C9"/>
    <w:rsid w:val="00FB7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0F7CF"/>
  <w15:chartTrackingRefBased/>
  <w15:docId w15:val="{E3599261-CE34-410E-AA85-277FC009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3E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C3E9B"/>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BC3E9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3E9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BC3E9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BC3E9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C3E9B"/>
    <w:rPr>
      <w:b/>
      <w:bCs/>
    </w:rPr>
  </w:style>
  <w:style w:type="paragraph" w:customStyle="1" w:styleId="list-group-item">
    <w:name w:val="list-group-item"/>
    <w:basedOn w:val="Normal"/>
    <w:rsid w:val="00BC3E9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BC3E9B"/>
    <w:rPr>
      <w:color w:val="0000FF"/>
      <w:u w:val="single"/>
    </w:rPr>
  </w:style>
  <w:style w:type="character" w:customStyle="1" w:styleId="card-title">
    <w:name w:val="card-title"/>
    <w:basedOn w:val="DefaultParagraphFont"/>
    <w:rsid w:val="00BC3E9B"/>
  </w:style>
  <w:style w:type="character" w:customStyle="1" w:styleId="Heading1Char">
    <w:name w:val="Heading 1 Char"/>
    <w:basedOn w:val="DefaultParagraphFont"/>
    <w:link w:val="Heading1"/>
    <w:uiPriority w:val="9"/>
    <w:rsid w:val="00BC3E9B"/>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CE10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46791">
      <w:bodyDiv w:val="1"/>
      <w:marLeft w:val="0"/>
      <w:marRight w:val="0"/>
      <w:marTop w:val="0"/>
      <w:marBottom w:val="0"/>
      <w:divBdr>
        <w:top w:val="none" w:sz="0" w:space="0" w:color="auto"/>
        <w:left w:val="none" w:sz="0" w:space="0" w:color="auto"/>
        <w:bottom w:val="none" w:sz="0" w:space="0" w:color="auto"/>
        <w:right w:val="none" w:sz="0" w:space="0" w:color="auto"/>
      </w:divBdr>
    </w:div>
    <w:div w:id="876046241">
      <w:bodyDiv w:val="1"/>
      <w:marLeft w:val="0"/>
      <w:marRight w:val="0"/>
      <w:marTop w:val="0"/>
      <w:marBottom w:val="0"/>
      <w:divBdr>
        <w:top w:val="none" w:sz="0" w:space="0" w:color="auto"/>
        <w:left w:val="none" w:sz="0" w:space="0" w:color="auto"/>
        <w:bottom w:val="none" w:sz="0" w:space="0" w:color="auto"/>
        <w:right w:val="none" w:sz="0" w:space="0" w:color="auto"/>
      </w:divBdr>
      <w:divsChild>
        <w:div w:id="384911661">
          <w:marLeft w:val="-225"/>
          <w:marRight w:val="-225"/>
          <w:marTop w:val="0"/>
          <w:marBottom w:val="0"/>
          <w:divBdr>
            <w:top w:val="none" w:sz="0" w:space="0" w:color="auto"/>
            <w:left w:val="none" w:sz="0" w:space="0" w:color="auto"/>
            <w:bottom w:val="none" w:sz="0" w:space="0" w:color="auto"/>
            <w:right w:val="none" w:sz="0" w:space="0" w:color="auto"/>
          </w:divBdr>
          <w:divsChild>
            <w:div w:id="700663840">
              <w:marLeft w:val="0"/>
              <w:marRight w:val="0"/>
              <w:marTop w:val="0"/>
              <w:marBottom w:val="0"/>
              <w:divBdr>
                <w:top w:val="none" w:sz="0" w:space="0" w:color="auto"/>
                <w:left w:val="none" w:sz="0" w:space="0" w:color="auto"/>
                <w:bottom w:val="none" w:sz="0" w:space="0" w:color="auto"/>
                <w:right w:val="none" w:sz="0" w:space="0" w:color="auto"/>
              </w:divBdr>
              <w:divsChild>
                <w:div w:id="385954149">
                  <w:marLeft w:val="0"/>
                  <w:marRight w:val="0"/>
                  <w:marTop w:val="0"/>
                  <w:marBottom w:val="0"/>
                  <w:divBdr>
                    <w:top w:val="none" w:sz="0" w:space="0" w:color="auto"/>
                    <w:left w:val="none" w:sz="0" w:space="0" w:color="auto"/>
                    <w:bottom w:val="none" w:sz="0" w:space="0" w:color="auto"/>
                    <w:right w:val="none" w:sz="0" w:space="0" w:color="auto"/>
                  </w:divBdr>
                </w:div>
                <w:div w:id="2030446926">
                  <w:marLeft w:val="0"/>
                  <w:marRight w:val="0"/>
                  <w:marTop w:val="0"/>
                  <w:marBottom w:val="0"/>
                  <w:divBdr>
                    <w:top w:val="none" w:sz="0" w:space="0" w:color="auto"/>
                    <w:left w:val="none" w:sz="0" w:space="0" w:color="auto"/>
                    <w:bottom w:val="single" w:sz="6" w:space="0" w:color="EAEAEA"/>
                    <w:right w:val="none" w:sz="0" w:space="0" w:color="auto"/>
                  </w:divBdr>
                  <w:divsChild>
                    <w:div w:id="200944927">
                      <w:marLeft w:val="0"/>
                      <w:marRight w:val="0"/>
                      <w:marTop w:val="0"/>
                      <w:marBottom w:val="0"/>
                      <w:divBdr>
                        <w:top w:val="single" w:sz="18" w:space="0" w:color="EAEAEA"/>
                        <w:left w:val="none" w:sz="0" w:space="0" w:color="auto"/>
                        <w:bottom w:val="none" w:sz="0" w:space="0" w:color="auto"/>
                        <w:right w:val="none" w:sz="0" w:space="0" w:color="auto"/>
                      </w:divBdr>
                    </w:div>
                  </w:divsChild>
                </w:div>
              </w:divsChild>
            </w:div>
          </w:divsChild>
        </w:div>
        <w:div w:id="630671379">
          <w:marLeft w:val="-225"/>
          <w:marRight w:val="-225"/>
          <w:marTop w:val="0"/>
          <w:marBottom w:val="0"/>
          <w:divBdr>
            <w:top w:val="none" w:sz="0" w:space="0" w:color="auto"/>
            <w:left w:val="none" w:sz="0" w:space="0" w:color="auto"/>
            <w:bottom w:val="none" w:sz="0" w:space="0" w:color="auto"/>
            <w:right w:val="none" w:sz="0" w:space="0" w:color="auto"/>
          </w:divBdr>
          <w:divsChild>
            <w:div w:id="1112287876">
              <w:marLeft w:val="0"/>
              <w:marRight w:val="0"/>
              <w:marTop w:val="0"/>
              <w:marBottom w:val="0"/>
              <w:divBdr>
                <w:top w:val="none" w:sz="0" w:space="0" w:color="auto"/>
                <w:left w:val="none" w:sz="0" w:space="0" w:color="auto"/>
                <w:bottom w:val="none" w:sz="0" w:space="0" w:color="auto"/>
                <w:right w:val="none" w:sz="0" w:space="0" w:color="auto"/>
              </w:divBdr>
              <w:divsChild>
                <w:div w:id="477458985">
                  <w:marLeft w:val="0"/>
                  <w:marRight w:val="0"/>
                  <w:marTop w:val="0"/>
                  <w:marBottom w:val="0"/>
                  <w:divBdr>
                    <w:top w:val="none" w:sz="0" w:space="0" w:color="auto"/>
                    <w:left w:val="none" w:sz="0" w:space="0" w:color="auto"/>
                    <w:bottom w:val="none" w:sz="0" w:space="0" w:color="auto"/>
                    <w:right w:val="none" w:sz="0" w:space="0" w:color="auto"/>
                  </w:divBdr>
                  <w:divsChild>
                    <w:div w:id="1354770481">
                      <w:marLeft w:val="0"/>
                      <w:marRight w:val="0"/>
                      <w:marTop w:val="0"/>
                      <w:marBottom w:val="0"/>
                      <w:divBdr>
                        <w:top w:val="none" w:sz="0" w:space="0" w:color="auto"/>
                        <w:left w:val="none" w:sz="0" w:space="0" w:color="auto"/>
                        <w:bottom w:val="none" w:sz="0" w:space="0" w:color="auto"/>
                        <w:right w:val="none" w:sz="0" w:space="0" w:color="auto"/>
                      </w:divBdr>
                      <w:divsChild>
                        <w:div w:id="727338078">
                          <w:marLeft w:val="0"/>
                          <w:marRight w:val="0"/>
                          <w:marTop w:val="0"/>
                          <w:marBottom w:val="0"/>
                          <w:divBdr>
                            <w:top w:val="none" w:sz="0" w:space="0" w:color="auto"/>
                            <w:left w:val="none" w:sz="0" w:space="0" w:color="auto"/>
                            <w:bottom w:val="none" w:sz="0" w:space="0" w:color="auto"/>
                            <w:right w:val="none" w:sz="0" w:space="0" w:color="auto"/>
                          </w:divBdr>
                          <w:divsChild>
                            <w:div w:id="1573858098">
                              <w:marLeft w:val="0"/>
                              <w:marRight w:val="0"/>
                              <w:marTop w:val="0"/>
                              <w:marBottom w:val="0"/>
                              <w:divBdr>
                                <w:top w:val="none" w:sz="0" w:space="0" w:color="auto"/>
                                <w:left w:val="none" w:sz="0" w:space="0" w:color="auto"/>
                                <w:bottom w:val="none" w:sz="0" w:space="0" w:color="auto"/>
                                <w:right w:val="none" w:sz="0" w:space="0" w:color="auto"/>
                              </w:divBdr>
                              <w:divsChild>
                                <w:div w:id="83890660">
                                  <w:marLeft w:val="0"/>
                                  <w:marRight w:val="0"/>
                                  <w:marTop w:val="0"/>
                                  <w:marBottom w:val="0"/>
                                  <w:divBdr>
                                    <w:top w:val="none" w:sz="0" w:space="0" w:color="auto"/>
                                    <w:left w:val="none" w:sz="0" w:space="0" w:color="auto"/>
                                    <w:bottom w:val="none" w:sz="0" w:space="0" w:color="auto"/>
                                    <w:right w:val="none" w:sz="0" w:space="0" w:color="auto"/>
                                  </w:divBdr>
                                  <w:divsChild>
                                    <w:div w:id="179031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714512">
                      <w:marLeft w:val="0"/>
                      <w:marRight w:val="0"/>
                      <w:marTop w:val="0"/>
                      <w:marBottom w:val="0"/>
                      <w:divBdr>
                        <w:top w:val="none" w:sz="0" w:space="0" w:color="auto"/>
                        <w:left w:val="none" w:sz="0" w:space="0" w:color="auto"/>
                        <w:bottom w:val="none" w:sz="0" w:space="0" w:color="auto"/>
                        <w:right w:val="none" w:sz="0" w:space="0" w:color="auto"/>
                      </w:divBdr>
                      <w:divsChild>
                        <w:div w:id="1402867933">
                          <w:marLeft w:val="0"/>
                          <w:marRight w:val="0"/>
                          <w:marTop w:val="0"/>
                          <w:marBottom w:val="0"/>
                          <w:divBdr>
                            <w:top w:val="none" w:sz="0" w:space="0" w:color="auto"/>
                            <w:left w:val="none" w:sz="0" w:space="0" w:color="auto"/>
                            <w:bottom w:val="none" w:sz="0" w:space="0" w:color="auto"/>
                            <w:right w:val="none" w:sz="0" w:space="0" w:color="auto"/>
                          </w:divBdr>
                          <w:divsChild>
                            <w:div w:id="1319457983">
                              <w:marLeft w:val="0"/>
                              <w:marRight w:val="0"/>
                              <w:marTop w:val="0"/>
                              <w:marBottom w:val="0"/>
                              <w:divBdr>
                                <w:top w:val="none" w:sz="0" w:space="0" w:color="auto"/>
                                <w:left w:val="none" w:sz="0" w:space="0" w:color="auto"/>
                                <w:bottom w:val="none" w:sz="0" w:space="0" w:color="auto"/>
                                <w:right w:val="none" w:sz="0" w:space="0" w:color="auto"/>
                              </w:divBdr>
                              <w:divsChild>
                                <w:div w:id="207766628">
                                  <w:marLeft w:val="0"/>
                                  <w:marRight w:val="0"/>
                                  <w:marTop w:val="0"/>
                                  <w:marBottom w:val="0"/>
                                  <w:divBdr>
                                    <w:top w:val="none" w:sz="0" w:space="0" w:color="auto"/>
                                    <w:left w:val="none" w:sz="0" w:space="0" w:color="auto"/>
                                    <w:bottom w:val="none" w:sz="0" w:space="0" w:color="auto"/>
                                    <w:right w:val="none" w:sz="0" w:space="0" w:color="auto"/>
                                  </w:divBdr>
                                  <w:divsChild>
                                    <w:div w:id="186220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006145">
                      <w:marLeft w:val="0"/>
                      <w:marRight w:val="0"/>
                      <w:marTop w:val="0"/>
                      <w:marBottom w:val="0"/>
                      <w:divBdr>
                        <w:top w:val="none" w:sz="0" w:space="0" w:color="auto"/>
                        <w:left w:val="none" w:sz="0" w:space="0" w:color="auto"/>
                        <w:bottom w:val="none" w:sz="0" w:space="0" w:color="auto"/>
                        <w:right w:val="none" w:sz="0" w:space="0" w:color="auto"/>
                      </w:divBdr>
                      <w:divsChild>
                        <w:div w:id="601840068">
                          <w:marLeft w:val="0"/>
                          <w:marRight w:val="0"/>
                          <w:marTop w:val="0"/>
                          <w:marBottom w:val="0"/>
                          <w:divBdr>
                            <w:top w:val="none" w:sz="0" w:space="0" w:color="auto"/>
                            <w:left w:val="none" w:sz="0" w:space="0" w:color="auto"/>
                            <w:bottom w:val="none" w:sz="0" w:space="0" w:color="auto"/>
                            <w:right w:val="none" w:sz="0" w:space="0" w:color="auto"/>
                          </w:divBdr>
                          <w:divsChild>
                            <w:div w:id="740717697">
                              <w:marLeft w:val="0"/>
                              <w:marRight w:val="0"/>
                              <w:marTop w:val="0"/>
                              <w:marBottom w:val="0"/>
                              <w:divBdr>
                                <w:top w:val="none" w:sz="0" w:space="0" w:color="auto"/>
                                <w:left w:val="none" w:sz="0" w:space="0" w:color="auto"/>
                                <w:bottom w:val="none" w:sz="0" w:space="0" w:color="auto"/>
                                <w:right w:val="none" w:sz="0" w:space="0" w:color="auto"/>
                              </w:divBdr>
                              <w:divsChild>
                                <w:div w:id="184952485">
                                  <w:marLeft w:val="0"/>
                                  <w:marRight w:val="0"/>
                                  <w:marTop w:val="0"/>
                                  <w:marBottom w:val="0"/>
                                  <w:divBdr>
                                    <w:top w:val="none" w:sz="0" w:space="0" w:color="auto"/>
                                    <w:left w:val="none" w:sz="0" w:space="0" w:color="auto"/>
                                    <w:bottom w:val="none" w:sz="0" w:space="0" w:color="auto"/>
                                    <w:right w:val="none" w:sz="0" w:space="0" w:color="auto"/>
                                  </w:divBdr>
                                  <w:divsChild>
                                    <w:div w:id="80755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024192">
                      <w:marLeft w:val="0"/>
                      <w:marRight w:val="0"/>
                      <w:marTop w:val="0"/>
                      <w:marBottom w:val="0"/>
                      <w:divBdr>
                        <w:top w:val="none" w:sz="0" w:space="0" w:color="auto"/>
                        <w:left w:val="none" w:sz="0" w:space="0" w:color="auto"/>
                        <w:bottom w:val="none" w:sz="0" w:space="0" w:color="auto"/>
                        <w:right w:val="none" w:sz="0" w:space="0" w:color="auto"/>
                      </w:divBdr>
                      <w:divsChild>
                        <w:div w:id="1955552667">
                          <w:marLeft w:val="0"/>
                          <w:marRight w:val="0"/>
                          <w:marTop w:val="0"/>
                          <w:marBottom w:val="0"/>
                          <w:divBdr>
                            <w:top w:val="none" w:sz="0" w:space="0" w:color="auto"/>
                            <w:left w:val="none" w:sz="0" w:space="0" w:color="auto"/>
                            <w:bottom w:val="none" w:sz="0" w:space="0" w:color="auto"/>
                            <w:right w:val="none" w:sz="0" w:space="0" w:color="auto"/>
                          </w:divBdr>
                          <w:divsChild>
                            <w:div w:id="407702108">
                              <w:marLeft w:val="0"/>
                              <w:marRight w:val="0"/>
                              <w:marTop w:val="0"/>
                              <w:marBottom w:val="0"/>
                              <w:divBdr>
                                <w:top w:val="none" w:sz="0" w:space="0" w:color="auto"/>
                                <w:left w:val="none" w:sz="0" w:space="0" w:color="auto"/>
                                <w:bottom w:val="none" w:sz="0" w:space="0" w:color="auto"/>
                                <w:right w:val="none" w:sz="0" w:space="0" w:color="auto"/>
                              </w:divBdr>
                              <w:divsChild>
                                <w:div w:id="607390214">
                                  <w:marLeft w:val="0"/>
                                  <w:marRight w:val="0"/>
                                  <w:marTop w:val="0"/>
                                  <w:marBottom w:val="0"/>
                                  <w:divBdr>
                                    <w:top w:val="none" w:sz="0" w:space="0" w:color="auto"/>
                                    <w:left w:val="none" w:sz="0" w:space="0" w:color="auto"/>
                                    <w:bottom w:val="none" w:sz="0" w:space="0" w:color="auto"/>
                                    <w:right w:val="none" w:sz="0" w:space="0" w:color="auto"/>
                                  </w:divBdr>
                                  <w:divsChild>
                                    <w:div w:id="15811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410113">
                      <w:marLeft w:val="0"/>
                      <w:marRight w:val="0"/>
                      <w:marTop w:val="0"/>
                      <w:marBottom w:val="0"/>
                      <w:divBdr>
                        <w:top w:val="none" w:sz="0" w:space="0" w:color="auto"/>
                        <w:left w:val="none" w:sz="0" w:space="0" w:color="auto"/>
                        <w:bottom w:val="none" w:sz="0" w:space="0" w:color="auto"/>
                        <w:right w:val="none" w:sz="0" w:space="0" w:color="auto"/>
                      </w:divBdr>
                      <w:divsChild>
                        <w:div w:id="1499888154">
                          <w:marLeft w:val="0"/>
                          <w:marRight w:val="0"/>
                          <w:marTop w:val="0"/>
                          <w:marBottom w:val="0"/>
                          <w:divBdr>
                            <w:top w:val="none" w:sz="0" w:space="0" w:color="auto"/>
                            <w:left w:val="none" w:sz="0" w:space="0" w:color="auto"/>
                            <w:bottom w:val="none" w:sz="0" w:space="0" w:color="auto"/>
                            <w:right w:val="none" w:sz="0" w:space="0" w:color="auto"/>
                          </w:divBdr>
                          <w:divsChild>
                            <w:div w:id="1387415933">
                              <w:marLeft w:val="0"/>
                              <w:marRight w:val="0"/>
                              <w:marTop w:val="0"/>
                              <w:marBottom w:val="0"/>
                              <w:divBdr>
                                <w:top w:val="none" w:sz="0" w:space="0" w:color="auto"/>
                                <w:left w:val="none" w:sz="0" w:space="0" w:color="auto"/>
                                <w:bottom w:val="none" w:sz="0" w:space="0" w:color="auto"/>
                                <w:right w:val="none" w:sz="0" w:space="0" w:color="auto"/>
                              </w:divBdr>
                              <w:divsChild>
                                <w:div w:id="1752384105">
                                  <w:marLeft w:val="0"/>
                                  <w:marRight w:val="0"/>
                                  <w:marTop w:val="0"/>
                                  <w:marBottom w:val="0"/>
                                  <w:divBdr>
                                    <w:top w:val="none" w:sz="0" w:space="0" w:color="auto"/>
                                    <w:left w:val="none" w:sz="0" w:space="0" w:color="auto"/>
                                    <w:bottom w:val="none" w:sz="0" w:space="0" w:color="auto"/>
                                    <w:right w:val="none" w:sz="0" w:space="0" w:color="auto"/>
                                  </w:divBdr>
                                  <w:divsChild>
                                    <w:div w:id="2171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583857">
                      <w:marLeft w:val="0"/>
                      <w:marRight w:val="0"/>
                      <w:marTop w:val="0"/>
                      <w:marBottom w:val="0"/>
                      <w:divBdr>
                        <w:top w:val="none" w:sz="0" w:space="0" w:color="auto"/>
                        <w:left w:val="none" w:sz="0" w:space="0" w:color="auto"/>
                        <w:bottom w:val="none" w:sz="0" w:space="0" w:color="auto"/>
                        <w:right w:val="none" w:sz="0" w:space="0" w:color="auto"/>
                      </w:divBdr>
                      <w:divsChild>
                        <w:div w:id="219754748">
                          <w:marLeft w:val="0"/>
                          <w:marRight w:val="0"/>
                          <w:marTop w:val="0"/>
                          <w:marBottom w:val="0"/>
                          <w:divBdr>
                            <w:top w:val="none" w:sz="0" w:space="0" w:color="auto"/>
                            <w:left w:val="none" w:sz="0" w:space="0" w:color="auto"/>
                            <w:bottom w:val="none" w:sz="0" w:space="0" w:color="auto"/>
                            <w:right w:val="none" w:sz="0" w:space="0" w:color="auto"/>
                          </w:divBdr>
                          <w:divsChild>
                            <w:div w:id="1015380200">
                              <w:marLeft w:val="0"/>
                              <w:marRight w:val="0"/>
                              <w:marTop w:val="0"/>
                              <w:marBottom w:val="0"/>
                              <w:divBdr>
                                <w:top w:val="none" w:sz="0" w:space="0" w:color="auto"/>
                                <w:left w:val="none" w:sz="0" w:space="0" w:color="auto"/>
                                <w:bottom w:val="none" w:sz="0" w:space="0" w:color="auto"/>
                                <w:right w:val="none" w:sz="0" w:space="0" w:color="auto"/>
                              </w:divBdr>
                              <w:divsChild>
                                <w:div w:id="1611424823">
                                  <w:marLeft w:val="0"/>
                                  <w:marRight w:val="0"/>
                                  <w:marTop w:val="0"/>
                                  <w:marBottom w:val="0"/>
                                  <w:divBdr>
                                    <w:top w:val="none" w:sz="0" w:space="0" w:color="auto"/>
                                    <w:left w:val="none" w:sz="0" w:space="0" w:color="auto"/>
                                    <w:bottom w:val="none" w:sz="0" w:space="0" w:color="auto"/>
                                    <w:right w:val="none" w:sz="0" w:space="0" w:color="auto"/>
                                  </w:divBdr>
                                  <w:divsChild>
                                    <w:div w:id="122625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482633">
                      <w:marLeft w:val="0"/>
                      <w:marRight w:val="0"/>
                      <w:marTop w:val="0"/>
                      <w:marBottom w:val="0"/>
                      <w:divBdr>
                        <w:top w:val="none" w:sz="0" w:space="0" w:color="auto"/>
                        <w:left w:val="none" w:sz="0" w:space="0" w:color="auto"/>
                        <w:bottom w:val="single" w:sz="6" w:space="0" w:color="BDBDBD"/>
                        <w:right w:val="none" w:sz="0" w:space="0" w:color="auto"/>
                      </w:divBdr>
                      <w:divsChild>
                        <w:div w:id="1814103599">
                          <w:marLeft w:val="0"/>
                          <w:marRight w:val="0"/>
                          <w:marTop w:val="0"/>
                          <w:marBottom w:val="0"/>
                          <w:divBdr>
                            <w:top w:val="none" w:sz="0" w:space="0" w:color="auto"/>
                            <w:left w:val="none" w:sz="0" w:space="0" w:color="auto"/>
                            <w:bottom w:val="none" w:sz="0" w:space="0" w:color="auto"/>
                            <w:right w:val="none" w:sz="0" w:space="0" w:color="auto"/>
                          </w:divBdr>
                          <w:divsChild>
                            <w:div w:id="1715346774">
                              <w:marLeft w:val="0"/>
                              <w:marRight w:val="0"/>
                              <w:marTop w:val="0"/>
                              <w:marBottom w:val="0"/>
                              <w:divBdr>
                                <w:top w:val="none" w:sz="0" w:space="0" w:color="auto"/>
                                <w:left w:val="none" w:sz="0" w:space="0" w:color="auto"/>
                                <w:bottom w:val="none" w:sz="0" w:space="0" w:color="auto"/>
                                <w:right w:val="none" w:sz="0" w:space="0" w:color="auto"/>
                              </w:divBdr>
                              <w:divsChild>
                                <w:div w:id="1939680508">
                                  <w:marLeft w:val="0"/>
                                  <w:marRight w:val="0"/>
                                  <w:marTop w:val="0"/>
                                  <w:marBottom w:val="0"/>
                                  <w:divBdr>
                                    <w:top w:val="none" w:sz="0" w:space="0" w:color="auto"/>
                                    <w:left w:val="none" w:sz="0" w:space="0" w:color="auto"/>
                                    <w:bottom w:val="none" w:sz="0" w:space="0" w:color="auto"/>
                                    <w:right w:val="none" w:sz="0" w:space="0" w:color="auto"/>
                                  </w:divBdr>
                                  <w:divsChild>
                                    <w:div w:id="139847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4171062">
          <w:marLeft w:val="-225"/>
          <w:marRight w:val="-225"/>
          <w:marTop w:val="0"/>
          <w:marBottom w:val="0"/>
          <w:divBdr>
            <w:top w:val="none" w:sz="0" w:space="0" w:color="auto"/>
            <w:left w:val="none" w:sz="0" w:space="0" w:color="auto"/>
            <w:bottom w:val="none" w:sz="0" w:space="0" w:color="auto"/>
            <w:right w:val="none" w:sz="0" w:space="0" w:color="auto"/>
          </w:divBdr>
          <w:divsChild>
            <w:div w:id="2113285276">
              <w:marLeft w:val="0"/>
              <w:marRight w:val="0"/>
              <w:marTop w:val="0"/>
              <w:marBottom w:val="0"/>
              <w:divBdr>
                <w:top w:val="none" w:sz="0" w:space="0" w:color="auto"/>
                <w:left w:val="none" w:sz="0" w:space="0" w:color="auto"/>
                <w:bottom w:val="none" w:sz="0" w:space="0" w:color="auto"/>
                <w:right w:val="none" w:sz="0" w:space="0" w:color="auto"/>
              </w:divBdr>
              <w:divsChild>
                <w:div w:id="160435047">
                  <w:marLeft w:val="0"/>
                  <w:marRight w:val="0"/>
                  <w:marTop w:val="0"/>
                  <w:marBottom w:val="0"/>
                  <w:divBdr>
                    <w:top w:val="none" w:sz="0" w:space="0" w:color="auto"/>
                    <w:left w:val="none" w:sz="0" w:space="0" w:color="auto"/>
                    <w:bottom w:val="none" w:sz="0" w:space="0" w:color="auto"/>
                    <w:right w:val="none" w:sz="0" w:space="0" w:color="auto"/>
                  </w:divBdr>
                  <w:divsChild>
                    <w:div w:id="328407969">
                      <w:marLeft w:val="0"/>
                      <w:marRight w:val="0"/>
                      <w:marTop w:val="0"/>
                      <w:marBottom w:val="0"/>
                      <w:divBdr>
                        <w:top w:val="none" w:sz="0" w:space="0" w:color="auto"/>
                        <w:left w:val="none" w:sz="0" w:space="0" w:color="auto"/>
                        <w:bottom w:val="single" w:sz="6" w:space="0" w:color="BDBDBD"/>
                        <w:right w:val="none" w:sz="0" w:space="0" w:color="auto"/>
                      </w:divBdr>
                      <w:divsChild>
                        <w:div w:id="1411150680">
                          <w:marLeft w:val="0"/>
                          <w:marRight w:val="0"/>
                          <w:marTop w:val="0"/>
                          <w:marBottom w:val="0"/>
                          <w:divBdr>
                            <w:top w:val="none" w:sz="0" w:space="0" w:color="auto"/>
                            <w:left w:val="none" w:sz="0" w:space="0" w:color="auto"/>
                            <w:bottom w:val="none" w:sz="0" w:space="0" w:color="auto"/>
                            <w:right w:val="none" w:sz="0" w:space="0" w:color="auto"/>
                          </w:divBdr>
                          <w:divsChild>
                            <w:div w:id="1710256652">
                              <w:marLeft w:val="0"/>
                              <w:marRight w:val="0"/>
                              <w:marTop w:val="0"/>
                              <w:marBottom w:val="0"/>
                              <w:divBdr>
                                <w:top w:val="none" w:sz="0" w:space="0" w:color="auto"/>
                                <w:left w:val="none" w:sz="0" w:space="0" w:color="auto"/>
                                <w:bottom w:val="none" w:sz="0" w:space="0" w:color="auto"/>
                                <w:right w:val="none" w:sz="0" w:space="0" w:color="auto"/>
                              </w:divBdr>
                              <w:divsChild>
                                <w:div w:id="347684534">
                                  <w:marLeft w:val="0"/>
                                  <w:marRight w:val="0"/>
                                  <w:marTop w:val="0"/>
                                  <w:marBottom w:val="0"/>
                                  <w:divBdr>
                                    <w:top w:val="none" w:sz="0" w:space="0" w:color="auto"/>
                                    <w:left w:val="none" w:sz="0" w:space="0" w:color="auto"/>
                                    <w:bottom w:val="none" w:sz="0" w:space="0" w:color="auto"/>
                                    <w:right w:val="none" w:sz="0" w:space="0" w:color="auto"/>
                                  </w:divBdr>
                                  <w:divsChild>
                                    <w:div w:id="5437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386589">
          <w:marLeft w:val="-225"/>
          <w:marRight w:val="-225"/>
          <w:marTop w:val="0"/>
          <w:marBottom w:val="0"/>
          <w:divBdr>
            <w:top w:val="none" w:sz="0" w:space="0" w:color="auto"/>
            <w:left w:val="none" w:sz="0" w:space="0" w:color="auto"/>
            <w:bottom w:val="none" w:sz="0" w:space="0" w:color="auto"/>
            <w:right w:val="none" w:sz="0" w:space="0" w:color="auto"/>
          </w:divBdr>
          <w:divsChild>
            <w:div w:id="1304848262">
              <w:marLeft w:val="0"/>
              <w:marRight w:val="0"/>
              <w:marTop w:val="0"/>
              <w:marBottom w:val="0"/>
              <w:divBdr>
                <w:top w:val="none" w:sz="0" w:space="0" w:color="auto"/>
                <w:left w:val="none" w:sz="0" w:space="0" w:color="auto"/>
                <w:bottom w:val="none" w:sz="0" w:space="0" w:color="auto"/>
                <w:right w:val="none" w:sz="0" w:space="0" w:color="auto"/>
              </w:divBdr>
              <w:divsChild>
                <w:div w:id="338316515">
                  <w:marLeft w:val="0"/>
                  <w:marRight w:val="0"/>
                  <w:marTop w:val="0"/>
                  <w:marBottom w:val="0"/>
                  <w:divBdr>
                    <w:top w:val="none" w:sz="0" w:space="0" w:color="auto"/>
                    <w:left w:val="none" w:sz="0" w:space="0" w:color="auto"/>
                    <w:bottom w:val="none" w:sz="0" w:space="0" w:color="auto"/>
                    <w:right w:val="none" w:sz="0" w:space="0" w:color="auto"/>
                  </w:divBdr>
                  <w:divsChild>
                    <w:div w:id="297539738">
                      <w:marLeft w:val="0"/>
                      <w:marRight w:val="0"/>
                      <w:marTop w:val="0"/>
                      <w:marBottom w:val="0"/>
                      <w:divBdr>
                        <w:top w:val="none" w:sz="0" w:space="0" w:color="auto"/>
                        <w:left w:val="none" w:sz="0" w:space="0" w:color="auto"/>
                        <w:bottom w:val="none" w:sz="0" w:space="0" w:color="auto"/>
                        <w:right w:val="none" w:sz="0" w:space="0" w:color="auto"/>
                      </w:divBdr>
                      <w:divsChild>
                        <w:div w:id="332416659">
                          <w:marLeft w:val="0"/>
                          <w:marRight w:val="0"/>
                          <w:marTop w:val="0"/>
                          <w:marBottom w:val="0"/>
                          <w:divBdr>
                            <w:top w:val="none" w:sz="0" w:space="0" w:color="auto"/>
                            <w:left w:val="none" w:sz="0" w:space="0" w:color="auto"/>
                            <w:bottom w:val="none" w:sz="0" w:space="0" w:color="auto"/>
                            <w:right w:val="none" w:sz="0" w:space="0" w:color="auto"/>
                          </w:divBdr>
                          <w:divsChild>
                            <w:div w:id="279189679">
                              <w:marLeft w:val="0"/>
                              <w:marRight w:val="0"/>
                              <w:marTop w:val="0"/>
                              <w:marBottom w:val="0"/>
                              <w:divBdr>
                                <w:top w:val="none" w:sz="0" w:space="0" w:color="auto"/>
                                <w:left w:val="none" w:sz="0" w:space="0" w:color="auto"/>
                                <w:bottom w:val="none" w:sz="0" w:space="0" w:color="auto"/>
                                <w:right w:val="none" w:sz="0" w:space="0" w:color="auto"/>
                              </w:divBdr>
                              <w:divsChild>
                                <w:div w:id="269632994">
                                  <w:marLeft w:val="0"/>
                                  <w:marRight w:val="0"/>
                                  <w:marTop w:val="0"/>
                                  <w:marBottom w:val="0"/>
                                  <w:divBdr>
                                    <w:top w:val="none" w:sz="0" w:space="0" w:color="auto"/>
                                    <w:left w:val="none" w:sz="0" w:space="0" w:color="auto"/>
                                    <w:bottom w:val="none" w:sz="0" w:space="0" w:color="auto"/>
                                    <w:right w:val="none" w:sz="0" w:space="0" w:color="auto"/>
                                  </w:divBdr>
                                  <w:divsChild>
                                    <w:div w:id="418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038172">
                      <w:marLeft w:val="0"/>
                      <w:marRight w:val="0"/>
                      <w:marTop w:val="0"/>
                      <w:marBottom w:val="0"/>
                      <w:divBdr>
                        <w:top w:val="none" w:sz="0" w:space="0" w:color="auto"/>
                        <w:left w:val="none" w:sz="0" w:space="0" w:color="auto"/>
                        <w:bottom w:val="none" w:sz="0" w:space="0" w:color="auto"/>
                        <w:right w:val="none" w:sz="0" w:space="0" w:color="auto"/>
                      </w:divBdr>
                      <w:divsChild>
                        <w:div w:id="197356907">
                          <w:marLeft w:val="0"/>
                          <w:marRight w:val="0"/>
                          <w:marTop w:val="0"/>
                          <w:marBottom w:val="0"/>
                          <w:divBdr>
                            <w:top w:val="none" w:sz="0" w:space="0" w:color="auto"/>
                            <w:left w:val="none" w:sz="0" w:space="0" w:color="auto"/>
                            <w:bottom w:val="none" w:sz="0" w:space="0" w:color="auto"/>
                            <w:right w:val="none" w:sz="0" w:space="0" w:color="auto"/>
                          </w:divBdr>
                          <w:divsChild>
                            <w:div w:id="1359163476">
                              <w:marLeft w:val="0"/>
                              <w:marRight w:val="0"/>
                              <w:marTop w:val="0"/>
                              <w:marBottom w:val="0"/>
                              <w:divBdr>
                                <w:top w:val="none" w:sz="0" w:space="0" w:color="auto"/>
                                <w:left w:val="none" w:sz="0" w:space="0" w:color="auto"/>
                                <w:bottom w:val="none" w:sz="0" w:space="0" w:color="auto"/>
                                <w:right w:val="none" w:sz="0" w:space="0" w:color="auto"/>
                              </w:divBdr>
                              <w:divsChild>
                                <w:div w:id="911475704">
                                  <w:marLeft w:val="0"/>
                                  <w:marRight w:val="0"/>
                                  <w:marTop w:val="0"/>
                                  <w:marBottom w:val="0"/>
                                  <w:divBdr>
                                    <w:top w:val="none" w:sz="0" w:space="0" w:color="auto"/>
                                    <w:left w:val="none" w:sz="0" w:space="0" w:color="auto"/>
                                    <w:bottom w:val="none" w:sz="0" w:space="0" w:color="auto"/>
                                    <w:right w:val="none" w:sz="0" w:space="0" w:color="auto"/>
                                  </w:divBdr>
                                  <w:divsChild>
                                    <w:div w:id="171530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561301">
                      <w:marLeft w:val="0"/>
                      <w:marRight w:val="0"/>
                      <w:marTop w:val="0"/>
                      <w:marBottom w:val="0"/>
                      <w:divBdr>
                        <w:top w:val="none" w:sz="0" w:space="0" w:color="auto"/>
                        <w:left w:val="none" w:sz="0" w:space="0" w:color="auto"/>
                        <w:bottom w:val="single" w:sz="6" w:space="0" w:color="BDBDBD"/>
                        <w:right w:val="none" w:sz="0" w:space="0" w:color="auto"/>
                      </w:divBdr>
                      <w:divsChild>
                        <w:div w:id="1194735520">
                          <w:marLeft w:val="0"/>
                          <w:marRight w:val="0"/>
                          <w:marTop w:val="0"/>
                          <w:marBottom w:val="0"/>
                          <w:divBdr>
                            <w:top w:val="none" w:sz="0" w:space="0" w:color="auto"/>
                            <w:left w:val="none" w:sz="0" w:space="0" w:color="auto"/>
                            <w:bottom w:val="none" w:sz="0" w:space="0" w:color="auto"/>
                            <w:right w:val="none" w:sz="0" w:space="0" w:color="auto"/>
                          </w:divBdr>
                          <w:divsChild>
                            <w:div w:id="1506363963">
                              <w:marLeft w:val="0"/>
                              <w:marRight w:val="0"/>
                              <w:marTop w:val="0"/>
                              <w:marBottom w:val="0"/>
                              <w:divBdr>
                                <w:top w:val="none" w:sz="0" w:space="0" w:color="auto"/>
                                <w:left w:val="none" w:sz="0" w:space="0" w:color="auto"/>
                                <w:bottom w:val="none" w:sz="0" w:space="0" w:color="auto"/>
                                <w:right w:val="none" w:sz="0" w:space="0" w:color="auto"/>
                              </w:divBdr>
                              <w:divsChild>
                                <w:div w:id="1788965431">
                                  <w:marLeft w:val="0"/>
                                  <w:marRight w:val="0"/>
                                  <w:marTop w:val="0"/>
                                  <w:marBottom w:val="0"/>
                                  <w:divBdr>
                                    <w:top w:val="none" w:sz="0" w:space="0" w:color="auto"/>
                                    <w:left w:val="none" w:sz="0" w:space="0" w:color="auto"/>
                                    <w:bottom w:val="none" w:sz="0" w:space="0" w:color="auto"/>
                                    <w:right w:val="none" w:sz="0" w:space="0" w:color="auto"/>
                                  </w:divBdr>
                                  <w:divsChild>
                                    <w:div w:id="2301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729365">
          <w:marLeft w:val="-225"/>
          <w:marRight w:val="-225"/>
          <w:marTop w:val="0"/>
          <w:marBottom w:val="0"/>
          <w:divBdr>
            <w:top w:val="none" w:sz="0" w:space="0" w:color="auto"/>
            <w:left w:val="none" w:sz="0" w:space="0" w:color="auto"/>
            <w:bottom w:val="none" w:sz="0" w:space="0" w:color="auto"/>
            <w:right w:val="none" w:sz="0" w:space="0" w:color="auto"/>
          </w:divBdr>
          <w:divsChild>
            <w:div w:id="1030691454">
              <w:marLeft w:val="0"/>
              <w:marRight w:val="0"/>
              <w:marTop w:val="0"/>
              <w:marBottom w:val="0"/>
              <w:divBdr>
                <w:top w:val="none" w:sz="0" w:space="0" w:color="auto"/>
                <w:left w:val="none" w:sz="0" w:space="0" w:color="auto"/>
                <w:bottom w:val="none" w:sz="0" w:space="0" w:color="auto"/>
                <w:right w:val="none" w:sz="0" w:space="0" w:color="auto"/>
              </w:divBdr>
              <w:divsChild>
                <w:div w:id="1673340342">
                  <w:marLeft w:val="0"/>
                  <w:marRight w:val="0"/>
                  <w:marTop w:val="0"/>
                  <w:marBottom w:val="0"/>
                  <w:divBdr>
                    <w:top w:val="none" w:sz="0" w:space="0" w:color="auto"/>
                    <w:left w:val="none" w:sz="0" w:space="0" w:color="auto"/>
                    <w:bottom w:val="none" w:sz="0" w:space="0" w:color="auto"/>
                    <w:right w:val="none" w:sz="0" w:space="0" w:color="auto"/>
                  </w:divBdr>
                  <w:divsChild>
                    <w:div w:id="1602839611">
                      <w:marLeft w:val="0"/>
                      <w:marRight w:val="0"/>
                      <w:marTop w:val="0"/>
                      <w:marBottom w:val="0"/>
                      <w:divBdr>
                        <w:top w:val="none" w:sz="0" w:space="0" w:color="auto"/>
                        <w:left w:val="none" w:sz="0" w:space="0" w:color="auto"/>
                        <w:bottom w:val="single" w:sz="6" w:space="0" w:color="BDBDBD"/>
                        <w:right w:val="none" w:sz="0" w:space="0" w:color="auto"/>
                      </w:divBdr>
                      <w:divsChild>
                        <w:div w:id="1810510657">
                          <w:marLeft w:val="0"/>
                          <w:marRight w:val="0"/>
                          <w:marTop w:val="0"/>
                          <w:marBottom w:val="0"/>
                          <w:divBdr>
                            <w:top w:val="none" w:sz="0" w:space="0" w:color="auto"/>
                            <w:left w:val="none" w:sz="0" w:space="0" w:color="auto"/>
                            <w:bottom w:val="none" w:sz="0" w:space="0" w:color="auto"/>
                            <w:right w:val="none" w:sz="0" w:space="0" w:color="auto"/>
                          </w:divBdr>
                          <w:divsChild>
                            <w:div w:id="2045013743">
                              <w:marLeft w:val="0"/>
                              <w:marRight w:val="0"/>
                              <w:marTop w:val="0"/>
                              <w:marBottom w:val="0"/>
                              <w:divBdr>
                                <w:top w:val="none" w:sz="0" w:space="0" w:color="auto"/>
                                <w:left w:val="none" w:sz="0" w:space="0" w:color="auto"/>
                                <w:bottom w:val="none" w:sz="0" w:space="0" w:color="auto"/>
                                <w:right w:val="none" w:sz="0" w:space="0" w:color="auto"/>
                              </w:divBdr>
                              <w:divsChild>
                                <w:div w:id="981039946">
                                  <w:marLeft w:val="0"/>
                                  <w:marRight w:val="0"/>
                                  <w:marTop w:val="0"/>
                                  <w:marBottom w:val="0"/>
                                  <w:divBdr>
                                    <w:top w:val="none" w:sz="0" w:space="0" w:color="auto"/>
                                    <w:left w:val="none" w:sz="0" w:space="0" w:color="auto"/>
                                    <w:bottom w:val="none" w:sz="0" w:space="0" w:color="auto"/>
                                    <w:right w:val="none" w:sz="0" w:space="0" w:color="auto"/>
                                  </w:divBdr>
                                  <w:divsChild>
                                    <w:div w:id="46027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859411">
      <w:bodyDiv w:val="1"/>
      <w:marLeft w:val="0"/>
      <w:marRight w:val="0"/>
      <w:marTop w:val="0"/>
      <w:marBottom w:val="0"/>
      <w:divBdr>
        <w:top w:val="none" w:sz="0" w:space="0" w:color="auto"/>
        <w:left w:val="none" w:sz="0" w:space="0" w:color="auto"/>
        <w:bottom w:val="none" w:sz="0" w:space="0" w:color="auto"/>
        <w:right w:val="none" w:sz="0" w:space="0" w:color="auto"/>
      </w:divBdr>
      <w:divsChild>
        <w:div w:id="2097284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grants/additional-requirements/ar-3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hs.gov/ohrp/regulations-and-policy/requests-for-comments/draft-guidance-activities-deemed-not-be-research-public-health-surveillance/index.html" TargetMode="External"/><Relationship Id="rId5" Type="http://schemas.openxmlformats.org/officeDocument/2006/relationships/hyperlink" Target="https://www.cdc.gov/ncbddd/humandevelopment/nofo/DD24-0083.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1275</Words>
  <Characters>7271</Characters>
  <Application>Microsoft Office Word</Application>
  <DocSecurity>0</DocSecurity>
  <Lines>60</Lines>
  <Paragraphs>17</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Newsome, Kim (CDC/NCBDDD/DHDD)</dc:creator>
  <cp:keywords/>
  <dc:description/>
  <cp:lastModifiedBy>Newsome, Kim (CDC/NCBDDD/DHDD)</cp:lastModifiedBy>
  <cp:revision>2</cp:revision>
  <dcterms:created xsi:type="dcterms:W3CDTF">2024-04-12T16:36:00Z</dcterms:created>
  <dcterms:modified xsi:type="dcterms:W3CDTF">2024-04-12T16:36:00Z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2024-04-12T15:11:24Z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7a88d179-7172-48c7-854c-72d6be28ecd6</vt:lpwstr>
  </property>
  <property fmtid="{D5CDD505-2E9C-101B-9397-08002B2CF9AE}" pid="8" name="MSIP_Label_8af03ff0-41c5-4c41-b55e-fabb8fae94be_ContentBits">
    <vt:lpwstr>0</vt:lpwstr>
  </property>
</Properties>
</file>