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C2E0930" w14:textId="4B4CDB87" w:rsidR="00E22487" w:rsidRPr="00E22487" w:rsidRDefault="00E22487" w:rsidP="00E22487">
      <w:pPr>
        <w:jc w:val="center"/>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rPr>
        <w:t>NOFO SFOP0007207 – Q&amp;A</w:t>
      </w:r>
    </w:p>
    <w:p w14:paraId="748DA320" w14:textId="467907D3" w:rsidR="6F39A7C9" w:rsidRDefault="0BEEBD9E" w:rsidP="61F1AB61">
      <w:pPr>
        <w:rPr>
          <w:rFonts w:ascii="Times New Roman" w:eastAsia="Times New Roman" w:hAnsi="Times New Roman" w:cs="Times New Roman"/>
          <w:b/>
          <w:bCs/>
          <w:color w:val="000000" w:themeColor="text1"/>
          <w:sz w:val="24"/>
          <w:szCs w:val="24"/>
        </w:rPr>
      </w:pPr>
      <w:r w:rsidRPr="2EC04FEA">
        <w:rPr>
          <w:rFonts w:ascii="Times New Roman" w:eastAsia="Times New Roman" w:hAnsi="Times New Roman" w:cs="Times New Roman"/>
          <w:b/>
          <w:bCs/>
          <w:color w:val="000000" w:themeColor="text1"/>
          <w:sz w:val="24"/>
          <w:szCs w:val="24"/>
        </w:rPr>
        <w:t xml:space="preserve">Can you please confirm the ceiling as the NOFO indicates two different amounts? Is the ceiling USD 810,000 or USD 799,875? </w:t>
      </w:r>
    </w:p>
    <w:p w14:paraId="6E77B592" w14:textId="505798B4" w:rsidR="5779BFBA" w:rsidRDefault="01C799C5" w:rsidP="2EC04FEA">
      <w:pPr>
        <w:rPr>
          <w:rFonts w:ascii="Times New Roman" w:eastAsia="Times New Roman" w:hAnsi="Times New Roman" w:cs="Times New Roman"/>
          <w:color w:val="000000" w:themeColor="text1"/>
          <w:sz w:val="24"/>
          <w:szCs w:val="24"/>
        </w:rPr>
      </w:pPr>
      <w:r w:rsidRPr="2EC04FEA">
        <w:rPr>
          <w:rFonts w:ascii="Times New Roman" w:eastAsia="Times New Roman" w:hAnsi="Times New Roman" w:cs="Times New Roman"/>
          <w:color w:val="000000" w:themeColor="text1"/>
          <w:sz w:val="24"/>
          <w:szCs w:val="24"/>
        </w:rPr>
        <w:t xml:space="preserve">The funding ceiling for the </w:t>
      </w:r>
      <w:r w:rsidR="526BC357" w:rsidRPr="2EC04FEA">
        <w:rPr>
          <w:rFonts w:ascii="Times New Roman" w:eastAsia="Times New Roman" w:hAnsi="Times New Roman" w:cs="Times New Roman"/>
          <w:color w:val="000000" w:themeColor="text1"/>
          <w:sz w:val="24"/>
          <w:szCs w:val="24"/>
        </w:rPr>
        <w:t>award</w:t>
      </w:r>
      <w:r w:rsidRPr="2EC04FEA">
        <w:rPr>
          <w:rFonts w:ascii="Times New Roman" w:eastAsia="Times New Roman" w:hAnsi="Times New Roman" w:cs="Times New Roman"/>
          <w:color w:val="000000" w:themeColor="text1"/>
          <w:sz w:val="24"/>
          <w:szCs w:val="24"/>
        </w:rPr>
        <w:t xml:space="preserve"> is </w:t>
      </w:r>
      <w:r w:rsidR="6D056BBD" w:rsidRPr="2EC04FEA">
        <w:rPr>
          <w:rFonts w:ascii="Times New Roman" w:eastAsia="Times New Roman" w:hAnsi="Times New Roman" w:cs="Times New Roman"/>
          <w:color w:val="000000" w:themeColor="text1"/>
          <w:sz w:val="24"/>
          <w:szCs w:val="24"/>
        </w:rPr>
        <w:t>$</w:t>
      </w:r>
      <w:r w:rsidRPr="2EC04FEA">
        <w:rPr>
          <w:rFonts w:ascii="Times New Roman" w:eastAsia="Times New Roman" w:hAnsi="Times New Roman" w:cs="Times New Roman"/>
          <w:color w:val="000000" w:themeColor="text1"/>
          <w:sz w:val="24"/>
          <w:szCs w:val="24"/>
        </w:rPr>
        <w:t xml:space="preserve">799,875. </w:t>
      </w:r>
      <w:r w:rsidR="4AA03BCF" w:rsidRPr="2EC04FEA">
        <w:rPr>
          <w:rFonts w:ascii="Times New Roman" w:eastAsia="Times New Roman" w:hAnsi="Times New Roman" w:cs="Times New Roman"/>
          <w:color w:val="000000" w:themeColor="text1"/>
          <w:sz w:val="24"/>
          <w:szCs w:val="24"/>
        </w:rPr>
        <w:t xml:space="preserve">Applicants may propose an award amount up to or equal to $799,875. </w:t>
      </w:r>
    </w:p>
    <w:p w14:paraId="1F7DFBF0" w14:textId="708176DC" w:rsidR="6F39A7C9" w:rsidRDefault="0BEEBD9E" w:rsidP="61F1AB61">
      <w:pPr>
        <w:rPr>
          <w:rFonts w:ascii="Times New Roman" w:eastAsia="Times New Roman" w:hAnsi="Times New Roman" w:cs="Times New Roman"/>
          <w:b/>
          <w:bCs/>
          <w:color w:val="000000" w:themeColor="text1"/>
          <w:sz w:val="24"/>
          <w:szCs w:val="24"/>
        </w:rPr>
      </w:pPr>
      <w:r w:rsidRPr="2EC04FEA">
        <w:rPr>
          <w:rFonts w:ascii="Times New Roman" w:eastAsia="Times New Roman" w:hAnsi="Times New Roman" w:cs="Times New Roman"/>
          <w:b/>
          <w:bCs/>
          <w:color w:val="000000" w:themeColor="text1"/>
          <w:sz w:val="24"/>
          <w:szCs w:val="24"/>
        </w:rPr>
        <w:t xml:space="preserve">Will CSO consider adjusting the start date and/or period of performance in the event that the COVID-19 pandemic prohibits in-person </w:t>
      </w:r>
      <w:proofErr w:type="spellStart"/>
      <w:r w:rsidRPr="2EC04FEA">
        <w:rPr>
          <w:rFonts w:ascii="Times New Roman" w:eastAsia="Times New Roman" w:hAnsi="Times New Roman" w:cs="Times New Roman"/>
          <w:b/>
          <w:bCs/>
          <w:color w:val="000000" w:themeColor="text1"/>
          <w:sz w:val="24"/>
          <w:szCs w:val="24"/>
        </w:rPr>
        <w:t>convenings</w:t>
      </w:r>
      <w:proofErr w:type="spellEnd"/>
      <w:r w:rsidRPr="2EC04FEA">
        <w:rPr>
          <w:rFonts w:ascii="Times New Roman" w:eastAsia="Times New Roman" w:hAnsi="Times New Roman" w:cs="Times New Roman"/>
          <w:b/>
          <w:bCs/>
          <w:color w:val="000000" w:themeColor="text1"/>
          <w:sz w:val="24"/>
          <w:szCs w:val="24"/>
        </w:rPr>
        <w:t xml:space="preserve">, particularly if virtual </w:t>
      </w:r>
      <w:proofErr w:type="spellStart"/>
      <w:r w:rsidRPr="2EC04FEA">
        <w:rPr>
          <w:rFonts w:ascii="Times New Roman" w:eastAsia="Times New Roman" w:hAnsi="Times New Roman" w:cs="Times New Roman"/>
          <w:b/>
          <w:bCs/>
          <w:color w:val="000000" w:themeColor="text1"/>
          <w:sz w:val="24"/>
          <w:szCs w:val="24"/>
        </w:rPr>
        <w:t>convenings</w:t>
      </w:r>
      <w:proofErr w:type="spellEnd"/>
      <w:r w:rsidRPr="2EC04FEA">
        <w:rPr>
          <w:rFonts w:ascii="Times New Roman" w:eastAsia="Times New Roman" w:hAnsi="Times New Roman" w:cs="Times New Roman"/>
          <w:b/>
          <w:bCs/>
          <w:color w:val="000000" w:themeColor="text1"/>
          <w:sz w:val="24"/>
          <w:szCs w:val="24"/>
        </w:rPr>
        <w:t xml:space="preserve"> impede the participation of key stakeholders, including local actors?</w:t>
      </w:r>
    </w:p>
    <w:p w14:paraId="02EDB5D1" w14:textId="13929D5B" w:rsidR="4CE04366" w:rsidRDefault="1E7B6A2D" w:rsidP="2EC04FEA">
      <w:pPr>
        <w:rPr>
          <w:rFonts w:ascii="Times New Roman" w:eastAsia="Times New Roman" w:hAnsi="Times New Roman" w:cs="Times New Roman"/>
          <w:color w:val="000000" w:themeColor="text1"/>
          <w:sz w:val="24"/>
          <w:szCs w:val="24"/>
        </w:rPr>
      </w:pPr>
      <w:r w:rsidRPr="2EC04FEA">
        <w:rPr>
          <w:rFonts w:ascii="Times New Roman" w:eastAsia="Times New Roman" w:hAnsi="Times New Roman" w:cs="Times New Roman"/>
          <w:color w:val="000000" w:themeColor="text1"/>
          <w:sz w:val="24"/>
          <w:szCs w:val="24"/>
        </w:rPr>
        <w:t xml:space="preserve">Yes, CSO </w:t>
      </w:r>
      <w:r w:rsidR="676693A9" w:rsidRPr="2EC04FEA">
        <w:rPr>
          <w:rFonts w:ascii="Times New Roman" w:eastAsia="Times New Roman" w:hAnsi="Times New Roman" w:cs="Times New Roman"/>
          <w:color w:val="000000" w:themeColor="text1"/>
          <w:sz w:val="24"/>
          <w:szCs w:val="24"/>
        </w:rPr>
        <w:t xml:space="preserve">may </w:t>
      </w:r>
      <w:r w:rsidRPr="2EC04FEA">
        <w:rPr>
          <w:rFonts w:ascii="Times New Roman" w:eastAsia="Times New Roman" w:hAnsi="Times New Roman" w:cs="Times New Roman"/>
          <w:color w:val="000000" w:themeColor="text1"/>
          <w:sz w:val="24"/>
          <w:szCs w:val="24"/>
        </w:rPr>
        <w:t xml:space="preserve">explore adjusting the start date/period of performance should implementation of the </w:t>
      </w:r>
      <w:r w:rsidR="054FA09B" w:rsidRPr="2EC04FEA">
        <w:rPr>
          <w:rFonts w:ascii="Times New Roman" w:eastAsia="Times New Roman" w:hAnsi="Times New Roman" w:cs="Times New Roman"/>
          <w:color w:val="000000" w:themeColor="text1"/>
          <w:sz w:val="24"/>
          <w:szCs w:val="24"/>
        </w:rPr>
        <w:t>award</w:t>
      </w:r>
      <w:r w:rsidRPr="2EC04FEA">
        <w:rPr>
          <w:rFonts w:ascii="Times New Roman" w:eastAsia="Times New Roman" w:hAnsi="Times New Roman" w:cs="Times New Roman"/>
          <w:color w:val="000000" w:themeColor="text1"/>
          <w:sz w:val="24"/>
          <w:szCs w:val="24"/>
        </w:rPr>
        <w:t xml:space="preserve"> be adversely affected by the COVID-19 pandemic.</w:t>
      </w:r>
      <w:r w:rsidR="757C7C18" w:rsidRPr="2EC04FEA">
        <w:rPr>
          <w:rFonts w:ascii="Times New Roman" w:eastAsia="Times New Roman" w:hAnsi="Times New Roman" w:cs="Times New Roman"/>
          <w:color w:val="000000" w:themeColor="text1"/>
          <w:sz w:val="24"/>
          <w:szCs w:val="24"/>
        </w:rPr>
        <w:t xml:space="preserve">  CSO is also interested in creative ways to implement the program, in the event that the COVID-19 pandemic continues to </w:t>
      </w:r>
      <w:r w:rsidR="741EEBC4" w:rsidRPr="2EC04FEA">
        <w:rPr>
          <w:rFonts w:ascii="Times New Roman" w:eastAsia="Times New Roman" w:hAnsi="Times New Roman" w:cs="Times New Roman"/>
          <w:color w:val="000000" w:themeColor="text1"/>
          <w:sz w:val="24"/>
          <w:szCs w:val="24"/>
        </w:rPr>
        <w:t xml:space="preserve">limit or </w:t>
      </w:r>
      <w:r w:rsidR="757C7C18" w:rsidRPr="2EC04FEA">
        <w:rPr>
          <w:rFonts w:ascii="Times New Roman" w:eastAsia="Times New Roman" w:hAnsi="Times New Roman" w:cs="Times New Roman"/>
          <w:color w:val="000000" w:themeColor="text1"/>
          <w:sz w:val="24"/>
          <w:szCs w:val="24"/>
        </w:rPr>
        <w:t xml:space="preserve">prohibit in-person activities.  </w:t>
      </w:r>
    </w:p>
    <w:p w14:paraId="4200C2B5" w14:textId="67853D05" w:rsidR="6F39A7C9" w:rsidRDefault="0BEEBD9E" w:rsidP="61F1AB61">
      <w:pPr>
        <w:rPr>
          <w:rFonts w:ascii="Times New Roman" w:eastAsia="Times New Roman" w:hAnsi="Times New Roman" w:cs="Times New Roman"/>
          <w:b/>
          <w:bCs/>
          <w:color w:val="000000" w:themeColor="text1"/>
          <w:sz w:val="24"/>
          <w:szCs w:val="24"/>
        </w:rPr>
      </w:pPr>
      <w:r w:rsidRPr="2EC04FEA">
        <w:rPr>
          <w:rFonts w:ascii="Times New Roman" w:eastAsia="Times New Roman" w:hAnsi="Times New Roman" w:cs="Times New Roman"/>
          <w:b/>
          <w:bCs/>
          <w:color w:val="000000" w:themeColor="text1"/>
          <w:sz w:val="24"/>
          <w:szCs w:val="24"/>
        </w:rPr>
        <w:t>Is it correct that the scope of activities for this award are exclusive to Uganda and DRC, and does not include other countries where the ADF is known to be engaged in recruitment activities?</w:t>
      </w:r>
    </w:p>
    <w:p w14:paraId="276E651E" w14:textId="7C35E4F1" w:rsidR="5A8E7558" w:rsidRDefault="04CB18CA" w:rsidP="61F1AB61">
      <w:pPr>
        <w:rPr>
          <w:rFonts w:ascii="Times New Roman" w:eastAsia="Times New Roman" w:hAnsi="Times New Roman" w:cs="Times New Roman"/>
          <w:color w:val="000000" w:themeColor="text1"/>
          <w:sz w:val="24"/>
          <w:szCs w:val="24"/>
        </w:rPr>
      </w:pPr>
      <w:r w:rsidRPr="2EC04FEA">
        <w:rPr>
          <w:rFonts w:ascii="Times New Roman" w:eastAsia="Times New Roman" w:hAnsi="Times New Roman" w:cs="Times New Roman"/>
          <w:color w:val="000000" w:themeColor="text1"/>
          <w:sz w:val="24"/>
          <w:szCs w:val="24"/>
        </w:rPr>
        <w:t xml:space="preserve">Yes, while ADF is known to engage </w:t>
      </w:r>
      <w:r w:rsidR="0D592E29" w:rsidRPr="2EC04FEA">
        <w:rPr>
          <w:rFonts w:ascii="Times New Roman" w:eastAsia="Times New Roman" w:hAnsi="Times New Roman" w:cs="Times New Roman"/>
          <w:color w:val="000000" w:themeColor="text1"/>
          <w:sz w:val="24"/>
          <w:szCs w:val="24"/>
        </w:rPr>
        <w:t xml:space="preserve">and recruit members </w:t>
      </w:r>
      <w:r w:rsidRPr="2EC04FEA">
        <w:rPr>
          <w:rFonts w:ascii="Times New Roman" w:eastAsia="Times New Roman" w:hAnsi="Times New Roman" w:cs="Times New Roman"/>
          <w:color w:val="000000" w:themeColor="text1"/>
          <w:sz w:val="24"/>
          <w:szCs w:val="24"/>
        </w:rPr>
        <w:t xml:space="preserve">in other countries, the scope of </w:t>
      </w:r>
      <w:r w:rsidR="5A70F1B1" w:rsidRPr="2EC04FEA">
        <w:rPr>
          <w:rFonts w:ascii="Times New Roman" w:eastAsia="Times New Roman" w:hAnsi="Times New Roman" w:cs="Times New Roman"/>
          <w:color w:val="000000" w:themeColor="text1"/>
          <w:sz w:val="24"/>
          <w:szCs w:val="24"/>
        </w:rPr>
        <w:t>activities for this award</w:t>
      </w:r>
      <w:r w:rsidRPr="2EC04FEA">
        <w:rPr>
          <w:rFonts w:ascii="Times New Roman" w:eastAsia="Times New Roman" w:hAnsi="Times New Roman" w:cs="Times New Roman"/>
          <w:color w:val="000000" w:themeColor="text1"/>
          <w:sz w:val="24"/>
          <w:szCs w:val="24"/>
        </w:rPr>
        <w:t xml:space="preserve"> is </w:t>
      </w:r>
      <w:r w:rsidR="586D1592" w:rsidRPr="2EC04FEA">
        <w:rPr>
          <w:rFonts w:ascii="Times New Roman" w:eastAsia="Times New Roman" w:hAnsi="Times New Roman" w:cs="Times New Roman"/>
          <w:color w:val="000000" w:themeColor="text1"/>
          <w:sz w:val="24"/>
          <w:szCs w:val="24"/>
        </w:rPr>
        <w:t>exclusive to</w:t>
      </w:r>
      <w:r w:rsidRPr="2EC04FEA">
        <w:rPr>
          <w:rFonts w:ascii="Times New Roman" w:eastAsia="Times New Roman" w:hAnsi="Times New Roman" w:cs="Times New Roman"/>
          <w:color w:val="000000" w:themeColor="text1"/>
          <w:sz w:val="24"/>
          <w:szCs w:val="24"/>
        </w:rPr>
        <w:t xml:space="preserve"> </w:t>
      </w:r>
      <w:r w:rsidR="0EAD8BC0" w:rsidRPr="2EC04FEA">
        <w:rPr>
          <w:rFonts w:ascii="Times New Roman" w:eastAsia="Times New Roman" w:hAnsi="Times New Roman" w:cs="Times New Roman"/>
          <w:color w:val="000000" w:themeColor="text1"/>
          <w:sz w:val="24"/>
          <w:szCs w:val="24"/>
        </w:rPr>
        <w:t xml:space="preserve">the </w:t>
      </w:r>
      <w:r w:rsidRPr="2EC04FEA">
        <w:rPr>
          <w:rFonts w:ascii="Times New Roman" w:eastAsia="Times New Roman" w:hAnsi="Times New Roman" w:cs="Times New Roman"/>
          <w:color w:val="000000" w:themeColor="text1"/>
          <w:sz w:val="24"/>
          <w:szCs w:val="24"/>
        </w:rPr>
        <w:t>DRC and Uganda.</w:t>
      </w:r>
    </w:p>
    <w:p w14:paraId="12E561D5" w14:textId="5DEFDC11" w:rsidR="6F39A7C9" w:rsidRDefault="0BEEBD9E" w:rsidP="61F1AB61">
      <w:pPr>
        <w:rPr>
          <w:rFonts w:ascii="Times New Roman" w:eastAsia="Times New Roman" w:hAnsi="Times New Roman" w:cs="Times New Roman"/>
          <w:b/>
          <w:bCs/>
          <w:color w:val="000000" w:themeColor="text1"/>
          <w:sz w:val="24"/>
          <w:szCs w:val="24"/>
        </w:rPr>
      </w:pPr>
      <w:r w:rsidRPr="2EC04FEA">
        <w:rPr>
          <w:rFonts w:ascii="Times New Roman" w:eastAsia="Times New Roman" w:hAnsi="Times New Roman" w:cs="Times New Roman"/>
          <w:b/>
          <w:bCs/>
          <w:color w:val="000000" w:themeColor="text1"/>
          <w:sz w:val="24"/>
          <w:szCs w:val="24"/>
        </w:rPr>
        <w:t xml:space="preserve">Does CSO and/or the US Embassies anticipate (co)convening separate ADF-focused gatherings with institutional stakeholders -- similar in nature to the </w:t>
      </w:r>
      <w:proofErr w:type="spellStart"/>
      <w:r w:rsidRPr="2EC04FEA">
        <w:rPr>
          <w:rFonts w:ascii="Times New Roman" w:eastAsia="Times New Roman" w:hAnsi="Times New Roman" w:cs="Times New Roman"/>
          <w:b/>
          <w:bCs/>
          <w:color w:val="000000" w:themeColor="text1"/>
          <w:sz w:val="24"/>
          <w:szCs w:val="24"/>
        </w:rPr>
        <w:t>cLRA</w:t>
      </w:r>
      <w:proofErr w:type="spellEnd"/>
      <w:r w:rsidRPr="2EC04FEA">
        <w:rPr>
          <w:rFonts w:ascii="Times New Roman" w:eastAsia="Times New Roman" w:hAnsi="Times New Roman" w:cs="Times New Roman"/>
          <w:b/>
          <w:bCs/>
          <w:color w:val="000000" w:themeColor="text1"/>
          <w:sz w:val="24"/>
          <w:szCs w:val="24"/>
        </w:rPr>
        <w:t xml:space="preserve"> focal points or IWG-LRA meetings -- that fall outside of the scope of this award and that applications should take into consideration to avoid redundancy?</w:t>
      </w:r>
    </w:p>
    <w:p w14:paraId="2A1F6EDA" w14:textId="3A664CF0" w:rsidR="3FEA776E" w:rsidRDefault="6CFBF9AE" w:rsidP="61F1AB61">
      <w:pPr>
        <w:rPr>
          <w:rFonts w:ascii="Times New Roman" w:eastAsia="Times New Roman" w:hAnsi="Times New Roman" w:cs="Times New Roman"/>
          <w:color w:val="000000" w:themeColor="text1"/>
          <w:sz w:val="24"/>
          <w:szCs w:val="24"/>
        </w:rPr>
      </w:pPr>
      <w:r w:rsidRPr="2EC04FEA">
        <w:rPr>
          <w:rFonts w:ascii="Times New Roman" w:eastAsia="Times New Roman" w:hAnsi="Times New Roman" w:cs="Times New Roman"/>
          <w:color w:val="000000" w:themeColor="text1"/>
          <w:sz w:val="24"/>
          <w:szCs w:val="24"/>
        </w:rPr>
        <w:t>CSO does not currently anticipate convening separate ADF-focused gatherings outside of the scope of this award.</w:t>
      </w:r>
    </w:p>
    <w:p w14:paraId="3F743321" w14:textId="21713E8D" w:rsidR="6F39A7C9" w:rsidRDefault="0BEEBD9E" w:rsidP="61F1AB61">
      <w:pPr>
        <w:rPr>
          <w:rFonts w:ascii="Times New Roman" w:eastAsia="Times New Roman" w:hAnsi="Times New Roman" w:cs="Times New Roman"/>
          <w:b/>
          <w:bCs/>
          <w:i/>
          <w:iCs/>
          <w:sz w:val="24"/>
          <w:szCs w:val="24"/>
        </w:rPr>
      </w:pPr>
      <w:r w:rsidRPr="55EAD0AD">
        <w:rPr>
          <w:rFonts w:ascii="Times New Roman" w:eastAsia="Times New Roman" w:hAnsi="Times New Roman" w:cs="Times New Roman"/>
          <w:b/>
          <w:bCs/>
          <w:color w:val="000000" w:themeColor="text1"/>
          <w:sz w:val="24"/>
          <w:szCs w:val="24"/>
        </w:rPr>
        <w:t xml:space="preserve">Is it an expectation that military actors should participate in the </w:t>
      </w:r>
      <w:proofErr w:type="spellStart"/>
      <w:r w:rsidRPr="55EAD0AD">
        <w:rPr>
          <w:rFonts w:ascii="Times New Roman" w:eastAsia="Times New Roman" w:hAnsi="Times New Roman" w:cs="Times New Roman"/>
          <w:b/>
          <w:bCs/>
          <w:color w:val="000000" w:themeColor="text1"/>
          <w:sz w:val="24"/>
          <w:szCs w:val="24"/>
        </w:rPr>
        <w:t>convenings</w:t>
      </w:r>
      <w:proofErr w:type="spellEnd"/>
      <w:r w:rsidRPr="55EAD0AD">
        <w:rPr>
          <w:rFonts w:ascii="Times New Roman" w:eastAsia="Times New Roman" w:hAnsi="Times New Roman" w:cs="Times New Roman"/>
          <w:b/>
          <w:bCs/>
          <w:color w:val="000000" w:themeColor="text1"/>
          <w:sz w:val="24"/>
          <w:szCs w:val="24"/>
        </w:rPr>
        <w:t xml:space="preserve"> and other activities expected under this award? If yes, would associated costs be at risk of violating the following US policy stated in the NOFO: </w:t>
      </w:r>
      <w:r w:rsidRPr="55EAD0AD">
        <w:rPr>
          <w:rFonts w:ascii="Times New Roman" w:eastAsia="Times New Roman" w:hAnsi="Times New Roman" w:cs="Times New Roman"/>
          <w:b/>
          <w:bCs/>
          <w:i/>
          <w:iCs/>
          <w:sz w:val="24"/>
          <w:szCs w:val="24"/>
        </w:rPr>
        <w:t>"ESF may not be used for military or paramilitary purposes."</w:t>
      </w:r>
    </w:p>
    <w:p w14:paraId="36B6BDBF" w14:textId="1DC69688" w:rsidR="309424E9" w:rsidRDefault="309424E9" w:rsidP="55EAD0AD">
      <w:r w:rsidRPr="55EAD0AD">
        <w:rPr>
          <w:rFonts w:ascii="Times New Roman" w:eastAsia="Times New Roman" w:hAnsi="Times New Roman" w:cs="Times New Roman"/>
          <w:sz w:val="24"/>
          <w:szCs w:val="24"/>
        </w:rPr>
        <w:t>Funding for this program is not authorized for military or paramilitary assistance. The program may not work directly with military personnel, active duty military officials, or other personnel of the Ministry of Defense.  Further, this program may not work directly with law enforcement officers.</w:t>
      </w:r>
    </w:p>
    <w:p w14:paraId="574840BE" w14:textId="378A01F1" w:rsidR="6F39A7C9" w:rsidRDefault="0BEEBD9E" w:rsidP="61F1AB61">
      <w:pPr>
        <w:rPr>
          <w:rFonts w:ascii="Times New Roman" w:eastAsia="Times New Roman" w:hAnsi="Times New Roman" w:cs="Times New Roman"/>
          <w:b/>
          <w:bCs/>
          <w:sz w:val="24"/>
          <w:szCs w:val="24"/>
        </w:rPr>
      </w:pPr>
      <w:r w:rsidRPr="2EC04FEA">
        <w:rPr>
          <w:rFonts w:ascii="Times New Roman" w:eastAsia="Times New Roman" w:hAnsi="Times New Roman" w:cs="Times New Roman"/>
          <w:b/>
          <w:bCs/>
          <w:color w:val="000000" w:themeColor="text1"/>
          <w:sz w:val="24"/>
          <w:szCs w:val="24"/>
        </w:rPr>
        <w:t xml:space="preserve">In the Proposal Narrative / Approach and Methodology / Program Goals and Objective Section it states: </w:t>
      </w:r>
      <w:r w:rsidRPr="2EC04FEA">
        <w:rPr>
          <w:rFonts w:ascii="Times New Roman" w:eastAsia="Times New Roman" w:hAnsi="Times New Roman" w:cs="Times New Roman"/>
          <w:b/>
          <w:bCs/>
          <w:i/>
          <w:iCs/>
          <w:sz w:val="24"/>
          <w:szCs w:val="24"/>
        </w:rPr>
        <w:t>"It is important that the program goal aligns with (CSO/Department/U.S. government) policy."</w:t>
      </w:r>
      <w:r w:rsidRPr="2EC04FEA">
        <w:rPr>
          <w:rFonts w:ascii="Times New Roman" w:eastAsia="Times New Roman" w:hAnsi="Times New Roman" w:cs="Times New Roman"/>
          <w:b/>
          <w:bCs/>
          <w:sz w:val="24"/>
          <w:szCs w:val="24"/>
        </w:rPr>
        <w:t xml:space="preserve"> Are there specific policies that CSO expects applicants to take into consideration?</w:t>
      </w:r>
    </w:p>
    <w:p w14:paraId="3A7DCDCE" w14:textId="29D16538" w:rsidR="655C2A5D" w:rsidRDefault="611CA7A9" w:rsidP="2EC04FEA">
      <w:pPr>
        <w:rPr>
          <w:rFonts w:ascii="Times New Roman" w:eastAsia="Times New Roman" w:hAnsi="Times New Roman" w:cs="Times New Roman"/>
          <w:sz w:val="24"/>
          <w:szCs w:val="24"/>
        </w:rPr>
      </w:pPr>
      <w:r w:rsidRPr="6411D759">
        <w:rPr>
          <w:rFonts w:ascii="Times New Roman" w:eastAsia="Times New Roman" w:hAnsi="Times New Roman" w:cs="Times New Roman"/>
          <w:sz w:val="24"/>
          <w:szCs w:val="24"/>
        </w:rPr>
        <w:t xml:space="preserve">Applicants should take into consideration </w:t>
      </w:r>
      <w:r w:rsidR="3AE14339" w:rsidRPr="6411D759">
        <w:rPr>
          <w:rFonts w:ascii="Times New Roman" w:eastAsia="Times New Roman" w:hAnsi="Times New Roman" w:cs="Times New Roman"/>
          <w:sz w:val="24"/>
          <w:szCs w:val="24"/>
        </w:rPr>
        <w:t>USG foreign policy strategies and public objectives outlined by the administration.</w:t>
      </w:r>
    </w:p>
    <w:p w14:paraId="3CEAF93A" w14:textId="7C36BF92" w:rsidR="6F39A7C9" w:rsidRDefault="0BEEBD9E" w:rsidP="61F1AB61">
      <w:pPr>
        <w:rPr>
          <w:rFonts w:ascii="Times New Roman" w:eastAsia="Times New Roman" w:hAnsi="Times New Roman" w:cs="Times New Roman"/>
          <w:b/>
          <w:bCs/>
          <w:color w:val="000000" w:themeColor="text1"/>
          <w:sz w:val="24"/>
          <w:szCs w:val="24"/>
        </w:rPr>
      </w:pPr>
      <w:r w:rsidRPr="2EC04FEA">
        <w:rPr>
          <w:rFonts w:ascii="Times New Roman" w:eastAsia="Times New Roman" w:hAnsi="Times New Roman" w:cs="Times New Roman"/>
          <w:b/>
          <w:bCs/>
          <w:color w:val="000000" w:themeColor="text1"/>
          <w:sz w:val="24"/>
          <w:szCs w:val="24"/>
        </w:rPr>
        <w:lastRenderedPageBreak/>
        <w:t>The structure of the NOFO seems to imply the expectation of a subsequent implementation phase that would be carried out based on the outcomes of this 18-month project. Can you please confirm? If yes, would the selected applicant for this award be eligible to bid for the subsequent phase?</w:t>
      </w:r>
    </w:p>
    <w:p w14:paraId="762AD424" w14:textId="25A54F7C" w:rsidR="536DF64B" w:rsidRDefault="30F5F953" w:rsidP="61F1AB61">
      <w:pPr>
        <w:rPr>
          <w:rFonts w:ascii="Times New Roman" w:eastAsia="Times New Roman" w:hAnsi="Times New Roman" w:cs="Times New Roman"/>
          <w:color w:val="000000" w:themeColor="text1"/>
          <w:sz w:val="24"/>
          <w:szCs w:val="24"/>
        </w:rPr>
      </w:pPr>
      <w:r w:rsidRPr="2EC04FEA">
        <w:rPr>
          <w:rFonts w:ascii="Times New Roman" w:eastAsia="Times New Roman" w:hAnsi="Times New Roman" w:cs="Times New Roman"/>
          <w:color w:val="000000" w:themeColor="text1"/>
          <w:sz w:val="24"/>
          <w:szCs w:val="24"/>
        </w:rPr>
        <w:t xml:space="preserve">The </w:t>
      </w:r>
      <w:r w:rsidR="242129EC" w:rsidRPr="2EC04FEA">
        <w:rPr>
          <w:rFonts w:ascii="Times New Roman" w:eastAsia="Times New Roman" w:hAnsi="Times New Roman" w:cs="Times New Roman"/>
          <w:color w:val="000000" w:themeColor="text1"/>
          <w:sz w:val="24"/>
          <w:szCs w:val="24"/>
        </w:rPr>
        <w:t xml:space="preserve">purpose of this </w:t>
      </w:r>
      <w:r w:rsidR="23185DBD" w:rsidRPr="2EC04FEA">
        <w:rPr>
          <w:rFonts w:ascii="Times New Roman" w:eastAsia="Times New Roman" w:hAnsi="Times New Roman" w:cs="Times New Roman"/>
          <w:color w:val="000000" w:themeColor="text1"/>
          <w:sz w:val="24"/>
          <w:szCs w:val="24"/>
        </w:rPr>
        <w:t>award</w:t>
      </w:r>
      <w:r w:rsidR="128D68D7" w:rsidRPr="2EC04FEA">
        <w:rPr>
          <w:rFonts w:ascii="Times New Roman" w:eastAsia="Times New Roman" w:hAnsi="Times New Roman" w:cs="Times New Roman"/>
          <w:color w:val="000000" w:themeColor="text1"/>
          <w:sz w:val="24"/>
          <w:szCs w:val="24"/>
        </w:rPr>
        <w:t xml:space="preserve"> is to build the framework and environment amongst key stakeholders in </w:t>
      </w:r>
      <w:r w:rsidR="1F50F40E" w:rsidRPr="2EC04FEA">
        <w:rPr>
          <w:rFonts w:ascii="Times New Roman" w:eastAsia="Times New Roman" w:hAnsi="Times New Roman" w:cs="Times New Roman"/>
          <w:color w:val="000000" w:themeColor="text1"/>
          <w:sz w:val="24"/>
          <w:szCs w:val="24"/>
        </w:rPr>
        <w:t xml:space="preserve">the DRC and Uganda </w:t>
      </w:r>
      <w:r w:rsidR="128D68D7" w:rsidRPr="2EC04FEA">
        <w:rPr>
          <w:rFonts w:ascii="Times New Roman" w:eastAsia="Times New Roman" w:hAnsi="Times New Roman" w:cs="Times New Roman"/>
          <w:color w:val="000000" w:themeColor="text1"/>
          <w:sz w:val="24"/>
          <w:szCs w:val="24"/>
        </w:rPr>
        <w:t>to promote successful, follow-on defections work</w:t>
      </w:r>
      <w:r w:rsidR="4BEB8665" w:rsidRPr="2EC04FEA">
        <w:rPr>
          <w:rFonts w:ascii="Times New Roman" w:eastAsia="Times New Roman" w:hAnsi="Times New Roman" w:cs="Times New Roman"/>
          <w:color w:val="000000" w:themeColor="text1"/>
          <w:sz w:val="24"/>
          <w:szCs w:val="24"/>
        </w:rPr>
        <w:t>.</w:t>
      </w:r>
      <w:r w:rsidR="20E1C870" w:rsidRPr="2EC04FEA">
        <w:rPr>
          <w:rFonts w:ascii="Times New Roman" w:eastAsia="Times New Roman" w:hAnsi="Times New Roman" w:cs="Times New Roman"/>
          <w:color w:val="000000" w:themeColor="text1"/>
          <w:sz w:val="24"/>
          <w:szCs w:val="24"/>
        </w:rPr>
        <w:t xml:space="preserve"> Any subsequent defections work will be dependent on the </w:t>
      </w:r>
      <w:r w:rsidR="2059B765" w:rsidRPr="2EC04FEA">
        <w:rPr>
          <w:rFonts w:ascii="Times New Roman" w:eastAsia="Times New Roman" w:hAnsi="Times New Roman" w:cs="Times New Roman"/>
          <w:color w:val="000000" w:themeColor="text1"/>
          <w:sz w:val="24"/>
          <w:szCs w:val="24"/>
        </w:rPr>
        <w:t xml:space="preserve">success of this program, the availability of funds, and the </w:t>
      </w:r>
      <w:r w:rsidR="20E1C870" w:rsidRPr="2EC04FEA">
        <w:rPr>
          <w:rFonts w:ascii="Times New Roman" w:eastAsia="Times New Roman" w:hAnsi="Times New Roman" w:cs="Times New Roman"/>
          <w:color w:val="000000" w:themeColor="text1"/>
          <w:sz w:val="24"/>
          <w:szCs w:val="24"/>
        </w:rPr>
        <w:t xml:space="preserve">future approval of a new </w:t>
      </w:r>
      <w:r w:rsidR="4CB021EF" w:rsidRPr="2EC04FEA">
        <w:rPr>
          <w:rFonts w:ascii="Times New Roman" w:eastAsia="Times New Roman" w:hAnsi="Times New Roman" w:cs="Times New Roman"/>
          <w:color w:val="000000" w:themeColor="text1"/>
          <w:sz w:val="24"/>
          <w:szCs w:val="24"/>
        </w:rPr>
        <w:t>award</w:t>
      </w:r>
      <w:r w:rsidR="20E1C870" w:rsidRPr="2EC04FEA">
        <w:rPr>
          <w:rFonts w:ascii="Times New Roman" w:eastAsia="Times New Roman" w:hAnsi="Times New Roman" w:cs="Times New Roman"/>
          <w:color w:val="000000" w:themeColor="text1"/>
          <w:sz w:val="24"/>
          <w:szCs w:val="24"/>
        </w:rPr>
        <w:t xml:space="preserve">. Should such </w:t>
      </w:r>
      <w:proofErr w:type="spellStart"/>
      <w:r w:rsidR="20E1C870" w:rsidRPr="2EC04FEA">
        <w:rPr>
          <w:rFonts w:ascii="Times New Roman" w:eastAsia="Times New Roman" w:hAnsi="Times New Roman" w:cs="Times New Roman"/>
          <w:color w:val="000000" w:themeColor="text1"/>
          <w:sz w:val="24"/>
          <w:szCs w:val="24"/>
        </w:rPr>
        <w:t>a</w:t>
      </w:r>
      <w:proofErr w:type="spellEnd"/>
      <w:r w:rsidR="20E1C870" w:rsidRPr="2EC04FEA">
        <w:rPr>
          <w:rFonts w:ascii="Times New Roman" w:eastAsia="Times New Roman" w:hAnsi="Times New Roman" w:cs="Times New Roman"/>
          <w:color w:val="000000" w:themeColor="text1"/>
          <w:sz w:val="24"/>
          <w:szCs w:val="24"/>
        </w:rPr>
        <w:t xml:space="preserve"> </w:t>
      </w:r>
      <w:r w:rsidR="088922B3" w:rsidRPr="2EC04FEA">
        <w:rPr>
          <w:rFonts w:ascii="Times New Roman" w:eastAsia="Times New Roman" w:hAnsi="Times New Roman" w:cs="Times New Roman"/>
          <w:color w:val="000000" w:themeColor="text1"/>
          <w:sz w:val="24"/>
          <w:szCs w:val="24"/>
        </w:rPr>
        <w:t>award</w:t>
      </w:r>
      <w:r w:rsidR="20E1C870" w:rsidRPr="2EC04FEA">
        <w:rPr>
          <w:rFonts w:ascii="Times New Roman" w:eastAsia="Times New Roman" w:hAnsi="Times New Roman" w:cs="Times New Roman"/>
          <w:color w:val="000000" w:themeColor="text1"/>
          <w:sz w:val="24"/>
          <w:szCs w:val="24"/>
        </w:rPr>
        <w:t xml:space="preserve"> be </w:t>
      </w:r>
      <w:r w:rsidR="19E95DA0" w:rsidRPr="2EC04FEA">
        <w:rPr>
          <w:rFonts w:ascii="Times New Roman" w:eastAsia="Times New Roman" w:hAnsi="Times New Roman" w:cs="Times New Roman"/>
          <w:color w:val="000000" w:themeColor="text1"/>
          <w:sz w:val="24"/>
          <w:szCs w:val="24"/>
        </w:rPr>
        <w:t xml:space="preserve">proposed and </w:t>
      </w:r>
      <w:r w:rsidR="20E1C870" w:rsidRPr="2EC04FEA">
        <w:rPr>
          <w:rFonts w:ascii="Times New Roman" w:eastAsia="Times New Roman" w:hAnsi="Times New Roman" w:cs="Times New Roman"/>
          <w:color w:val="000000" w:themeColor="text1"/>
          <w:sz w:val="24"/>
          <w:szCs w:val="24"/>
        </w:rPr>
        <w:t>approved, the sele</w:t>
      </w:r>
      <w:r w:rsidR="7B2E3DA3" w:rsidRPr="2EC04FEA">
        <w:rPr>
          <w:rFonts w:ascii="Times New Roman" w:eastAsia="Times New Roman" w:hAnsi="Times New Roman" w:cs="Times New Roman"/>
          <w:color w:val="000000" w:themeColor="text1"/>
          <w:sz w:val="24"/>
          <w:szCs w:val="24"/>
        </w:rPr>
        <w:t xml:space="preserve">cted applicant for this award will be eligible to bid on that </w:t>
      </w:r>
      <w:r w:rsidR="68270EA3" w:rsidRPr="2EC04FEA">
        <w:rPr>
          <w:rFonts w:ascii="Times New Roman" w:eastAsia="Times New Roman" w:hAnsi="Times New Roman" w:cs="Times New Roman"/>
          <w:color w:val="000000" w:themeColor="text1"/>
          <w:sz w:val="24"/>
          <w:szCs w:val="24"/>
        </w:rPr>
        <w:t>award</w:t>
      </w:r>
      <w:r w:rsidR="7B2E3DA3" w:rsidRPr="2EC04FEA">
        <w:rPr>
          <w:rFonts w:ascii="Times New Roman" w:eastAsia="Times New Roman" w:hAnsi="Times New Roman" w:cs="Times New Roman"/>
          <w:color w:val="000000" w:themeColor="text1"/>
          <w:sz w:val="24"/>
          <w:szCs w:val="24"/>
        </w:rPr>
        <w:t>.</w:t>
      </w:r>
    </w:p>
    <w:p w14:paraId="1F5D96AB" w14:textId="78969D57" w:rsidR="6F39A7C9" w:rsidRDefault="0BEEBD9E" w:rsidP="61F1AB61">
      <w:pPr>
        <w:rPr>
          <w:rFonts w:ascii="Times New Roman" w:eastAsia="Times New Roman" w:hAnsi="Times New Roman" w:cs="Times New Roman"/>
          <w:b/>
          <w:bCs/>
          <w:color w:val="000000" w:themeColor="text1"/>
          <w:sz w:val="24"/>
          <w:szCs w:val="24"/>
        </w:rPr>
      </w:pPr>
      <w:r w:rsidRPr="2EC04FEA">
        <w:rPr>
          <w:rFonts w:ascii="Times New Roman" w:eastAsia="Times New Roman" w:hAnsi="Times New Roman" w:cs="Times New Roman"/>
          <w:b/>
          <w:bCs/>
          <w:color w:val="000000" w:themeColor="text1"/>
          <w:sz w:val="24"/>
          <w:szCs w:val="24"/>
        </w:rPr>
        <w:t>Given that there are other armed groups active within ADF's area of operations, can defection messaging be broadened to include those groups as well?</w:t>
      </w:r>
    </w:p>
    <w:p w14:paraId="716F1182" w14:textId="110D520E" w:rsidR="58707BEA" w:rsidRDefault="3A653461" w:rsidP="61F1AB61">
      <w:pPr>
        <w:rPr>
          <w:rFonts w:ascii="Times New Roman" w:eastAsia="Times New Roman" w:hAnsi="Times New Roman" w:cs="Times New Roman"/>
          <w:color w:val="000000" w:themeColor="text1"/>
          <w:sz w:val="24"/>
          <w:szCs w:val="24"/>
        </w:rPr>
      </w:pPr>
      <w:r w:rsidRPr="4D52DF58">
        <w:rPr>
          <w:rFonts w:ascii="Times New Roman" w:eastAsia="Times New Roman" w:hAnsi="Times New Roman" w:cs="Times New Roman"/>
          <w:color w:val="000000" w:themeColor="text1"/>
          <w:sz w:val="24"/>
          <w:szCs w:val="24"/>
        </w:rPr>
        <w:t xml:space="preserve">The purpose of this </w:t>
      </w:r>
      <w:r w:rsidR="108D4A4F" w:rsidRPr="4D52DF58">
        <w:rPr>
          <w:rFonts w:ascii="Times New Roman" w:eastAsia="Times New Roman" w:hAnsi="Times New Roman" w:cs="Times New Roman"/>
          <w:color w:val="000000" w:themeColor="text1"/>
          <w:sz w:val="24"/>
          <w:szCs w:val="24"/>
        </w:rPr>
        <w:t>award</w:t>
      </w:r>
      <w:r w:rsidRPr="4D52DF58">
        <w:rPr>
          <w:rFonts w:ascii="Times New Roman" w:eastAsia="Times New Roman" w:hAnsi="Times New Roman" w:cs="Times New Roman"/>
          <w:color w:val="000000" w:themeColor="text1"/>
          <w:sz w:val="24"/>
          <w:szCs w:val="24"/>
        </w:rPr>
        <w:t xml:space="preserve"> is to work with key stakeholders (civil society, religious leaders, and government representatives) in the DRC and Uganda to prepare </w:t>
      </w:r>
      <w:r w:rsidR="4DA4C29B" w:rsidRPr="4D52DF58">
        <w:rPr>
          <w:rFonts w:ascii="Times New Roman" w:eastAsia="Times New Roman" w:hAnsi="Times New Roman" w:cs="Times New Roman"/>
          <w:color w:val="000000" w:themeColor="text1"/>
          <w:sz w:val="24"/>
          <w:szCs w:val="24"/>
        </w:rPr>
        <w:t xml:space="preserve">the local environment </w:t>
      </w:r>
      <w:r w:rsidR="7AC1524D" w:rsidRPr="4D52DF58">
        <w:rPr>
          <w:rFonts w:ascii="Times New Roman" w:eastAsia="Times New Roman" w:hAnsi="Times New Roman" w:cs="Times New Roman"/>
          <w:color w:val="000000" w:themeColor="text1"/>
          <w:sz w:val="24"/>
          <w:szCs w:val="24"/>
        </w:rPr>
        <w:t xml:space="preserve">for follow-on defections work. Given that the current environment is </w:t>
      </w:r>
      <w:r w:rsidR="1512C6CC" w:rsidRPr="4D52DF58">
        <w:rPr>
          <w:rFonts w:ascii="Times New Roman" w:eastAsia="Times New Roman" w:hAnsi="Times New Roman" w:cs="Times New Roman"/>
          <w:color w:val="000000" w:themeColor="text1"/>
          <w:sz w:val="24"/>
          <w:szCs w:val="24"/>
        </w:rPr>
        <w:t xml:space="preserve">not conducive for defections, CSO does not anticipate defections messaging to be part of this </w:t>
      </w:r>
      <w:r w:rsidR="2DA34767" w:rsidRPr="4D52DF58">
        <w:rPr>
          <w:rFonts w:ascii="Times New Roman" w:eastAsia="Times New Roman" w:hAnsi="Times New Roman" w:cs="Times New Roman"/>
          <w:color w:val="000000" w:themeColor="text1"/>
          <w:sz w:val="24"/>
          <w:szCs w:val="24"/>
        </w:rPr>
        <w:t>award</w:t>
      </w:r>
      <w:r w:rsidR="1512C6CC" w:rsidRPr="4D52DF58">
        <w:rPr>
          <w:rFonts w:ascii="Times New Roman" w:eastAsia="Times New Roman" w:hAnsi="Times New Roman" w:cs="Times New Roman"/>
          <w:color w:val="000000" w:themeColor="text1"/>
          <w:sz w:val="24"/>
          <w:szCs w:val="24"/>
        </w:rPr>
        <w:t>.</w:t>
      </w:r>
    </w:p>
    <w:p w14:paraId="1D761322" w14:textId="164EE5F6" w:rsidR="37A77D8E" w:rsidRDefault="37A77D8E" w:rsidP="4D52DF58">
      <w:pPr>
        <w:rPr>
          <w:rFonts w:ascii="Times New Roman" w:eastAsia="Times New Roman" w:hAnsi="Times New Roman" w:cs="Times New Roman"/>
          <w:b/>
          <w:bCs/>
          <w:color w:val="000000" w:themeColor="text1"/>
          <w:sz w:val="24"/>
          <w:szCs w:val="24"/>
        </w:rPr>
      </w:pPr>
      <w:r w:rsidRPr="7755EE0A">
        <w:rPr>
          <w:rFonts w:ascii="Times New Roman" w:eastAsia="Times New Roman" w:hAnsi="Times New Roman" w:cs="Times New Roman"/>
          <w:b/>
          <w:bCs/>
          <w:color w:val="000000" w:themeColor="text1"/>
          <w:sz w:val="24"/>
          <w:szCs w:val="24"/>
        </w:rPr>
        <w:t>Is there any further distinction that can be made between what information is requested in the data collection versus what is requested/needed in the performance evaluation plan?</w:t>
      </w:r>
    </w:p>
    <w:p w14:paraId="0E89D42A" w14:textId="6811414A" w:rsidR="5E53FF1E" w:rsidRDefault="5E53FF1E">
      <w:r w:rsidRPr="7755EE0A">
        <w:rPr>
          <w:rFonts w:ascii="Times New Roman" w:eastAsia="Times New Roman" w:hAnsi="Times New Roman" w:cs="Times New Roman"/>
          <w:color w:val="000000" w:themeColor="text1"/>
          <w:sz w:val="24"/>
          <w:szCs w:val="24"/>
        </w:rPr>
        <w:t xml:space="preserve">The implementer will submit a draft </w:t>
      </w:r>
      <w:bookmarkStart w:id="0" w:name="_GoBack"/>
      <w:bookmarkEnd w:id="0"/>
      <w:r w:rsidRPr="7755EE0A">
        <w:rPr>
          <w:rFonts w:ascii="Times New Roman" w:eastAsia="Times New Roman" w:hAnsi="Times New Roman" w:cs="Times New Roman"/>
          <w:color w:val="000000" w:themeColor="text1"/>
          <w:sz w:val="24"/>
          <w:szCs w:val="24"/>
        </w:rPr>
        <w:t>monitoring plan.  After the implementer is selected we will provide additional feedback to the monitoring plan and will work with the implementer to finalize the plan.  A final monitoring plan is due after the award is issued.</w:t>
      </w:r>
    </w:p>
    <w:p w14:paraId="0D7087F3" w14:textId="7AB28AEC" w:rsidR="1B8D8E2D" w:rsidRDefault="1B8D8E2D" w:rsidP="4D52DF58">
      <w:pPr>
        <w:rPr>
          <w:rFonts w:ascii="Times New Roman" w:eastAsia="Times New Roman" w:hAnsi="Times New Roman" w:cs="Times New Roman"/>
          <w:color w:val="000000" w:themeColor="text1"/>
          <w:sz w:val="24"/>
          <w:szCs w:val="24"/>
        </w:rPr>
      </w:pPr>
      <w:r w:rsidRPr="6411D759">
        <w:rPr>
          <w:rFonts w:ascii="Times New Roman" w:eastAsia="Times New Roman" w:hAnsi="Times New Roman" w:cs="Times New Roman"/>
          <w:b/>
          <w:bCs/>
          <w:color w:val="000000" w:themeColor="text1"/>
          <w:sz w:val="24"/>
          <w:szCs w:val="24"/>
        </w:rPr>
        <w:t>Is there any conceptual guidance between upstream activities and downstream activities?</w:t>
      </w:r>
    </w:p>
    <w:p w14:paraId="4709822E" w14:textId="6D32541B" w:rsidR="42DA20FD" w:rsidRDefault="42DA20FD" w:rsidP="15CD6B95">
      <w:pPr>
        <w:pStyle w:val="Heading3"/>
        <w:spacing w:beforeAutospacing="1" w:afterAutospacing="1"/>
        <w:rPr>
          <w:rFonts w:ascii="Times New Roman" w:eastAsia="Times New Roman" w:hAnsi="Times New Roman" w:cs="Times New Roman"/>
          <w:b/>
          <w:bCs/>
          <w:color w:val="auto"/>
        </w:rPr>
      </w:pPr>
      <w:r w:rsidRPr="15CD6B95">
        <w:rPr>
          <w:rFonts w:ascii="Times New Roman" w:eastAsia="Times New Roman" w:hAnsi="Times New Roman" w:cs="Times New Roman"/>
          <w:color w:val="auto"/>
        </w:rPr>
        <w:t>Upstream activities should be aimed at structures, strategies and community engagements that bring people on the same page and enhances communication and coordination. Activities should engender policies, SOPs and guidance to enable a defections pipeline.  Downstream activities should help support people and communities’ ability to enable and sustain defections. Activities should create a receptive environment for future defections.</w:t>
      </w:r>
    </w:p>
    <w:sectPr w:rsidR="42DA20FD">
      <w:pgSz w:w="12240" w:h="15840"/>
      <w:pgMar w:top="1440" w:right="1440" w:bottom="1440" w:left="1440" w:header="720" w:footer="720" w:gutter="0"/>
      <w:cols w:space="720"/>
      <w:docGrid w:linePitch="360"/>
    </w:sectPr>
  </w:body>
</w:document>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C1E0CC" w14:textId="77777777" w:rsidR="008B789C" w:rsidRDefault="008B789C" w:rsidP="00E22487">
      <w:pPr>
        <w:spacing w:after="0" w:line="240" w:lineRule="auto"/>
      </w:pPr>
      <w:r>
        <w:separator/>
      </w:r>
    </w:p>
  </w:endnote>
  <w:endnote w:type="continuationSeparator" w:id="0">
    <w:p w14:paraId="749F4AD6" w14:textId="77777777" w:rsidR="008B789C" w:rsidRDefault="008B789C" w:rsidP="00E224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D17FB9D" w14:textId="77777777" w:rsidR="008B789C" w:rsidRDefault="008B789C" w:rsidP="00E22487">
      <w:pPr>
        <w:spacing w:after="0" w:line="240" w:lineRule="auto"/>
      </w:pPr>
      <w:r>
        <w:separator/>
      </w:r>
    </w:p>
  </w:footnote>
  <w:footnote w:type="continuationSeparator" w:id="0">
    <w:p w14:paraId="4C7270F2" w14:textId="77777777" w:rsidR="008B789C" w:rsidRDefault="008B789C" w:rsidP="00E2248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9F30B7"/>
    <w:multiLevelType w:val="hybridMultilevel"/>
    <w:tmpl w:val="39AA9578"/>
    <w:lvl w:ilvl="0" w:tplc="A83C78F0">
      <w:start w:val="1"/>
      <w:numFmt w:val="bullet"/>
      <w:lvlText w:val=""/>
      <w:lvlJc w:val="left"/>
      <w:pPr>
        <w:ind w:left="720" w:hanging="360"/>
      </w:pPr>
      <w:rPr>
        <w:rFonts w:ascii="Symbol" w:hAnsi="Symbol" w:hint="default"/>
      </w:rPr>
    </w:lvl>
    <w:lvl w:ilvl="1" w:tplc="20BC1D94">
      <w:start w:val="1"/>
      <w:numFmt w:val="bullet"/>
      <w:lvlText w:val="o"/>
      <w:lvlJc w:val="left"/>
      <w:pPr>
        <w:ind w:left="1440" w:hanging="360"/>
      </w:pPr>
      <w:rPr>
        <w:rFonts w:ascii="Courier New" w:hAnsi="Courier New" w:hint="default"/>
      </w:rPr>
    </w:lvl>
    <w:lvl w:ilvl="2" w:tplc="2E2A900E">
      <w:start w:val="1"/>
      <w:numFmt w:val="bullet"/>
      <w:lvlText w:val=""/>
      <w:lvlJc w:val="left"/>
      <w:pPr>
        <w:ind w:left="2160" w:hanging="360"/>
      </w:pPr>
      <w:rPr>
        <w:rFonts w:ascii="Wingdings" w:hAnsi="Wingdings" w:hint="default"/>
      </w:rPr>
    </w:lvl>
    <w:lvl w:ilvl="3" w:tplc="F5627C36">
      <w:start w:val="1"/>
      <w:numFmt w:val="bullet"/>
      <w:lvlText w:val=""/>
      <w:lvlJc w:val="left"/>
      <w:pPr>
        <w:ind w:left="2880" w:hanging="360"/>
      </w:pPr>
      <w:rPr>
        <w:rFonts w:ascii="Symbol" w:hAnsi="Symbol" w:hint="default"/>
      </w:rPr>
    </w:lvl>
    <w:lvl w:ilvl="4" w:tplc="CA5A5E36">
      <w:start w:val="1"/>
      <w:numFmt w:val="bullet"/>
      <w:lvlText w:val="o"/>
      <w:lvlJc w:val="left"/>
      <w:pPr>
        <w:ind w:left="3600" w:hanging="360"/>
      </w:pPr>
      <w:rPr>
        <w:rFonts w:ascii="Courier New" w:hAnsi="Courier New" w:hint="default"/>
      </w:rPr>
    </w:lvl>
    <w:lvl w:ilvl="5" w:tplc="C3423F5E">
      <w:start w:val="1"/>
      <w:numFmt w:val="bullet"/>
      <w:lvlText w:val=""/>
      <w:lvlJc w:val="left"/>
      <w:pPr>
        <w:ind w:left="4320" w:hanging="360"/>
      </w:pPr>
      <w:rPr>
        <w:rFonts w:ascii="Wingdings" w:hAnsi="Wingdings" w:hint="default"/>
      </w:rPr>
    </w:lvl>
    <w:lvl w:ilvl="6" w:tplc="7B74867E">
      <w:start w:val="1"/>
      <w:numFmt w:val="bullet"/>
      <w:lvlText w:val=""/>
      <w:lvlJc w:val="left"/>
      <w:pPr>
        <w:ind w:left="5040" w:hanging="360"/>
      </w:pPr>
      <w:rPr>
        <w:rFonts w:ascii="Symbol" w:hAnsi="Symbol" w:hint="default"/>
      </w:rPr>
    </w:lvl>
    <w:lvl w:ilvl="7" w:tplc="18DAE32E">
      <w:start w:val="1"/>
      <w:numFmt w:val="bullet"/>
      <w:lvlText w:val="o"/>
      <w:lvlJc w:val="left"/>
      <w:pPr>
        <w:ind w:left="5760" w:hanging="360"/>
      </w:pPr>
      <w:rPr>
        <w:rFonts w:ascii="Courier New" w:hAnsi="Courier New" w:hint="default"/>
      </w:rPr>
    </w:lvl>
    <w:lvl w:ilvl="8" w:tplc="EA600EA6">
      <w:start w:val="1"/>
      <w:numFmt w:val="bullet"/>
      <w:lvlText w:val=""/>
      <w:lvlJc w:val="left"/>
      <w:pPr>
        <w:ind w:left="6480" w:hanging="360"/>
      </w:pPr>
      <w:rPr>
        <w:rFonts w:ascii="Wingdings" w:hAnsi="Wingdings" w:hint="default"/>
      </w:rPr>
    </w:lvl>
  </w:abstractNum>
  <w:abstractNum w:abstractNumId="1" w15:restartNumberingAfterBreak="0">
    <w:nsid w:val="1FE9652C"/>
    <w:multiLevelType w:val="hybridMultilevel"/>
    <w:tmpl w:val="09321756"/>
    <w:lvl w:ilvl="0" w:tplc="9422625E">
      <w:start w:val="1"/>
      <w:numFmt w:val="bullet"/>
      <w:lvlText w:val=""/>
      <w:lvlJc w:val="left"/>
      <w:pPr>
        <w:ind w:left="720" w:hanging="360"/>
      </w:pPr>
      <w:rPr>
        <w:rFonts w:ascii="Symbol" w:hAnsi="Symbol" w:hint="default"/>
      </w:rPr>
    </w:lvl>
    <w:lvl w:ilvl="1" w:tplc="28A0C4C6">
      <w:start w:val="1"/>
      <w:numFmt w:val="bullet"/>
      <w:lvlText w:val="o"/>
      <w:lvlJc w:val="left"/>
      <w:pPr>
        <w:ind w:left="1440" w:hanging="360"/>
      </w:pPr>
      <w:rPr>
        <w:rFonts w:ascii="Courier New" w:hAnsi="Courier New" w:hint="default"/>
      </w:rPr>
    </w:lvl>
    <w:lvl w:ilvl="2" w:tplc="6E342B3A">
      <w:start w:val="1"/>
      <w:numFmt w:val="bullet"/>
      <w:lvlText w:val=""/>
      <w:lvlJc w:val="left"/>
      <w:pPr>
        <w:ind w:left="2160" w:hanging="360"/>
      </w:pPr>
      <w:rPr>
        <w:rFonts w:ascii="Wingdings" w:hAnsi="Wingdings" w:hint="default"/>
      </w:rPr>
    </w:lvl>
    <w:lvl w:ilvl="3" w:tplc="AAF64AE2">
      <w:start w:val="1"/>
      <w:numFmt w:val="bullet"/>
      <w:lvlText w:val=""/>
      <w:lvlJc w:val="left"/>
      <w:pPr>
        <w:ind w:left="2880" w:hanging="360"/>
      </w:pPr>
      <w:rPr>
        <w:rFonts w:ascii="Symbol" w:hAnsi="Symbol" w:hint="default"/>
      </w:rPr>
    </w:lvl>
    <w:lvl w:ilvl="4" w:tplc="26E2318A">
      <w:start w:val="1"/>
      <w:numFmt w:val="bullet"/>
      <w:lvlText w:val="o"/>
      <w:lvlJc w:val="left"/>
      <w:pPr>
        <w:ind w:left="3600" w:hanging="360"/>
      </w:pPr>
      <w:rPr>
        <w:rFonts w:ascii="Courier New" w:hAnsi="Courier New" w:hint="default"/>
      </w:rPr>
    </w:lvl>
    <w:lvl w:ilvl="5" w:tplc="C66EE560">
      <w:start w:val="1"/>
      <w:numFmt w:val="bullet"/>
      <w:lvlText w:val=""/>
      <w:lvlJc w:val="left"/>
      <w:pPr>
        <w:ind w:left="4320" w:hanging="360"/>
      </w:pPr>
      <w:rPr>
        <w:rFonts w:ascii="Wingdings" w:hAnsi="Wingdings" w:hint="default"/>
      </w:rPr>
    </w:lvl>
    <w:lvl w:ilvl="6" w:tplc="2DF68606">
      <w:start w:val="1"/>
      <w:numFmt w:val="bullet"/>
      <w:lvlText w:val=""/>
      <w:lvlJc w:val="left"/>
      <w:pPr>
        <w:ind w:left="5040" w:hanging="360"/>
      </w:pPr>
      <w:rPr>
        <w:rFonts w:ascii="Symbol" w:hAnsi="Symbol" w:hint="default"/>
      </w:rPr>
    </w:lvl>
    <w:lvl w:ilvl="7" w:tplc="33CC9C94">
      <w:start w:val="1"/>
      <w:numFmt w:val="bullet"/>
      <w:lvlText w:val="o"/>
      <w:lvlJc w:val="left"/>
      <w:pPr>
        <w:ind w:left="5760" w:hanging="360"/>
      </w:pPr>
      <w:rPr>
        <w:rFonts w:ascii="Courier New" w:hAnsi="Courier New" w:hint="default"/>
      </w:rPr>
    </w:lvl>
    <w:lvl w:ilvl="8" w:tplc="45ECFA62">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4EA10ED"/>
    <w:rsid w:val="007C79CF"/>
    <w:rsid w:val="008B789C"/>
    <w:rsid w:val="00E22487"/>
    <w:rsid w:val="00ECDE7D"/>
    <w:rsid w:val="018403E2"/>
    <w:rsid w:val="01AF452B"/>
    <w:rsid w:val="01C799C5"/>
    <w:rsid w:val="02534F15"/>
    <w:rsid w:val="04CB18CA"/>
    <w:rsid w:val="054FA09B"/>
    <w:rsid w:val="08104076"/>
    <w:rsid w:val="088922B3"/>
    <w:rsid w:val="0978E5A3"/>
    <w:rsid w:val="0BCDD724"/>
    <w:rsid w:val="0BEEBD9E"/>
    <w:rsid w:val="0D592E29"/>
    <w:rsid w:val="0D766EEA"/>
    <w:rsid w:val="0D795BBE"/>
    <w:rsid w:val="0EAD8BC0"/>
    <w:rsid w:val="108D4A4F"/>
    <w:rsid w:val="128D68D7"/>
    <w:rsid w:val="13953E6E"/>
    <w:rsid w:val="1512C6CC"/>
    <w:rsid w:val="151721E9"/>
    <w:rsid w:val="152DA28A"/>
    <w:rsid w:val="15CD6B95"/>
    <w:rsid w:val="1684A43A"/>
    <w:rsid w:val="17A68D1C"/>
    <w:rsid w:val="17F3E114"/>
    <w:rsid w:val="1976AC95"/>
    <w:rsid w:val="19E95DA0"/>
    <w:rsid w:val="1A3686D9"/>
    <w:rsid w:val="1A427219"/>
    <w:rsid w:val="1A7B06C3"/>
    <w:rsid w:val="1AB7F80F"/>
    <w:rsid w:val="1AFD3998"/>
    <w:rsid w:val="1B8D8E2D"/>
    <w:rsid w:val="1B8FF83E"/>
    <w:rsid w:val="1E7B6A2D"/>
    <w:rsid w:val="1F50F40E"/>
    <w:rsid w:val="202F9578"/>
    <w:rsid w:val="2059B765"/>
    <w:rsid w:val="20E1C870"/>
    <w:rsid w:val="2189CB84"/>
    <w:rsid w:val="2195C253"/>
    <w:rsid w:val="23185DBD"/>
    <w:rsid w:val="242129EC"/>
    <w:rsid w:val="27AA75BB"/>
    <w:rsid w:val="27EB3DFC"/>
    <w:rsid w:val="284A0422"/>
    <w:rsid w:val="29FA2517"/>
    <w:rsid w:val="2DA34767"/>
    <w:rsid w:val="2E38AAD0"/>
    <w:rsid w:val="2EC04FEA"/>
    <w:rsid w:val="30845483"/>
    <w:rsid w:val="309424E9"/>
    <w:rsid w:val="30F5F953"/>
    <w:rsid w:val="33ECB923"/>
    <w:rsid w:val="34C98956"/>
    <w:rsid w:val="36A442F8"/>
    <w:rsid w:val="36F1F25F"/>
    <w:rsid w:val="3798E00E"/>
    <w:rsid w:val="37A77D8E"/>
    <w:rsid w:val="37D06CD8"/>
    <w:rsid w:val="3A1F7BBB"/>
    <w:rsid w:val="3A21B0BD"/>
    <w:rsid w:val="3A653461"/>
    <w:rsid w:val="3AE14339"/>
    <w:rsid w:val="3B8C94BB"/>
    <w:rsid w:val="3CA8DFC8"/>
    <w:rsid w:val="3E4FFFC2"/>
    <w:rsid w:val="3FEA776E"/>
    <w:rsid w:val="419B1B3D"/>
    <w:rsid w:val="41A9805F"/>
    <w:rsid w:val="42A8CE00"/>
    <w:rsid w:val="42DA20FD"/>
    <w:rsid w:val="430811E5"/>
    <w:rsid w:val="432D3AC6"/>
    <w:rsid w:val="43D45114"/>
    <w:rsid w:val="442AC529"/>
    <w:rsid w:val="44F063BA"/>
    <w:rsid w:val="467B15A4"/>
    <w:rsid w:val="46809ED2"/>
    <w:rsid w:val="4AA03BCF"/>
    <w:rsid w:val="4AD0D63C"/>
    <w:rsid w:val="4BB74AE4"/>
    <w:rsid w:val="4BEB8665"/>
    <w:rsid w:val="4CB021EF"/>
    <w:rsid w:val="4CE04366"/>
    <w:rsid w:val="4D52DF58"/>
    <w:rsid w:val="4D806DF7"/>
    <w:rsid w:val="4DA4C29B"/>
    <w:rsid w:val="4F8A9152"/>
    <w:rsid w:val="502A61A8"/>
    <w:rsid w:val="526BC357"/>
    <w:rsid w:val="536DF64B"/>
    <w:rsid w:val="5445ABC8"/>
    <w:rsid w:val="54533349"/>
    <w:rsid w:val="54FE7627"/>
    <w:rsid w:val="553049C8"/>
    <w:rsid w:val="55EAD0AD"/>
    <w:rsid w:val="561CAF12"/>
    <w:rsid w:val="5779BFBA"/>
    <w:rsid w:val="57B36135"/>
    <w:rsid w:val="582DC534"/>
    <w:rsid w:val="586D1592"/>
    <w:rsid w:val="58707BEA"/>
    <w:rsid w:val="58AEF2DF"/>
    <w:rsid w:val="59A8E904"/>
    <w:rsid w:val="59E3C126"/>
    <w:rsid w:val="5A70F1B1"/>
    <w:rsid w:val="5A8E7558"/>
    <w:rsid w:val="5B7CD835"/>
    <w:rsid w:val="5CD82699"/>
    <w:rsid w:val="5E10EF60"/>
    <w:rsid w:val="5E1DE842"/>
    <w:rsid w:val="5E53FF1E"/>
    <w:rsid w:val="5ED04937"/>
    <w:rsid w:val="5ED8E2C6"/>
    <w:rsid w:val="5EDD0FA4"/>
    <w:rsid w:val="5F55707A"/>
    <w:rsid w:val="60F66A5E"/>
    <w:rsid w:val="611CA7A9"/>
    <w:rsid w:val="6152035A"/>
    <w:rsid w:val="61C16EE0"/>
    <w:rsid w:val="61F1AB61"/>
    <w:rsid w:val="625219C0"/>
    <w:rsid w:val="6411D759"/>
    <w:rsid w:val="64EA10ED"/>
    <w:rsid w:val="655C2A5D"/>
    <w:rsid w:val="65B5B9B3"/>
    <w:rsid w:val="6636CEEB"/>
    <w:rsid w:val="67603394"/>
    <w:rsid w:val="676693A9"/>
    <w:rsid w:val="676DEB62"/>
    <w:rsid w:val="68270EA3"/>
    <w:rsid w:val="68BBB58F"/>
    <w:rsid w:val="69313E4E"/>
    <w:rsid w:val="6B401474"/>
    <w:rsid w:val="6B9161ED"/>
    <w:rsid w:val="6CFBF9AE"/>
    <w:rsid w:val="6D056BBD"/>
    <w:rsid w:val="6E2396FF"/>
    <w:rsid w:val="6E96070E"/>
    <w:rsid w:val="6ED27D78"/>
    <w:rsid w:val="6F39A7C9"/>
    <w:rsid w:val="6F6829D1"/>
    <w:rsid w:val="725D6D10"/>
    <w:rsid w:val="737E16D9"/>
    <w:rsid w:val="741EEBC4"/>
    <w:rsid w:val="7539C357"/>
    <w:rsid w:val="75629C30"/>
    <w:rsid w:val="757C7C18"/>
    <w:rsid w:val="76C892A3"/>
    <w:rsid w:val="7755EE0A"/>
    <w:rsid w:val="78740290"/>
    <w:rsid w:val="789B795E"/>
    <w:rsid w:val="78EBDD8F"/>
    <w:rsid w:val="790985D6"/>
    <w:rsid w:val="7AC1524D"/>
    <w:rsid w:val="7AD940E8"/>
    <w:rsid w:val="7B25E5E9"/>
    <w:rsid w:val="7B2E3DA3"/>
    <w:rsid w:val="7F0A948E"/>
    <w:rsid w:val="7FAC45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4EA10ED"/>
  <w15:chartTrackingRefBased/>
  <w15:docId w15:val="{DE6B941E-7DED-475B-8827-E42159C40C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next w:val="Normal"/>
    <w:link w:val="Heading3Char"/>
    <w:uiPriority w:val="9"/>
    <w:unhideWhenUsed/>
    <w:qFormat/>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Mention">
    <w:name w:val="Mention"/>
    <w:basedOn w:val="DefaultParagraphFont"/>
    <w:uiPriority w:val="99"/>
    <w:unhideWhenUsed/>
    <w:rPr>
      <w:color w:val="2B579A"/>
      <w:shd w:val="clear" w:color="auto" w:fill="E6E6E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e7f1f5831f0c49ed" Type="http://schemas.microsoft.com/office/2016/09/relationships/commentsIds" Target="commentsId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D42269F5268584AA6B4CD2C3C1694A5" ma:contentTypeVersion="4" ma:contentTypeDescription="Create a new document." ma:contentTypeScope="" ma:versionID="b338dcd6ca018b32768a5c2e0dcbb68b">
  <xsd:schema xmlns:xsd="http://www.w3.org/2001/XMLSchema" xmlns:xs="http://www.w3.org/2001/XMLSchema" xmlns:p="http://schemas.microsoft.com/office/2006/metadata/properties" xmlns:ns2="c3fd5754-a55f-4f2f-bc6f-345d0550a8bd" xmlns:ns3="87bce3b6-43b5-40ea-b773-b3c1ac0c9c03" targetNamespace="http://schemas.microsoft.com/office/2006/metadata/properties" ma:root="true" ma:fieldsID="d75622679c3f93df995fee39dec3d454" ns2:_="" ns3:_="">
    <xsd:import namespace="c3fd5754-a55f-4f2f-bc6f-345d0550a8bd"/>
    <xsd:import namespace="87bce3b6-43b5-40ea-b773-b3c1ac0c9c0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3fd5754-a55f-4f2f-bc6f-345d0550a8b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7bce3b6-43b5-40ea-b773-b3c1ac0c9c0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87bce3b6-43b5-40ea-b773-b3c1ac0c9c03">
      <UserInfo>
        <DisplayName>Hoover, Mark T</DisplayName>
        <AccountId>14</AccountId>
        <AccountType/>
      </UserInfo>
      <UserInfo>
        <DisplayName>Magnuson, Salamah M (Kampala)</DisplayName>
        <AccountId>97</AccountId>
        <AccountType/>
      </UserInfo>
      <UserInfo>
        <DisplayName>Devine, Sarah E</DisplayName>
        <AccountId>52</AccountId>
        <AccountType/>
      </UserInfo>
      <UserInfo>
        <DisplayName>Miller, Allison</DisplayName>
        <AccountId>77</AccountId>
        <AccountType/>
      </UserInfo>
    </SharedWithUsers>
  </documentManagement>
</p:properties>
</file>

<file path=customXml/itemProps1.xml><?xml version="1.0" encoding="utf-8"?>
<ds:datastoreItem xmlns:ds="http://schemas.openxmlformats.org/officeDocument/2006/customXml" ds:itemID="{E92F76DB-6DF6-47D8-9B00-65F388A48495}">
  <ds:schemaRefs>
    <ds:schemaRef ds:uri="http://schemas.microsoft.com/sharepoint/v3/contenttype/forms"/>
  </ds:schemaRefs>
</ds:datastoreItem>
</file>

<file path=customXml/itemProps2.xml><?xml version="1.0" encoding="utf-8"?>
<ds:datastoreItem xmlns:ds="http://schemas.openxmlformats.org/officeDocument/2006/customXml" ds:itemID="{1ABAB258-A5BC-491E-ADA5-9DC0CD5293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3fd5754-a55f-4f2f-bc6f-345d0550a8bd"/>
    <ds:schemaRef ds:uri="87bce3b6-43b5-40ea-b773-b3c1ac0c9c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2322E7C-879E-4C24-BA28-F3EB0825D665}">
  <ds:schemaRefs>
    <ds:schemaRef ds:uri="http://schemas.microsoft.com/office/2006/metadata/properties"/>
    <ds:schemaRef ds:uri="http://schemas.microsoft.com/office/infopath/2007/PartnerControls"/>
    <ds:schemaRef ds:uri="87bce3b6-43b5-40ea-b773-b3c1ac0c9c03"/>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711</Words>
  <Characters>4059</Characters>
  <Application>Microsoft Office Word</Application>
  <DocSecurity>0</DocSecurity>
  <Lines>33</Lines>
  <Paragraphs>9</Paragraphs>
  <ScaleCrop>false</ScaleCrop>
  <Company/>
  <LinksUpToDate>false</LinksUpToDate>
  <CharactersWithSpaces>4761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Pu, Jeffrey F</dc:creator>
  <cp:keywords/>
  <dc:description/>
  <cp:lastModifiedBy>Jeffrey Pu</cp:lastModifiedBy>
  <cp:revision>4</cp:revision>
  <dcterms:created xsi:type="dcterms:W3CDTF">2020-07-24T15:11:00Z</dcterms:created>
  <dcterms:modified xsi:type="dcterms:W3CDTF">2020-07-31T18:33:00Z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0x010100ED42269F5268584AA6B4CD2C3C1694A5</vt:lpwstr>
  </property>
  <property fmtid="{D5CDD505-2E9C-101B-9397-08002B2CF9AE}" pid="3" name="MSIP_Label_1665d9ee-429a-4d5f-97cc-cfb56e044a6e_Enabled">
    <vt:lpwstr>True</vt:lpwstr>
  </property>
  <property fmtid="{D5CDD505-2E9C-101B-9397-08002B2CF9AE}" pid="4" name="MSIP_Label_1665d9ee-429a-4d5f-97cc-cfb56e044a6e_SiteId">
    <vt:lpwstr>66cf5074-5afe-48d1-a691-a12b2121f44b</vt:lpwstr>
  </property>
  <property fmtid="{D5CDD505-2E9C-101B-9397-08002B2CF9AE}" pid="5" name="MSIP_Label_1665d9ee-429a-4d5f-97cc-cfb56e044a6e_Owner">
    <vt:lpwstr>PuJF@state.gov</vt:lpwstr>
  </property>
  <property fmtid="{D5CDD505-2E9C-101B-9397-08002B2CF9AE}" pid="6" name="MSIP_Label_1665d9ee-429a-4d5f-97cc-cfb56e044a6e_SetDate">
    <vt:lpwstr>2020-07-31T18:33:27.8580355Z</vt:lpwstr>
  </property>
  <property fmtid="{D5CDD505-2E9C-101B-9397-08002B2CF9AE}" pid="7" name="MSIP_Label_1665d9ee-429a-4d5f-97cc-cfb56e044a6e_Name">
    <vt:lpwstr>Unclassified</vt:lpwstr>
  </property>
  <property fmtid="{D5CDD505-2E9C-101B-9397-08002B2CF9AE}" pid="8" name="MSIP_Label_1665d9ee-429a-4d5f-97cc-cfb56e044a6e_Application">
    <vt:lpwstr>Microsoft Azure Information Protection</vt:lpwstr>
  </property>
  <property fmtid="{D5CDD505-2E9C-101B-9397-08002B2CF9AE}" pid="9" name="MSIP_Label_1665d9ee-429a-4d5f-97cc-cfb56e044a6e_ActionId">
    <vt:lpwstr>f076c982-3c7c-4e47-92fe-29a9e15c8dff</vt:lpwstr>
  </property>
  <property fmtid="{D5CDD505-2E9C-101B-9397-08002B2CF9AE}" pid="10" name="MSIP_Label_1665d9ee-429a-4d5f-97cc-cfb56e044a6e_Extended_MSFT_Method">
    <vt:lpwstr>Manual</vt:lpwstr>
  </property>
  <property fmtid="{D5CDD505-2E9C-101B-9397-08002B2CF9AE}" pid="11" name="Sensitivity">
    <vt:lpwstr>Unclassified</vt:lpwstr>
  </property>
</Properties>
</file>