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92DD2" w14:textId="11BC23D4" w:rsidR="00056658" w:rsidRPr="00254EC6" w:rsidRDefault="00056658" w:rsidP="00056658">
      <w:pPr>
        <w:pStyle w:val="FOATemplateStyle1"/>
        <w:numPr>
          <w:ilvl w:val="0"/>
          <w:numId w:val="0"/>
        </w:numPr>
        <w:jc w:val="center"/>
      </w:pPr>
      <w:bookmarkStart w:id="0" w:name="_Toc144817208"/>
      <w:bookmarkStart w:id="1" w:name="_Toc158105909"/>
      <w:r w:rsidRPr="00254EC6">
        <w:t>Technology Environmental Health &amp; Safety Analysis</w:t>
      </w:r>
      <w:bookmarkEnd w:id="0"/>
      <w:bookmarkEnd w:id="1"/>
    </w:p>
    <w:p w14:paraId="674F98C5" w14:textId="77777777" w:rsidR="00056658" w:rsidRDefault="00056658" w:rsidP="00056658">
      <w:pPr>
        <w:ind w:left="0"/>
        <w:rPr>
          <w:rFonts w:cstheme="minorHAnsi"/>
          <w:szCs w:val="24"/>
        </w:rPr>
      </w:pPr>
    </w:p>
    <w:p w14:paraId="73A4A258" w14:textId="77777777" w:rsidR="00056658" w:rsidRPr="00254EC6" w:rsidRDefault="00056658" w:rsidP="00056658">
      <w:pPr>
        <w:ind w:left="0"/>
        <w:rPr>
          <w:rFonts w:cstheme="minorHAnsi"/>
          <w:bCs/>
          <w:iCs/>
          <w:szCs w:val="24"/>
        </w:rPr>
      </w:pPr>
      <w:r w:rsidRPr="00254EC6">
        <w:rPr>
          <w:rFonts w:cstheme="minorHAnsi"/>
          <w:szCs w:val="24"/>
        </w:rPr>
        <w:t xml:space="preserve">An assessment of </w:t>
      </w:r>
      <w:r w:rsidRPr="00254EC6">
        <w:t xml:space="preserve">Environmental Health &amp; Safety </w:t>
      </w:r>
      <w:r>
        <w:t>(</w:t>
      </w:r>
      <w:r w:rsidRPr="00254EC6">
        <w:rPr>
          <w:rFonts w:cstheme="minorHAnsi"/>
          <w:szCs w:val="24"/>
        </w:rPr>
        <w:t>EH&amp;S</w:t>
      </w:r>
      <w:r>
        <w:rPr>
          <w:rFonts w:cstheme="minorHAnsi"/>
          <w:szCs w:val="24"/>
        </w:rPr>
        <w:t>)</w:t>
      </w:r>
      <w:r w:rsidRPr="00254EC6">
        <w:rPr>
          <w:rFonts w:cstheme="minorHAnsi"/>
          <w:szCs w:val="24"/>
        </w:rPr>
        <w:t xml:space="preserve"> risks is required as part of the final deliverables.</w:t>
      </w:r>
    </w:p>
    <w:p w14:paraId="0DF4EF93" w14:textId="77777777" w:rsidR="00056658" w:rsidRPr="00254EC6" w:rsidRDefault="00056658" w:rsidP="00056658">
      <w:pPr>
        <w:ind w:left="0"/>
        <w:rPr>
          <w:rFonts w:cstheme="minorHAnsi"/>
          <w:bCs/>
          <w:szCs w:val="24"/>
        </w:rPr>
      </w:pPr>
    </w:p>
    <w:p w14:paraId="08979992" w14:textId="17028C25" w:rsidR="00056658" w:rsidRPr="00254EC6" w:rsidRDefault="00056658" w:rsidP="00056658">
      <w:pPr>
        <w:ind w:left="0"/>
        <w:rPr>
          <w:rFonts w:cstheme="minorHAnsi"/>
          <w:bCs/>
          <w:i/>
          <w:iCs/>
          <w:szCs w:val="24"/>
        </w:rPr>
      </w:pPr>
      <w:r w:rsidRPr="00254EC6">
        <w:rPr>
          <w:rFonts w:cstheme="minorHAnsi"/>
          <w:bCs/>
          <w:iCs/>
          <w:szCs w:val="24"/>
        </w:rPr>
        <w:t xml:space="preserve">The purpose of the EH&amp;S activity is to assess the environmental friendliness and safety of any future process based on the materials and process being proposed under the subject DOE </w:t>
      </w:r>
      <w:r w:rsidR="00A6487E">
        <w:rPr>
          <w:rFonts w:cstheme="minorHAnsi"/>
          <w:bCs/>
          <w:iCs/>
          <w:szCs w:val="24"/>
        </w:rPr>
        <w:t>NOFO</w:t>
      </w:r>
      <w:r w:rsidRPr="00254EC6">
        <w:rPr>
          <w:rFonts w:cstheme="minorHAnsi"/>
          <w:bCs/>
          <w:iCs/>
          <w:szCs w:val="24"/>
        </w:rPr>
        <w:t>.  This is the major concern for solvents in use today.  Exposure to nanoparticles is also coming under increasing scrutiny by the U.S. Environmental Protection Agency (EPA), National Institute for Occupational Safety and Health (NIOSH) and others. The EH&amp;S risk assessments shall be conducted by qualified and experienced organizations and professionals (</w:t>
      </w:r>
      <w:r w:rsidRPr="00254EC6">
        <w:rPr>
          <w:rFonts w:cstheme="minorHAnsi"/>
          <w:bCs/>
          <w:i/>
          <w:iCs/>
          <w:szCs w:val="24"/>
        </w:rPr>
        <w:t>e.g.</w:t>
      </w:r>
      <w:r w:rsidRPr="00254EC6">
        <w:rPr>
          <w:rFonts w:cstheme="minorHAnsi"/>
          <w:bCs/>
          <w:iCs/>
          <w:szCs w:val="24"/>
        </w:rPr>
        <w:t xml:space="preserve"> environmental scientists, industrial hygienists, safety engineers).  </w:t>
      </w:r>
      <w:r w:rsidRPr="00254EC6">
        <w:rPr>
          <w:rFonts w:cstheme="minorHAnsi"/>
          <w:bCs/>
          <w:i/>
          <w:iCs/>
          <w:szCs w:val="24"/>
        </w:rPr>
        <w:t>Unanticipated or uncontrolled EH&amp;S risks will impede commercialization of CO</w:t>
      </w:r>
      <w:r w:rsidRPr="00254EC6">
        <w:rPr>
          <w:rFonts w:cstheme="minorHAnsi"/>
          <w:bCs/>
          <w:i/>
          <w:iCs/>
          <w:szCs w:val="24"/>
          <w:vertAlign w:val="subscript"/>
        </w:rPr>
        <w:t>2</w:t>
      </w:r>
      <w:r w:rsidRPr="00254EC6">
        <w:rPr>
          <w:rFonts w:cstheme="minorHAnsi"/>
          <w:bCs/>
          <w:i/>
          <w:iCs/>
          <w:szCs w:val="24"/>
        </w:rPr>
        <w:t xml:space="preserve"> capture and conversion technologies, and the EH&amp;S assessment is a critical element of the development project.  </w:t>
      </w:r>
    </w:p>
    <w:p w14:paraId="3AEB2E3C" w14:textId="77777777" w:rsidR="00056658" w:rsidRPr="00254EC6" w:rsidRDefault="00056658" w:rsidP="00056658">
      <w:pPr>
        <w:ind w:left="0"/>
        <w:rPr>
          <w:rFonts w:cstheme="minorHAnsi"/>
          <w:bCs/>
          <w:iCs/>
          <w:szCs w:val="24"/>
        </w:rPr>
      </w:pPr>
    </w:p>
    <w:p w14:paraId="6B59967A" w14:textId="77777777" w:rsidR="00056658" w:rsidRPr="00254EC6" w:rsidRDefault="00056658" w:rsidP="00056658">
      <w:pPr>
        <w:ind w:left="0"/>
        <w:rPr>
          <w:rFonts w:cstheme="minorHAnsi"/>
          <w:bCs/>
          <w:iCs/>
          <w:szCs w:val="24"/>
        </w:rPr>
      </w:pPr>
      <w:r w:rsidRPr="00254EC6">
        <w:rPr>
          <w:rFonts w:cstheme="minorHAnsi"/>
          <w:bCs/>
          <w:iCs/>
          <w:szCs w:val="24"/>
        </w:rPr>
        <w:t>Required elements for the EH&amp;S Assessment are:</w:t>
      </w:r>
    </w:p>
    <w:p w14:paraId="66EEA8A0" w14:textId="77777777" w:rsidR="00056658" w:rsidRPr="00254EC6" w:rsidRDefault="00056658" w:rsidP="00056658">
      <w:pPr>
        <w:ind w:left="0"/>
        <w:rPr>
          <w:rFonts w:cstheme="minorHAnsi"/>
          <w:bCs/>
          <w:iCs/>
          <w:szCs w:val="24"/>
        </w:rPr>
      </w:pPr>
    </w:p>
    <w:p w14:paraId="6CC7E7F3" w14:textId="77777777" w:rsidR="00056658" w:rsidRPr="00254EC6" w:rsidRDefault="00056658" w:rsidP="00056658">
      <w:pPr>
        <w:widowControl w:val="0"/>
        <w:numPr>
          <w:ilvl w:val="0"/>
          <w:numId w:val="3"/>
        </w:numPr>
        <w:autoSpaceDE w:val="0"/>
        <w:autoSpaceDN w:val="0"/>
        <w:adjustRightInd w:val="0"/>
        <w:spacing w:line="259" w:lineRule="auto"/>
        <w:ind w:left="274" w:hanging="274"/>
        <w:rPr>
          <w:rFonts w:cstheme="minorHAnsi"/>
          <w:bCs/>
          <w:iCs/>
          <w:szCs w:val="24"/>
        </w:rPr>
      </w:pPr>
      <w:r w:rsidRPr="00254EC6">
        <w:rPr>
          <w:rFonts w:cstheme="minorHAnsi"/>
          <w:bCs/>
          <w:iCs/>
          <w:szCs w:val="24"/>
        </w:rPr>
        <w:t xml:space="preserve">All potential ancillary or incidental air and water emissions, and solid wastes produced from the proposed technology shall be identified and their magnitude estimated.  In addition to solvents or sorbents used, researchers shall consider possible by-products of side reactions that might also occur in the system, accumulated waste products, and the fate of contaminants from the feed gas stream.  Environmental degradation products shall be addressed.  Bioaccumulation, soil mobility, and degradability shall be considered.  Conditions at the point of discharge shall be examined.   </w:t>
      </w:r>
    </w:p>
    <w:p w14:paraId="4C1A4FB6" w14:textId="77777777" w:rsidR="00056658" w:rsidRPr="00254EC6" w:rsidRDefault="00056658" w:rsidP="00056658">
      <w:pPr>
        <w:ind w:left="270"/>
        <w:rPr>
          <w:rFonts w:cstheme="minorHAnsi"/>
          <w:bCs/>
          <w:iCs/>
          <w:szCs w:val="24"/>
        </w:rPr>
      </w:pPr>
    </w:p>
    <w:p w14:paraId="2870CB77" w14:textId="77777777" w:rsidR="00056658" w:rsidRPr="00254EC6" w:rsidRDefault="00056658" w:rsidP="00056658">
      <w:pPr>
        <w:widowControl w:val="0"/>
        <w:numPr>
          <w:ilvl w:val="0"/>
          <w:numId w:val="3"/>
        </w:numPr>
        <w:autoSpaceDE w:val="0"/>
        <w:autoSpaceDN w:val="0"/>
        <w:adjustRightInd w:val="0"/>
        <w:spacing w:line="259" w:lineRule="auto"/>
        <w:ind w:left="274" w:hanging="274"/>
        <w:rPr>
          <w:rFonts w:cstheme="minorHAnsi"/>
          <w:bCs/>
          <w:iCs/>
          <w:szCs w:val="24"/>
        </w:rPr>
      </w:pPr>
      <w:r w:rsidRPr="00254EC6">
        <w:rPr>
          <w:rFonts w:cstheme="minorHAnsi"/>
          <w:bCs/>
          <w:iCs/>
          <w:szCs w:val="24"/>
        </w:rPr>
        <w:t xml:space="preserve">If possible, a concise but complete and comprehensible description of the various toxicological effects of the substances identified in (1) above shall be provided.  A thorough literature search shall be conducted to examine potential human health effects and ecotoxicity.  Where information is lacking for a particular material, it shall be compared to similar substances or classes of substances.  </w:t>
      </w:r>
    </w:p>
    <w:p w14:paraId="0A3A5F9D" w14:textId="77777777" w:rsidR="00056658" w:rsidRPr="00254EC6" w:rsidRDefault="00056658" w:rsidP="00056658">
      <w:pPr>
        <w:ind w:left="0"/>
        <w:rPr>
          <w:rFonts w:cstheme="minorHAnsi"/>
          <w:bCs/>
          <w:iCs/>
          <w:szCs w:val="24"/>
        </w:rPr>
      </w:pPr>
    </w:p>
    <w:p w14:paraId="7C72B32B" w14:textId="77777777" w:rsidR="00056658" w:rsidRPr="00254EC6" w:rsidRDefault="00056658" w:rsidP="00056658">
      <w:pPr>
        <w:widowControl w:val="0"/>
        <w:numPr>
          <w:ilvl w:val="0"/>
          <w:numId w:val="3"/>
        </w:numPr>
        <w:autoSpaceDE w:val="0"/>
        <w:autoSpaceDN w:val="0"/>
        <w:adjustRightInd w:val="0"/>
        <w:spacing w:line="259" w:lineRule="auto"/>
        <w:ind w:left="270" w:hanging="270"/>
        <w:rPr>
          <w:rFonts w:cstheme="minorHAnsi"/>
          <w:bCs/>
          <w:iCs/>
          <w:szCs w:val="24"/>
        </w:rPr>
      </w:pPr>
      <w:r w:rsidRPr="00254EC6">
        <w:rPr>
          <w:rFonts w:cstheme="minorHAnsi"/>
          <w:bCs/>
          <w:iCs/>
          <w:szCs w:val="24"/>
        </w:rPr>
        <w:t>Properties related to volatility, flammability, explosivity, other chemical reactivity, and corrosivity shall also be collected from existing databases or if necessary, through direct measurement in cases where the substance is not in common use.</w:t>
      </w:r>
    </w:p>
    <w:p w14:paraId="57506E1C" w14:textId="77777777" w:rsidR="00056658" w:rsidRPr="00254EC6" w:rsidRDefault="00056658" w:rsidP="00056658">
      <w:pPr>
        <w:ind w:left="270"/>
        <w:rPr>
          <w:rFonts w:cstheme="minorHAnsi"/>
          <w:bCs/>
          <w:iCs/>
          <w:szCs w:val="24"/>
        </w:rPr>
      </w:pPr>
    </w:p>
    <w:p w14:paraId="439CFAD1" w14:textId="77777777" w:rsidR="00056658" w:rsidRPr="00254EC6" w:rsidRDefault="00056658" w:rsidP="00056658">
      <w:pPr>
        <w:widowControl w:val="0"/>
        <w:numPr>
          <w:ilvl w:val="0"/>
          <w:numId w:val="3"/>
        </w:numPr>
        <w:autoSpaceDE w:val="0"/>
        <w:autoSpaceDN w:val="0"/>
        <w:adjustRightInd w:val="0"/>
        <w:spacing w:line="259" w:lineRule="auto"/>
        <w:ind w:left="270" w:hanging="270"/>
        <w:rPr>
          <w:rFonts w:cstheme="minorHAnsi"/>
          <w:bCs/>
          <w:iCs/>
          <w:szCs w:val="24"/>
        </w:rPr>
      </w:pPr>
      <w:r w:rsidRPr="00254EC6">
        <w:rPr>
          <w:rFonts w:cstheme="minorHAnsi"/>
          <w:bCs/>
          <w:iCs/>
          <w:szCs w:val="24"/>
        </w:rPr>
        <w:t>The compliance and regulatory implications of the proposed technology shall be addressed with reference to applicable U.S. EH&amp;S laws and associated standards including the Comprehensive Environmental Response and Liability Act of 1980 (CERCLA), Toxic Substances Control Act (TSCA), Clean Water Act (CWA), Clean Air Act (CAA), Superfund Amendments and Reauthorization Act (SARA) Title III, and the Occupational Safety and Health Act (OSHA).</w:t>
      </w:r>
    </w:p>
    <w:p w14:paraId="784F0B2D" w14:textId="77777777" w:rsidR="00056658" w:rsidRPr="00254EC6" w:rsidRDefault="00056658" w:rsidP="00056658">
      <w:pPr>
        <w:ind w:left="270"/>
        <w:rPr>
          <w:rFonts w:cstheme="minorHAnsi"/>
          <w:bCs/>
          <w:iCs/>
          <w:szCs w:val="24"/>
        </w:rPr>
      </w:pPr>
    </w:p>
    <w:p w14:paraId="0B6CA2BB" w14:textId="77777777" w:rsidR="00056658" w:rsidRPr="00254EC6" w:rsidRDefault="00056658" w:rsidP="00056658">
      <w:pPr>
        <w:widowControl w:val="0"/>
        <w:numPr>
          <w:ilvl w:val="0"/>
          <w:numId w:val="3"/>
        </w:numPr>
        <w:autoSpaceDE w:val="0"/>
        <w:autoSpaceDN w:val="0"/>
        <w:adjustRightInd w:val="0"/>
        <w:spacing w:line="259" w:lineRule="auto"/>
        <w:ind w:left="270" w:hanging="270"/>
        <w:rPr>
          <w:rFonts w:cstheme="minorHAnsi"/>
          <w:bCs/>
          <w:iCs/>
          <w:szCs w:val="24"/>
        </w:rPr>
      </w:pPr>
      <w:r w:rsidRPr="00254EC6">
        <w:rPr>
          <w:rFonts w:cstheme="minorHAnsi"/>
          <w:bCs/>
          <w:iCs/>
          <w:szCs w:val="24"/>
        </w:rPr>
        <w:t>An engineering analysis shall be conducted for any potentially hazardous materials identified to look for ways their use can be eliminated or minimized.  Less hazardous materials should be substituted where possible.  For any new materials being proposed, synthetic options shall be examined that may lead to similar, less-hazardous compounds with the required functionality.  Possible engineering controls and other mitigation strategies shall be described as appropriate.</w:t>
      </w:r>
    </w:p>
    <w:p w14:paraId="61AB8A44" w14:textId="77777777" w:rsidR="00056658" w:rsidRPr="00254EC6" w:rsidRDefault="00056658" w:rsidP="00056658">
      <w:pPr>
        <w:ind w:left="270"/>
        <w:rPr>
          <w:rFonts w:cstheme="minorHAnsi"/>
          <w:bCs/>
          <w:iCs/>
          <w:szCs w:val="24"/>
        </w:rPr>
      </w:pPr>
    </w:p>
    <w:p w14:paraId="0CE44499" w14:textId="77777777" w:rsidR="00056658" w:rsidRPr="00254EC6" w:rsidRDefault="00056658" w:rsidP="00056658">
      <w:pPr>
        <w:ind w:left="0"/>
        <w:rPr>
          <w:rFonts w:eastAsia="Arial"/>
          <w:szCs w:val="24"/>
        </w:rPr>
      </w:pPr>
      <w:r w:rsidRPr="00254EC6">
        <w:rPr>
          <w:rFonts w:cstheme="minorHAnsi"/>
          <w:bCs/>
          <w:iCs/>
          <w:szCs w:val="24"/>
        </w:rPr>
        <w:t>Precautions for safe handling and conditions for safe storage shall be identified, including any incompatibilities with other materials that may be used in the process.  Waste treatment and offsite disposal options shall be examined.  Accidental release measures shall also be discussed.</w:t>
      </w:r>
    </w:p>
    <w:p w14:paraId="08828ADE" w14:textId="77777777" w:rsidR="00560A6E" w:rsidRDefault="00560A6E"/>
    <w:sectPr w:rsidR="00560A6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3C5A" w14:textId="77777777" w:rsidR="00056658" w:rsidRDefault="00056658" w:rsidP="00056658">
      <w:r>
        <w:separator/>
      </w:r>
    </w:p>
  </w:endnote>
  <w:endnote w:type="continuationSeparator" w:id="0">
    <w:p w14:paraId="6EAF1C68" w14:textId="77777777" w:rsidR="00056658" w:rsidRDefault="00056658" w:rsidP="0005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A158" w14:textId="2897B548" w:rsidR="00056658" w:rsidRDefault="00056658" w:rsidP="00056658">
    <w:pPr>
      <w:pStyle w:val="Footer"/>
      <w:jc w:val="center"/>
      <w:rPr>
        <w:i/>
        <w:iCs/>
        <w:sz w:val="20"/>
      </w:rPr>
    </w:pPr>
    <w:r>
      <w:rPr>
        <w:i/>
        <w:iCs/>
        <w:sz w:val="20"/>
      </w:rPr>
      <w:t xml:space="preserve">Questions about this </w:t>
    </w:r>
    <w:r w:rsidR="00A6487E">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27397129" w14:textId="41D91147" w:rsidR="00056658" w:rsidRDefault="00056658" w:rsidP="00A6487E">
    <w:pPr>
      <w:pStyle w:val="Footer"/>
      <w:ind w:left="0"/>
    </w:pPr>
  </w:p>
  <w:p w14:paraId="7B081472" w14:textId="77777777" w:rsidR="00056658" w:rsidRDefault="00056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98C9A" w14:textId="77777777" w:rsidR="00056658" w:rsidRDefault="00056658" w:rsidP="00056658">
      <w:r>
        <w:separator/>
      </w:r>
    </w:p>
  </w:footnote>
  <w:footnote w:type="continuationSeparator" w:id="0">
    <w:p w14:paraId="0595D0DD" w14:textId="77777777" w:rsidR="00056658" w:rsidRDefault="00056658" w:rsidP="00056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024D2"/>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AFA299F"/>
    <w:multiLevelType w:val="hybridMultilevel"/>
    <w:tmpl w:val="EAFC500C"/>
    <w:lvl w:ilvl="0" w:tplc="D826B1E6">
      <w:start w:val="1"/>
      <w:numFmt w:val="decimal"/>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903614">
    <w:abstractNumId w:val="1"/>
  </w:num>
  <w:num w:numId="2" w16cid:durableId="23678236">
    <w:abstractNumId w:val="2"/>
  </w:num>
  <w:num w:numId="3" w16cid:durableId="106845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58"/>
    <w:rsid w:val="00056658"/>
    <w:rsid w:val="002C2510"/>
    <w:rsid w:val="00560A6E"/>
    <w:rsid w:val="00971CE6"/>
    <w:rsid w:val="00A6487E"/>
    <w:rsid w:val="00D3775C"/>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6846F"/>
  <w15:chartTrackingRefBased/>
  <w15:docId w15:val="{690C858F-12E4-4638-ACF4-3A288E6D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658"/>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056658"/>
    <w:pPr>
      <w:ind w:left="1800"/>
      <w:contextualSpacing/>
    </w:p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056658"/>
    <w:rPr>
      <w:rFonts w:eastAsia="Times New Roman" w:cs="Times New Roman"/>
      <w:kern w:val="0"/>
      <w:sz w:val="24"/>
      <w:szCs w:val="20"/>
      <w14:ligatures w14:val="none"/>
    </w:rPr>
  </w:style>
  <w:style w:type="paragraph" w:customStyle="1" w:styleId="FOATemplateStyle1">
    <w:name w:val="FOA Template Style 1"/>
    <w:basedOn w:val="Normal"/>
    <w:qFormat/>
    <w:rsid w:val="00056658"/>
    <w:pPr>
      <w:numPr>
        <w:numId w:val="1"/>
      </w:numPr>
      <w:outlineLvl w:val="0"/>
    </w:pPr>
    <w:rPr>
      <w:rFonts w:ascii="Calibri" w:eastAsiaTheme="minorHAnsi" w:hAnsi="Calibri" w:cstheme="minorBidi"/>
      <w:b/>
      <w:color w:val="000000" w:themeColor="text1"/>
      <w:sz w:val="36"/>
      <w:szCs w:val="36"/>
    </w:rPr>
  </w:style>
  <w:style w:type="paragraph" w:styleId="Header">
    <w:name w:val="header"/>
    <w:basedOn w:val="Normal"/>
    <w:link w:val="HeaderChar"/>
    <w:uiPriority w:val="99"/>
    <w:unhideWhenUsed/>
    <w:rsid w:val="00056658"/>
    <w:pPr>
      <w:tabs>
        <w:tab w:val="center" w:pos="4680"/>
        <w:tab w:val="right" w:pos="9360"/>
      </w:tabs>
    </w:pPr>
  </w:style>
  <w:style w:type="character" w:customStyle="1" w:styleId="HeaderChar">
    <w:name w:val="Header Char"/>
    <w:basedOn w:val="DefaultParagraphFont"/>
    <w:link w:val="Header"/>
    <w:uiPriority w:val="99"/>
    <w:rsid w:val="00056658"/>
    <w:rPr>
      <w:rFonts w:eastAsia="Times New Roman" w:cs="Times New Roman"/>
      <w:kern w:val="0"/>
      <w:sz w:val="24"/>
      <w:szCs w:val="20"/>
      <w14:ligatures w14:val="none"/>
    </w:rPr>
  </w:style>
  <w:style w:type="paragraph" w:styleId="Footer">
    <w:name w:val="footer"/>
    <w:basedOn w:val="Normal"/>
    <w:link w:val="FooterChar"/>
    <w:uiPriority w:val="99"/>
    <w:unhideWhenUsed/>
    <w:rsid w:val="00056658"/>
    <w:pPr>
      <w:tabs>
        <w:tab w:val="center" w:pos="4680"/>
        <w:tab w:val="right" w:pos="9360"/>
      </w:tabs>
    </w:pPr>
  </w:style>
  <w:style w:type="character" w:customStyle="1" w:styleId="FooterChar">
    <w:name w:val="Footer Char"/>
    <w:basedOn w:val="DefaultParagraphFont"/>
    <w:link w:val="Footer"/>
    <w:uiPriority w:val="99"/>
    <w:rsid w:val="00056658"/>
    <w:rPr>
      <w:rFonts w:eastAsia="Times New Roman" w:cs="Times New Roman"/>
      <w:kern w:val="0"/>
      <w:sz w:val="24"/>
      <w:szCs w:val="20"/>
      <w14:ligatures w14:val="none"/>
    </w:rPr>
  </w:style>
  <w:style w:type="character" w:styleId="Hyperlink">
    <w:name w:val="Hyperlink"/>
    <w:basedOn w:val="DefaultParagraphFont"/>
    <w:uiPriority w:val="99"/>
    <w:unhideWhenUsed/>
    <w:rsid w:val="000566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0E535-6785-41AF-80D6-771E0F36279E}">
  <ds:schemaRefs>
    <ds:schemaRef ds:uri="http://schemas.microsoft.com/sharepoint/v3/contenttype/forms"/>
  </ds:schemaRefs>
</ds:datastoreItem>
</file>

<file path=customXml/itemProps2.xml><?xml version="1.0" encoding="utf-8"?>
<ds:datastoreItem xmlns:ds="http://schemas.openxmlformats.org/officeDocument/2006/customXml" ds:itemID="{623C6C12-B62F-4D0D-A503-4712A9EAF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9D47D-EE42-4442-B8E6-015BA67CBA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2</cp:revision>
  <dcterms:created xsi:type="dcterms:W3CDTF">2024-12-09T20:05:00Z</dcterms:created>
  <dcterms:modified xsi:type="dcterms:W3CDTF">2025-01-08T00:39:00Z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