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30D06" w14:textId="77777777" w:rsidR="00740020" w:rsidRPr="00254EC6" w:rsidRDefault="00740020" w:rsidP="00740020">
      <w:pPr>
        <w:pStyle w:val="FOATemplateStyle1"/>
        <w:numPr>
          <w:ilvl w:val="0"/>
          <w:numId w:val="0"/>
        </w:numPr>
        <w:jc w:val="center"/>
      </w:pPr>
      <w:bookmarkStart w:id="0" w:name="_Toc144817206"/>
      <w:bookmarkStart w:id="1" w:name="_Toc158105907"/>
      <w:r w:rsidRPr="00254EC6">
        <w:t>Basis for Techno-Economic Analysis</w:t>
      </w:r>
      <w:bookmarkEnd w:id="0"/>
      <w:bookmarkEnd w:id="1"/>
    </w:p>
    <w:p w14:paraId="3A177918" w14:textId="77777777" w:rsidR="00740020" w:rsidRPr="00254EC6" w:rsidRDefault="00740020" w:rsidP="00740020">
      <w:pPr>
        <w:ind w:left="0"/>
        <w:textAlignment w:val="baseline"/>
        <w:rPr>
          <w:rFonts w:cstheme="minorHAnsi"/>
        </w:rPr>
      </w:pPr>
    </w:p>
    <w:p w14:paraId="318D665C" w14:textId="77777777" w:rsidR="00740020" w:rsidRPr="00254EC6" w:rsidRDefault="00740020" w:rsidP="00740020">
      <w:pPr>
        <w:ind w:left="0"/>
        <w:textAlignment w:val="baseline"/>
        <w:rPr>
          <w:rFonts w:ascii="Calibri" w:hAnsi="Calibri" w:cs="Calibri"/>
        </w:rPr>
      </w:pPr>
      <w:r w:rsidRPr="00254EC6">
        <w:rPr>
          <w:rFonts w:cstheme="minorBidi"/>
        </w:rPr>
        <w:t xml:space="preserve">The Techno-Economic Analysis (TEA) required shall follow the analysis procedures documented in NETL’s </w:t>
      </w:r>
      <w:r w:rsidRPr="00254EC6">
        <w:rPr>
          <w:rFonts w:cstheme="minorBidi"/>
          <w:i/>
          <w:iCs/>
        </w:rPr>
        <w:t>“Quality Guidelines for Energy System Studies: Performing a Techno-Economic Analysis for Carbon Conversion Technologies”</w:t>
      </w:r>
      <w:r w:rsidRPr="00254EC6">
        <w:rPr>
          <w:rFonts w:cstheme="minorBidi"/>
          <w:i/>
          <w:iCs/>
          <w:vertAlign w:val="superscript"/>
        </w:rPr>
        <w:footnoteReference w:id="1"/>
      </w:r>
      <w:r w:rsidRPr="00254EC6">
        <w:rPr>
          <w:rFonts w:cstheme="minorBidi"/>
          <w:i/>
          <w:iCs/>
        </w:rPr>
        <w:t xml:space="preserve"> </w:t>
      </w:r>
      <w:r w:rsidRPr="00254EC6">
        <w:rPr>
          <w:rFonts w:cstheme="minorBidi"/>
        </w:rPr>
        <w:t>(AOI-1, All subtopics) to the greatest extent possible.</w:t>
      </w:r>
      <w:r w:rsidRPr="00254EC6">
        <w:rPr>
          <w:rFonts w:ascii="Calibri" w:hAnsi="Calibri" w:cs="Calibri"/>
        </w:rPr>
        <w:t xml:space="preserve"> Adjustments to the guidelines can be made due to the nature of the individual component technologies being assessed, and all deviations/assumptions should be specifically detailed. Application and reporting requirements for the TEA are described in the table below:</w:t>
      </w:r>
    </w:p>
    <w:p w14:paraId="189CACB1" w14:textId="77777777" w:rsidR="00740020" w:rsidRPr="00254EC6" w:rsidRDefault="00740020" w:rsidP="00740020">
      <w:pPr>
        <w:ind w:left="0"/>
        <w:textAlignment w:val="baseline"/>
        <w:rPr>
          <w:rFonts w:ascii="Calibri" w:hAnsi="Calibri" w:cs="Calibri"/>
          <w:szCs w:val="24"/>
        </w:rPr>
      </w:pPr>
    </w:p>
    <w:tbl>
      <w:tblPr>
        <w:tblW w:w="9009" w:type="dxa"/>
        <w:jc w:val="center"/>
        <w:tblLook w:val="04A0" w:firstRow="1" w:lastRow="0" w:firstColumn="1" w:lastColumn="0" w:noHBand="0" w:noVBand="1"/>
      </w:tblPr>
      <w:tblGrid>
        <w:gridCol w:w="1795"/>
        <w:gridCol w:w="4770"/>
        <w:gridCol w:w="2444"/>
      </w:tblGrid>
      <w:tr w:rsidR="00740020" w:rsidRPr="00254EC6" w14:paraId="411FA9E3" w14:textId="77777777" w:rsidTr="00E67C13">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auto" w:fill="9BC2E6"/>
            <w:noWrap/>
            <w:vAlign w:val="center"/>
            <w:hideMark/>
          </w:tcPr>
          <w:p w14:paraId="4D99D0E6" w14:textId="77777777" w:rsidR="00740020" w:rsidRPr="00254EC6" w:rsidRDefault="00740020" w:rsidP="00E67C13">
            <w:pPr>
              <w:ind w:left="0"/>
              <w:jc w:val="center"/>
              <w:rPr>
                <w:rFonts w:ascii="Calibri" w:hAnsi="Calibri" w:cs="Calibri"/>
                <w:b/>
                <w:bCs/>
                <w:color w:val="000000"/>
                <w:sz w:val="22"/>
                <w:szCs w:val="22"/>
              </w:rPr>
            </w:pPr>
            <w:r w:rsidRPr="00254EC6">
              <w:rPr>
                <w:rFonts w:ascii="Calibri" w:hAnsi="Calibri" w:cs="Calibri"/>
                <w:b/>
                <w:bCs/>
                <w:color w:val="000000"/>
                <w:sz w:val="22"/>
                <w:szCs w:val="22"/>
              </w:rPr>
              <w:t>AOI</w:t>
            </w:r>
          </w:p>
        </w:tc>
        <w:tc>
          <w:tcPr>
            <w:tcW w:w="4770" w:type="dxa"/>
            <w:tcBorders>
              <w:top w:val="single" w:sz="4" w:space="0" w:color="auto"/>
              <w:left w:val="nil"/>
              <w:bottom w:val="single" w:sz="4" w:space="0" w:color="auto"/>
              <w:right w:val="single" w:sz="4" w:space="0" w:color="auto"/>
            </w:tcBorders>
            <w:shd w:val="clear" w:color="auto" w:fill="9BC2E6"/>
            <w:noWrap/>
            <w:vAlign w:val="center"/>
            <w:hideMark/>
          </w:tcPr>
          <w:p w14:paraId="20EFF627" w14:textId="77777777" w:rsidR="00740020" w:rsidRPr="00254EC6" w:rsidRDefault="00740020" w:rsidP="00E67C13">
            <w:pPr>
              <w:ind w:left="0"/>
              <w:jc w:val="center"/>
              <w:rPr>
                <w:rFonts w:ascii="Calibri" w:hAnsi="Calibri" w:cs="Calibri"/>
                <w:b/>
                <w:bCs/>
                <w:color w:val="000000"/>
                <w:sz w:val="22"/>
                <w:szCs w:val="22"/>
              </w:rPr>
            </w:pPr>
            <w:r w:rsidRPr="00254EC6">
              <w:rPr>
                <w:rFonts w:ascii="Calibri" w:hAnsi="Calibri" w:cs="Calibri"/>
                <w:b/>
                <w:bCs/>
                <w:color w:val="000000"/>
                <w:sz w:val="22"/>
                <w:szCs w:val="22"/>
              </w:rPr>
              <w:t>Application</w:t>
            </w:r>
          </w:p>
        </w:tc>
        <w:tc>
          <w:tcPr>
            <w:tcW w:w="2444" w:type="dxa"/>
            <w:tcBorders>
              <w:top w:val="single" w:sz="4" w:space="0" w:color="auto"/>
              <w:left w:val="nil"/>
              <w:bottom w:val="single" w:sz="4" w:space="0" w:color="auto"/>
              <w:right w:val="single" w:sz="4" w:space="0" w:color="auto"/>
            </w:tcBorders>
            <w:shd w:val="clear" w:color="auto" w:fill="9BC2E6"/>
            <w:noWrap/>
            <w:vAlign w:val="center"/>
            <w:hideMark/>
          </w:tcPr>
          <w:p w14:paraId="30C2ED8B" w14:textId="77777777" w:rsidR="00740020" w:rsidRPr="00254EC6" w:rsidRDefault="00740020" w:rsidP="00E67C13">
            <w:pPr>
              <w:ind w:left="0"/>
              <w:jc w:val="center"/>
              <w:rPr>
                <w:rFonts w:ascii="Calibri" w:hAnsi="Calibri" w:cs="Calibri"/>
                <w:b/>
                <w:bCs/>
                <w:color w:val="000000"/>
                <w:sz w:val="22"/>
                <w:szCs w:val="22"/>
              </w:rPr>
            </w:pPr>
            <w:r w:rsidRPr="00254EC6">
              <w:rPr>
                <w:rFonts w:ascii="Calibri" w:hAnsi="Calibri" w:cs="Calibri"/>
                <w:b/>
                <w:bCs/>
                <w:color w:val="000000"/>
                <w:sz w:val="22"/>
                <w:szCs w:val="22"/>
              </w:rPr>
              <w:t>Award</w:t>
            </w:r>
          </w:p>
        </w:tc>
      </w:tr>
      <w:tr w:rsidR="00740020" w:rsidRPr="00254EC6" w14:paraId="0D4F05E6" w14:textId="77777777" w:rsidTr="00E67C13">
        <w:trPr>
          <w:trHeight w:val="44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76C552BC" w14:textId="77777777" w:rsidR="00740020" w:rsidRPr="00254EC6" w:rsidRDefault="00740020" w:rsidP="00E67C13">
            <w:pPr>
              <w:ind w:left="0"/>
              <w:jc w:val="center"/>
              <w:rPr>
                <w:rFonts w:ascii="Calibri" w:hAnsi="Calibri" w:cs="Calibri"/>
                <w:color w:val="000000"/>
                <w:sz w:val="22"/>
                <w:szCs w:val="22"/>
              </w:rPr>
            </w:pPr>
            <w:r w:rsidRPr="00254EC6">
              <w:rPr>
                <w:rFonts w:ascii="Calibri" w:hAnsi="Calibri" w:cs="Calibri"/>
                <w:color w:val="000000"/>
                <w:sz w:val="22"/>
                <w:szCs w:val="22"/>
              </w:rPr>
              <w:t>1 (All subtopics)</w:t>
            </w:r>
          </w:p>
        </w:tc>
        <w:tc>
          <w:tcPr>
            <w:tcW w:w="4770" w:type="dxa"/>
            <w:tcBorders>
              <w:top w:val="nil"/>
              <w:left w:val="nil"/>
              <w:bottom w:val="single" w:sz="4" w:space="0" w:color="auto"/>
              <w:right w:val="single" w:sz="4" w:space="0" w:color="auto"/>
            </w:tcBorders>
            <w:shd w:val="clear" w:color="auto" w:fill="auto"/>
            <w:vAlign w:val="center"/>
            <w:hideMark/>
          </w:tcPr>
          <w:p w14:paraId="0B03FE5F" w14:textId="77777777" w:rsidR="00740020" w:rsidRPr="00254EC6" w:rsidRDefault="00740020" w:rsidP="00E67C13">
            <w:pPr>
              <w:ind w:left="0"/>
              <w:jc w:val="center"/>
              <w:rPr>
                <w:rFonts w:ascii="Calibri" w:hAnsi="Calibri" w:cs="Calibri"/>
                <w:color w:val="000000"/>
                <w:sz w:val="22"/>
                <w:szCs w:val="22"/>
              </w:rPr>
            </w:pPr>
            <w:r w:rsidRPr="00254EC6">
              <w:rPr>
                <w:rFonts w:ascii="Calibri" w:hAnsi="Calibri" w:cs="Calibri"/>
                <w:color w:val="000000" w:themeColor="text1"/>
                <w:sz w:val="22"/>
                <w:szCs w:val="22"/>
              </w:rPr>
              <w:t>Pre-TEA (within application narrative)</w:t>
            </w:r>
          </w:p>
        </w:tc>
        <w:tc>
          <w:tcPr>
            <w:tcW w:w="2444" w:type="dxa"/>
            <w:tcBorders>
              <w:top w:val="single" w:sz="4" w:space="0" w:color="auto"/>
              <w:left w:val="nil"/>
              <w:bottom w:val="single" w:sz="4" w:space="0" w:color="auto"/>
              <w:right w:val="single" w:sz="4" w:space="0" w:color="auto"/>
            </w:tcBorders>
            <w:shd w:val="clear" w:color="auto" w:fill="auto"/>
            <w:noWrap/>
            <w:vAlign w:val="center"/>
            <w:hideMark/>
          </w:tcPr>
          <w:p w14:paraId="33423098" w14:textId="77777777" w:rsidR="00740020" w:rsidRPr="00254EC6" w:rsidRDefault="00740020" w:rsidP="00E67C13">
            <w:pPr>
              <w:ind w:left="0"/>
              <w:jc w:val="center"/>
              <w:rPr>
                <w:rFonts w:ascii="Calibri" w:hAnsi="Calibri" w:cs="Calibri"/>
                <w:color w:val="000000"/>
                <w:sz w:val="22"/>
                <w:szCs w:val="22"/>
              </w:rPr>
            </w:pPr>
            <w:r w:rsidRPr="00254EC6">
              <w:rPr>
                <w:rFonts w:ascii="Calibri" w:hAnsi="Calibri" w:cs="Calibri"/>
                <w:color w:val="000000"/>
                <w:sz w:val="22"/>
                <w:szCs w:val="22"/>
              </w:rPr>
              <w:t>Final TEA</w:t>
            </w:r>
          </w:p>
        </w:tc>
      </w:tr>
    </w:tbl>
    <w:p w14:paraId="2BA1F164" w14:textId="77777777" w:rsidR="00740020" w:rsidRPr="00254EC6" w:rsidRDefault="00740020" w:rsidP="00740020">
      <w:pPr>
        <w:ind w:left="0"/>
        <w:textAlignment w:val="baseline"/>
        <w:rPr>
          <w:rFonts w:ascii="Segoe UI" w:hAnsi="Segoe UI" w:cs="Segoe UI"/>
          <w:szCs w:val="24"/>
        </w:rPr>
      </w:pPr>
    </w:p>
    <w:p w14:paraId="7EB662F0" w14:textId="15A2CB2B" w:rsidR="00740020" w:rsidRPr="00254EC6" w:rsidRDefault="00740020" w:rsidP="00740020">
      <w:pPr>
        <w:ind w:left="0"/>
        <w:textAlignment w:val="baseline"/>
        <w:rPr>
          <w:rFonts w:ascii="Segoe UI" w:hAnsi="Segoe UI" w:cs="Segoe UI"/>
        </w:rPr>
      </w:pPr>
      <w:r w:rsidRPr="00254EC6">
        <w:rPr>
          <w:rFonts w:cstheme="minorBidi"/>
        </w:rPr>
        <w:t xml:space="preserve">Recipients will have submitted a preliminary techno-economic analysis (TEA) in accordance with the application requirements described in </w:t>
      </w:r>
      <w:r w:rsidR="00B01BD7">
        <w:rPr>
          <w:rFonts w:cstheme="minorBidi"/>
        </w:rPr>
        <w:t xml:space="preserve">NOFO </w:t>
      </w:r>
      <w:r w:rsidRPr="00254EC6">
        <w:rPr>
          <w:rFonts w:cstheme="minorBidi"/>
        </w:rPr>
        <w:t>section IV, Application</w:t>
      </w:r>
      <w:r w:rsidR="00B01BD7">
        <w:rPr>
          <w:rFonts w:cstheme="minorBidi"/>
        </w:rPr>
        <w:t xml:space="preserve"> Content and Form</w:t>
      </w:r>
      <w:r w:rsidRPr="00254EC6">
        <w:rPr>
          <w:rFonts w:cstheme="minorBidi"/>
        </w:rPr>
        <w:t>. All Recipients will complete a final TEA.</w:t>
      </w:r>
    </w:p>
    <w:p w14:paraId="35FE9AAF" w14:textId="77777777" w:rsidR="00740020" w:rsidRPr="00254EC6" w:rsidRDefault="00740020" w:rsidP="00740020">
      <w:pPr>
        <w:ind w:left="0"/>
        <w:textAlignment w:val="baseline"/>
        <w:rPr>
          <w:rFonts w:ascii="Calibri" w:hAnsi="Calibri" w:cs="Calibri"/>
          <w:szCs w:val="24"/>
        </w:rPr>
      </w:pPr>
    </w:p>
    <w:p w14:paraId="0380EB0B" w14:textId="77777777" w:rsidR="00740020" w:rsidRPr="00254EC6" w:rsidRDefault="00740020" w:rsidP="00740020">
      <w:pPr>
        <w:ind w:left="0"/>
        <w:textAlignment w:val="baseline"/>
        <w:rPr>
          <w:rFonts w:ascii="Segoe UI" w:hAnsi="Segoe UI" w:cs="Segoe UI"/>
          <w:szCs w:val="24"/>
        </w:rPr>
      </w:pPr>
      <w:r w:rsidRPr="00254EC6">
        <w:rPr>
          <w:rFonts w:ascii="Calibri" w:hAnsi="Calibri" w:cs="Calibri"/>
          <w:szCs w:val="24"/>
        </w:rPr>
        <w:t>As specifically outlined in the document, required elements of a complete TEA include: </w:t>
      </w:r>
    </w:p>
    <w:p w14:paraId="03C5B2B5" w14:textId="77777777" w:rsidR="00740020" w:rsidRPr="00254EC6" w:rsidRDefault="00740020" w:rsidP="00740020">
      <w:pPr>
        <w:numPr>
          <w:ilvl w:val="0"/>
          <w:numId w:val="2"/>
        </w:numPr>
        <w:ind w:left="360"/>
        <w:textAlignment w:val="baseline"/>
        <w:rPr>
          <w:rFonts w:ascii="Calibri" w:hAnsi="Calibri" w:cs="Calibri"/>
          <w:szCs w:val="24"/>
        </w:rPr>
      </w:pPr>
      <w:r w:rsidRPr="00254EC6">
        <w:rPr>
          <w:rFonts w:ascii="Calibri" w:hAnsi="Calibri" w:cs="Calibri"/>
          <w:szCs w:val="24"/>
        </w:rPr>
        <w:t>General block flow diagram identifying all major process equipment for the entire process and accompanying stream tables.</w:t>
      </w:r>
    </w:p>
    <w:p w14:paraId="52657596" w14:textId="77777777" w:rsidR="00740020" w:rsidRPr="00254EC6" w:rsidRDefault="00740020" w:rsidP="00740020">
      <w:pPr>
        <w:numPr>
          <w:ilvl w:val="0"/>
          <w:numId w:val="2"/>
        </w:numPr>
        <w:ind w:left="360"/>
        <w:textAlignment w:val="baseline"/>
        <w:rPr>
          <w:rFonts w:ascii="Calibri" w:hAnsi="Calibri" w:cs="Calibri"/>
          <w:szCs w:val="24"/>
        </w:rPr>
      </w:pPr>
      <w:r w:rsidRPr="00254EC6">
        <w:rPr>
          <w:rFonts w:ascii="Calibri" w:hAnsi="Calibri" w:cs="Calibri"/>
          <w:szCs w:val="24"/>
        </w:rPr>
        <w:t>Material and energy balances around the complete process, including electric power requirements, heating and/or cooling requirements, etc. </w:t>
      </w:r>
    </w:p>
    <w:p w14:paraId="195CDF4D" w14:textId="77777777" w:rsidR="00740020" w:rsidRPr="00254EC6" w:rsidRDefault="00740020" w:rsidP="00740020">
      <w:pPr>
        <w:numPr>
          <w:ilvl w:val="0"/>
          <w:numId w:val="2"/>
        </w:numPr>
        <w:ind w:left="360"/>
        <w:textAlignment w:val="baseline"/>
        <w:rPr>
          <w:rFonts w:ascii="Calibri" w:hAnsi="Calibri" w:cs="Calibri"/>
          <w:szCs w:val="24"/>
        </w:rPr>
      </w:pPr>
      <w:r w:rsidRPr="00254EC6">
        <w:rPr>
          <w:rFonts w:ascii="Calibri" w:hAnsi="Calibri" w:cs="Calibri"/>
          <w:szCs w:val="24"/>
        </w:rPr>
        <w:t>System performance summary.</w:t>
      </w:r>
    </w:p>
    <w:p w14:paraId="1AEF3E5A" w14:textId="77777777" w:rsidR="00740020" w:rsidRPr="00254EC6" w:rsidRDefault="00740020" w:rsidP="00740020">
      <w:pPr>
        <w:numPr>
          <w:ilvl w:val="0"/>
          <w:numId w:val="2"/>
        </w:numPr>
        <w:ind w:left="360"/>
        <w:textAlignment w:val="baseline"/>
        <w:rPr>
          <w:rFonts w:ascii="Calibri" w:hAnsi="Calibri" w:cs="Calibri"/>
          <w:szCs w:val="24"/>
        </w:rPr>
      </w:pPr>
      <w:r w:rsidRPr="00254EC6">
        <w:rPr>
          <w:rFonts w:ascii="Calibri" w:hAnsi="Calibri" w:cs="Calibri"/>
          <w:szCs w:val="24"/>
        </w:rPr>
        <w:t>Complete stream tables showing operating pressures, temperatures, compositions, and enthalpies for all streams entering or leaving major process equipment. </w:t>
      </w:r>
    </w:p>
    <w:p w14:paraId="6737D111" w14:textId="77777777" w:rsidR="00740020" w:rsidRPr="00254EC6" w:rsidRDefault="00740020" w:rsidP="00740020">
      <w:pPr>
        <w:numPr>
          <w:ilvl w:val="0"/>
          <w:numId w:val="3"/>
        </w:numPr>
        <w:ind w:left="360"/>
        <w:textAlignment w:val="baseline"/>
        <w:rPr>
          <w:rFonts w:ascii="Calibri" w:hAnsi="Calibri" w:cs="Calibri"/>
          <w:szCs w:val="24"/>
        </w:rPr>
      </w:pPr>
      <w:r w:rsidRPr="00254EC6">
        <w:rPr>
          <w:rFonts w:ascii="Calibri" w:hAnsi="Calibri" w:cs="Calibri"/>
          <w:szCs w:val="24"/>
        </w:rPr>
        <w:t>Economic analysis including capital cost estimation and operation and maintenance costs. </w:t>
      </w:r>
    </w:p>
    <w:p w14:paraId="635C793A" w14:textId="77777777" w:rsidR="00740020" w:rsidRPr="00254EC6" w:rsidRDefault="00740020" w:rsidP="00740020">
      <w:pPr>
        <w:numPr>
          <w:ilvl w:val="1"/>
          <w:numId w:val="3"/>
        </w:numPr>
        <w:tabs>
          <w:tab w:val="clear" w:pos="1440"/>
          <w:tab w:val="num" w:pos="1080"/>
        </w:tabs>
        <w:ind w:left="360"/>
        <w:textAlignment w:val="baseline"/>
        <w:rPr>
          <w:rFonts w:ascii="Calibri" w:hAnsi="Calibri" w:cs="Calibri"/>
          <w:szCs w:val="24"/>
        </w:rPr>
      </w:pPr>
      <w:r w:rsidRPr="00254EC6">
        <w:rPr>
          <w:rFonts w:ascii="Calibri" w:hAnsi="Calibri" w:cs="Calibri"/>
          <w:szCs w:val="24"/>
        </w:rPr>
        <w:t>Include list of equipment used to develop capital cost estimate including: </w:t>
      </w:r>
    </w:p>
    <w:p w14:paraId="6DA3902B" w14:textId="77777777" w:rsidR="00740020" w:rsidRPr="00254EC6" w:rsidRDefault="00740020" w:rsidP="00740020">
      <w:pPr>
        <w:numPr>
          <w:ilvl w:val="2"/>
          <w:numId w:val="3"/>
        </w:numPr>
        <w:tabs>
          <w:tab w:val="clear" w:pos="2160"/>
        </w:tabs>
        <w:ind w:left="360"/>
        <w:textAlignment w:val="baseline"/>
        <w:rPr>
          <w:rFonts w:ascii="Calibri" w:hAnsi="Calibri" w:cs="Calibri"/>
          <w:szCs w:val="24"/>
        </w:rPr>
      </w:pPr>
      <w:r w:rsidRPr="00254EC6">
        <w:rPr>
          <w:rFonts w:ascii="Calibri" w:hAnsi="Calibri" w:cs="Calibri"/>
          <w:szCs w:val="24"/>
        </w:rPr>
        <w:t>Key parameters and their value for equipment costing (e.g. height, diameter, heat duty, delta temperature, power consumption, etc.) </w:t>
      </w:r>
    </w:p>
    <w:p w14:paraId="36DEA341" w14:textId="77777777" w:rsidR="00740020" w:rsidRPr="00254EC6" w:rsidRDefault="00740020" w:rsidP="00740020">
      <w:pPr>
        <w:numPr>
          <w:ilvl w:val="2"/>
          <w:numId w:val="3"/>
        </w:numPr>
        <w:tabs>
          <w:tab w:val="clear" w:pos="2160"/>
        </w:tabs>
        <w:ind w:left="360"/>
        <w:textAlignment w:val="baseline"/>
        <w:rPr>
          <w:rFonts w:ascii="Calibri" w:hAnsi="Calibri" w:cs="Calibri"/>
          <w:szCs w:val="24"/>
        </w:rPr>
      </w:pPr>
      <w:r w:rsidRPr="00254EC6">
        <w:rPr>
          <w:rFonts w:ascii="Calibri" w:hAnsi="Calibri" w:cs="Calibri"/>
          <w:szCs w:val="24"/>
        </w:rPr>
        <w:t>Individual component cost (e.g. carbonation chamber, humidifiers, air contactors, desorption equipment, compression, etc.).</w:t>
      </w:r>
    </w:p>
    <w:p w14:paraId="1629C22B" w14:textId="77777777" w:rsidR="00740020" w:rsidRPr="00254EC6" w:rsidRDefault="00740020" w:rsidP="00740020">
      <w:pPr>
        <w:numPr>
          <w:ilvl w:val="0"/>
          <w:numId w:val="4"/>
        </w:numPr>
        <w:ind w:left="360"/>
        <w:textAlignment w:val="baseline"/>
        <w:rPr>
          <w:rFonts w:ascii="Calibri" w:hAnsi="Calibri" w:cs="Calibri"/>
          <w:szCs w:val="24"/>
        </w:rPr>
      </w:pPr>
      <w:r w:rsidRPr="00254EC6">
        <w:rPr>
          <w:rFonts w:ascii="Calibri" w:hAnsi="Calibri" w:cs="Calibri"/>
          <w:szCs w:val="24"/>
        </w:rPr>
        <w:t>Final summary report. </w:t>
      </w:r>
    </w:p>
    <w:p w14:paraId="5B0A9F05" w14:textId="77777777" w:rsidR="00740020" w:rsidRPr="00254EC6" w:rsidRDefault="00740020" w:rsidP="00740020">
      <w:pPr>
        <w:ind w:left="0"/>
        <w:textAlignment w:val="baseline"/>
        <w:rPr>
          <w:rFonts w:ascii="Calibri" w:hAnsi="Calibri" w:cs="Calibri"/>
          <w:szCs w:val="24"/>
        </w:rPr>
      </w:pPr>
    </w:p>
    <w:p w14:paraId="418373E2" w14:textId="77777777" w:rsidR="00740020" w:rsidRPr="00254EC6" w:rsidRDefault="00740020" w:rsidP="00740020">
      <w:pPr>
        <w:pStyle w:val="Default"/>
        <w:rPr>
          <w:rFonts w:ascii="Calibri" w:hAnsi="Calibri" w:cs="Calibri"/>
        </w:rPr>
      </w:pPr>
      <w:r w:rsidRPr="00254EC6">
        <w:rPr>
          <w:rFonts w:ascii="Calibri" w:hAnsi="Calibri" w:cs="Calibri"/>
        </w:rPr>
        <w:t>T</w:t>
      </w:r>
      <w:r w:rsidRPr="00254EC6">
        <w:rPr>
          <w:rFonts w:asciiTheme="minorHAnsi" w:hAnsiTheme="minorHAnsi" w:cstheme="minorHAnsi"/>
        </w:rPr>
        <w:t>he preliminary TEA must describe the product in its intended end-use application, including: (1) market size, (2) required selling price of the product, (3) gross revenue, (4) predicted compound annual growth rate (CAGR) of the market, and (5) CO</w:t>
      </w:r>
      <w:r w:rsidRPr="00254EC6">
        <w:rPr>
          <w:rFonts w:asciiTheme="minorHAnsi" w:hAnsiTheme="minorHAnsi" w:cstheme="minorHAnsi"/>
          <w:vertAlign w:val="subscript"/>
        </w:rPr>
        <w:t>2</w:t>
      </w:r>
      <w:r w:rsidRPr="00254EC6">
        <w:rPr>
          <w:rFonts w:asciiTheme="minorHAnsi" w:hAnsiTheme="minorHAnsi" w:cstheme="minorHAnsi"/>
        </w:rPr>
        <w:t xml:space="preserve"> mitigation potential. </w:t>
      </w:r>
      <w:r w:rsidRPr="00254EC6">
        <w:rPr>
          <w:rFonts w:ascii="Calibri" w:hAnsi="Calibri" w:cs="Calibri"/>
        </w:rPr>
        <w:t>In addition to the process values required in the State Point Data Table (Appendix S for conversion technologies), the total amount of CO</w:t>
      </w:r>
      <w:r w:rsidRPr="00254EC6">
        <w:rPr>
          <w:rFonts w:ascii="Calibri" w:hAnsi="Calibri" w:cs="Calibri"/>
          <w:vertAlign w:val="subscript"/>
        </w:rPr>
        <w:t>2</w:t>
      </w:r>
      <w:r w:rsidRPr="00254EC6">
        <w:rPr>
          <w:rFonts w:ascii="Calibri" w:hAnsi="Calibri" w:cs="Calibri"/>
        </w:rPr>
        <w:t xml:space="preserve"> converted per unit product and time shall be reported. Any required state or composition change of the source carbon supply material (i.e., purification, separation, compression, heating/cooling) should be included in the cost and performance of the carbon conversion technology as part of the TEA. </w:t>
      </w:r>
    </w:p>
    <w:p w14:paraId="6B01829C" w14:textId="77777777" w:rsidR="00740020" w:rsidRPr="00254EC6" w:rsidRDefault="00740020" w:rsidP="00740020">
      <w:pPr>
        <w:ind w:left="0"/>
        <w:textAlignment w:val="baseline"/>
        <w:rPr>
          <w:rFonts w:ascii="Calibri" w:hAnsi="Calibri" w:cs="Calibri"/>
          <w:szCs w:val="24"/>
        </w:rPr>
      </w:pPr>
    </w:p>
    <w:p w14:paraId="33FC8EE3" w14:textId="77777777" w:rsidR="00740020" w:rsidRPr="00254EC6" w:rsidRDefault="00740020" w:rsidP="00740020">
      <w:pPr>
        <w:ind w:left="0"/>
        <w:textAlignment w:val="baseline"/>
        <w:rPr>
          <w:rFonts w:ascii="Segoe UI" w:hAnsi="Segoe UI" w:cs="Segoe UI"/>
          <w:szCs w:val="24"/>
        </w:rPr>
      </w:pPr>
      <w:r w:rsidRPr="00254EC6">
        <w:rPr>
          <w:rFonts w:ascii="Calibri" w:hAnsi="Calibri" w:cs="Calibri"/>
          <w:szCs w:val="24"/>
        </w:rPr>
        <w:t>For reference, the Quality Guidelines document includes additional pertinent information including, but not limited to: </w:t>
      </w:r>
    </w:p>
    <w:p w14:paraId="7B0269D0" w14:textId="77777777" w:rsidR="00740020" w:rsidRPr="00254EC6" w:rsidRDefault="00740020" w:rsidP="00740020">
      <w:pPr>
        <w:numPr>
          <w:ilvl w:val="0"/>
          <w:numId w:val="5"/>
        </w:numPr>
        <w:ind w:left="360"/>
        <w:textAlignment w:val="baseline"/>
        <w:rPr>
          <w:rFonts w:ascii="Calibri" w:hAnsi="Calibri" w:cs="Calibri"/>
          <w:szCs w:val="24"/>
        </w:rPr>
      </w:pPr>
      <w:r w:rsidRPr="00254EC6">
        <w:rPr>
          <w:rFonts w:ascii="Calibri" w:hAnsi="Calibri" w:cs="Calibri"/>
          <w:szCs w:val="24"/>
        </w:rPr>
        <w:t>Description of common missteps and omissions </w:t>
      </w:r>
    </w:p>
    <w:p w14:paraId="26A2381E" w14:textId="77777777" w:rsidR="00740020" w:rsidRPr="00254EC6" w:rsidRDefault="00740020" w:rsidP="00740020">
      <w:pPr>
        <w:numPr>
          <w:ilvl w:val="0"/>
          <w:numId w:val="5"/>
        </w:numPr>
        <w:ind w:left="360"/>
        <w:textAlignment w:val="baseline"/>
        <w:rPr>
          <w:rFonts w:ascii="Calibri" w:hAnsi="Calibri" w:cs="Calibri"/>
          <w:szCs w:val="24"/>
        </w:rPr>
      </w:pPr>
      <w:r w:rsidRPr="00254EC6">
        <w:rPr>
          <w:rFonts w:ascii="Calibri" w:hAnsi="Calibri" w:cs="Calibri"/>
          <w:szCs w:val="24"/>
        </w:rPr>
        <w:t>Guidance on system boundaries </w:t>
      </w:r>
    </w:p>
    <w:p w14:paraId="384F8B93" w14:textId="77777777" w:rsidR="00740020" w:rsidRPr="00254EC6" w:rsidRDefault="00740020" w:rsidP="00740020">
      <w:pPr>
        <w:numPr>
          <w:ilvl w:val="0"/>
          <w:numId w:val="5"/>
        </w:numPr>
        <w:ind w:left="360"/>
        <w:textAlignment w:val="baseline"/>
        <w:rPr>
          <w:rFonts w:ascii="Calibri" w:hAnsi="Calibri" w:cs="Calibri"/>
          <w:szCs w:val="24"/>
        </w:rPr>
      </w:pPr>
      <w:r w:rsidRPr="00254EC6">
        <w:rPr>
          <w:rFonts w:ascii="Calibri" w:hAnsi="Calibri" w:cs="Calibri"/>
          <w:szCs w:val="24"/>
        </w:rPr>
        <w:t>Example performance summary and cost tables </w:t>
      </w:r>
    </w:p>
    <w:p w14:paraId="5EAA547A" w14:textId="77777777" w:rsidR="00740020" w:rsidRPr="00254EC6" w:rsidRDefault="00740020" w:rsidP="00740020">
      <w:pPr>
        <w:ind w:left="0"/>
        <w:textAlignment w:val="baseline"/>
        <w:rPr>
          <w:rFonts w:ascii="Segoe UI" w:hAnsi="Segoe UI" w:cs="Segoe UI"/>
          <w:szCs w:val="24"/>
        </w:rPr>
      </w:pPr>
    </w:p>
    <w:p w14:paraId="4777B080" w14:textId="77777777" w:rsidR="00740020" w:rsidRPr="00254EC6" w:rsidRDefault="00740020" w:rsidP="00740020">
      <w:pPr>
        <w:ind w:left="0"/>
        <w:textAlignment w:val="baseline"/>
        <w:rPr>
          <w:rFonts w:ascii="Segoe UI" w:hAnsi="Segoe UI" w:cs="Segoe UI"/>
          <w:szCs w:val="24"/>
        </w:rPr>
      </w:pPr>
      <w:r w:rsidRPr="00254EC6">
        <w:rPr>
          <w:rFonts w:ascii="Calibri" w:hAnsi="Calibri" w:cs="Calibri"/>
          <w:szCs w:val="24"/>
        </w:rPr>
        <w:t>Sensitivity analysis identifying critical overall system processes, associated operating parameters, and their impact on overall system performance (such as capacity, carbon balance and energy use efficiencies) and economics should be performed. The analysis shall be conducted to be representative of a commercial embodiment with performance assumptions informed by performance data generated during the enacted project.   </w:t>
      </w:r>
    </w:p>
    <w:p w14:paraId="55BAF2B8" w14:textId="77777777" w:rsidR="00740020" w:rsidRPr="00254EC6" w:rsidRDefault="00740020" w:rsidP="00740020">
      <w:pPr>
        <w:ind w:left="0"/>
        <w:textAlignment w:val="baseline"/>
        <w:rPr>
          <w:rFonts w:ascii="Segoe UI" w:hAnsi="Segoe UI" w:cs="Segoe UI"/>
          <w:szCs w:val="24"/>
        </w:rPr>
      </w:pPr>
    </w:p>
    <w:p w14:paraId="7FFE5CF9" w14:textId="77777777" w:rsidR="00740020" w:rsidRPr="00254EC6" w:rsidRDefault="00740020" w:rsidP="00740020">
      <w:pPr>
        <w:ind w:left="0"/>
        <w:textAlignment w:val="baseline"/>
        <w:rPr>
          <w:rFonts w:ascii="Segoe UI" w:hAnsi="Segoe UI" w:cs="Segoe UI"/>
        </w:rPr>
      </w:pPr>
      <w:r w:rsidRPr="00254EC6">
        <w:rPr>
          <w:rFonts w:ascii="Calibri" w:hAnsi="Calibri" w:cs="Calibri"/>
        </w:rPr>
        <w:t>The TEA results MUST be integrated with the life cycle analysis (Appendix I).  </w:t>
      </w:r>
    </w:p>
    <w:p w14:paraId="5C41BE62" w14:textId="77777777" w:rsidR="00740020" w:rsidRPr="00254EC6" w:rsidRDefault="00740020" w:rsidP="00740020">
      <w:pPr>
        <w:ind w:left="0"/>
        <w:textAlignment w:val="baseline"/>
        <w:rPr>
          <w:rFonts w:ascii="Calibri" w:hAnsi="Calibri" w:cs="Calibri"/>
          <w:szCs w:val="24"/>
        </w:rPr>
      </w:pPr>
    </w:p>
    <w:p w14:paraId="61318E3D" w14:textId="77777777" w:rsidR="00740020" w:rsidRPr="00254EC6" w:rsidRDefault="00740020" w:rsidP="00740020">
      <w:pPr>
        <w:ind w:left="0"/>
        <w:textAlignment w:val="baseline"/>
        <w:rPr>
          <w:rFonts w:ascii="Calibri" w:hAnsi="Calibri" w:cs="Calibri"/>
        </w:rPr>
      </w:pPr>
      <w:r w:rsidRPr="00254EC6">
        <w:rPr>
          <w:rFonts w:ascii="Calibri" w:hAnsi="Calibri" w:cs="Calibri"/>
          <w:u w:val="single"/>
        </w:rPr>
        <w:t xml:space="preserve">Involvement of a variety of stakeholders is seen as an important facet to developing an effective carbon capture technology.  It is considered critical that a qualified organization with professional experience in performing this type of work conduct the TEA.  </w:t>
      </w:r>
      <w:r w:rsidRPr="00254EC6">
        <w:rPr>
          <w:rFonts w:ascii="Calibri" w:hAnsi="Calibri" w:cs="Calibri"/>
          <w:i/>
          <w:iCs/>
          <w:u w:val="single"/>
        </w:rPr>
        <w:t>This activity shall not be viewed as a training exercise for inexperienced personnel</w:t>
      </w:r>
      <w:r w:rsidRPr="00254EC6">
        <w:rPr>
          <w:rFonts w:ascii="Calibri" w:hAnsi="Calibri" w:cs="Calibri"/>
          <w:i/>
          <w:iCs/>
        </w:rPr>
        <w:t>.</w:t>
      </w:r>
      <w:r w:rsidRPr="00254EC6">
        <w:rPr>
          <w:rFonts w:ascii="Calibri" w:hAnsi="Calibri" w:cs="Calibri"/>
        </w:rPr>
        <w:t> </w:t>
      </w:r>
    </w:p>
    <w:p w14:paraId="452AB5CB" w14:textId="77777777" w:rsidR="00740020" w:rsidRPr="00254EC6" w:rsidRDefault="00740020" w:rsidP="00740020">
      <w:pPr>
        <w:pStyle w:val="FOATemplateStyle1"/>
        <w:numPr>
          <w:ilvl w:val="0"/>
          <w:numId w:val="0"/>
        </w:numPr>
        <w:outlineLvl w:val="9"/>
      </w:pPr>
    </w:p>
    <w:p w14:paraId="00773E23" w14:textId="63232DED" w:rsidR="00560A6E" w:rsidRPr="006868E3" w:rsidRDefault="00560A6E" w:rsidP="006868E3">
      <w:pPr>
        <w:ind w:left="0"/>
        <w:rPr>
          <w:rFonts w:ascii="Calibri" w:eastAsiaTheme="minorHAnsi" w:hAnsi="Calibri" w:cstheme="minorBidi"/>
          <w:b/>
          <w:color w:val="000000" w:themeColor="text1"/>
          <w:sz w:val="36"/>
          <w:szCs w:val="36"/>
        </w:rPr>
      </w:pPr>
    </w:p>
    <w:sectPr w:rsidR="00560A6E" w:rsidRPr="006868E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C7E5A" w14:textId="77777777" w:rsidR="00740020" w:rsidRDefault="00740020" w:rsidP="00740020">
      <w:r>
        <w:separator/>
      </w:r>
    </w:p>
  </w:endnote>
  <w:endnote w:type="continuationSeparator" w:id="0">
    <w:p w14:paraId="592315AA" w14:textId="77777777" w:rsidR="00740020" w:rsidRDefault="00740020" w:rsidP="00740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4620B" w14:textId="7773FE74" w:rsidR="00740020" w:rsidRDefault="00740020" w:rsidP="00740020">
    <w:pPr>
      <w:pStyle w:val="Footer"/>
      <w:jc w:val="center"/>
      <w:rPr>
        <w:i/>
        <w:iCs/>
        <w:sz w:val="20"/>
      </w:rPr>
    </w:pPr>
    <w:r>
      <w:rPr>
        <w:i/>
        <w:iCs/>
        <w:sz w:val="20"/>
      </w:rPr>
      <w:t xml:space="preserve">Questions about this </w:t>
    </w:r>
    <w:r w:rsidR="006868E3">
      <w:rPr>
        <w:i/>
        <w:iCs/>
        <w:sz w:val="20"/>
      </w:rPr>
      <w:t>NOFO</w:t>
    </w:r>
    <w:r>
      <w:rPr>
        <w:i/>
        <w:iCs/>
        <w:sz w:val="20"/>
      </w:rPr>
      <w:t xml:space="preserve">? Email </w:t>
    </w:r>
    <w:hyperlink r:id="rId1" w:history="1">
      <w:r w:rsidRPr="00EB1857">
        <w:rPr>
          <w:rStyle w:val="Hyperlink"/>
          <w:i/>
          <w:iCs/>
          <w:sz w:val="20"/>
        </w:rPr>
        <w:t>DE-FOA-0003495@netl.doe.gov</w:t>
      </w:r>
    </w:hyperlink>
    <w:r>
      <w:rPr>
        <w:i/>
        <w:iCs/>
        <w:sz w:val="20"/>
      </w:rPr>
      <w:t>.</w:t>
    </w:r>
  </w:p>
  <w:p w14:paraId="71390E32" w14:textId="45B3A475" w:rsidR="00740020" w:rsidRDefault="00740020" w:rsidP="00740020">
    <w:pPr>
      <w:pStyle w:val="Footer"/>
      <w:jc w:val="center"/>
    </w:pPr>
  </w:p>
  <w:p w14:paraId="20F0641E" w14:textId="77777777" w:rsidR="00740020" w:rsidRDefault="00740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8C44A" w14:textId="77777777" w:rsidR="00740020" w:rsidRDefault="00740020" w:rsidP="00740020">
      <w:r>
        <w:separator/>
      </w:r>
    </w:p>
  </w:footnote>
  <w:footnote w:type="continuationSeparator" w:id="0">
    <w:p w14:paraId="6418B176" w14:textId="77777777" w:rsidR="00740020" w:rsidRDefault="00740020" w:rsidP="00740020">
      <w:r>
        <w:continuationSeparator/>
      </w:r>
    </w:p>
  </w:footnote>
  <w:footnote w:id="1">
    <w:p w14:paraId="45934D90" w14:textId="77777777" w:rsidR="00740020" w:rsidRDefault="00740020" w:rsidP="00740020">
      <w:pPr>
        <w:ind w:left="0"/>
        <w:jc w:val="both"/>
        <w:rPr>
          <w:rFonts w:ascii="Calibri" w:eastAsia="Calibri" w:hAnsi="Calibri" w:cs="Calibri"/>
          <w:szCs w:val="24"/>
        </w:rPr>
      </w:pPr>
      <w:r>
        <w:footnoteRef/>
      </w:r>
      <w:r>
        <w:t xml:space="preserve"> </w:t>
      </w:r>
      <w:hyperlink r:id="rId1">
        <w:r w:rsidRPr="747E1AE0">
          <w:rPr>
            <w:rStyle w:val="Hyperlink"/>
            <w:rFonts w:ascii="Calibri" w:eastAsia="Calibri" w:hAnsi="Calibri" w:cs="Calibri"/>
            <w:szCs w:val="24"/>
          </w:rPr>
          <w:t>Energy Analysis | netl.doe.gov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90758"/>
    <w:multiLevelType w:val="multilevel"/>
    <w:tmpl w:val="D1E6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225F4C"/>
    <w:multiLevelType w:val="multilevel"/>
    <w:tmpl w:val="701C3C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C85060"/>
    <w:multiLevelType w:val="multilevel"/>
    <w:tmpl w:val="5490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0D697B"/>
    <w:multiLevelType w:val="hybridMultilevel"/>
    <w:tmpl w:val="15048360"/>
    <w:lvl w:ilvl="0" w:tplc="57D2731C">
      <w:start w:val="1"/>
      <w:numFmt w:val="upperRoman"/>
      <w:pStyle w:val="FOATemplateStyle1"/>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3987B01"/>
    <w:multiLevelType w:val="multilevel"/>
    <w:tmpl w:val="6A0E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0903614">
    <w:abstractNumId w:val="3"/>
  </w:num>
  <w:num w:numId="2" w16cid:durableId="1760564497">
    <w:abstractNumId w:val="0"/>
  </w:num>
  <w:num w:numId="3" w16cid:durableId="1425032029">
    <w:abstractNumId w:val="1"/>
  </w:num>
  <w:num w:numId="4" w16cid:durableId="101343754">
    <w:abstractNumId w:val="4"/>
  </w:num>
  <w:num w:numId="5" w16cid:durableId="1815298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020"/>
    <w:rsid w:val="002C2510"/>
    <w:rsid w:val="00560A6E"/>
    <w:rsid w:val="006868E3"/>
    <w:rsid w:val="00740020"/>
    <w:rsid w:val="00971CE6"/>
    <w:rsid w:val="00B01BD7"/>
    <w:rsid w:val="00D3775C"/>
    <w:rsid w:val="00FE4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C469"/>
  <w15:chartTrackingRefBased/>
  <w15:docId w15:val="{4CA95E5B-94B4-40E8-BBC1-6F20FDE5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020"/>
    <w:pPr>
      <w:spacing w:after="0" w:line="240" w:lineRule="auto"/>
      <w:ind w:left="1080"/>
    </w:pPr>
    <w:rPr>
      <w:rFonts w:eastAsia="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40020"/>
    <w:rPr>
      <w:color w:val="0000FF"/>
      <w:u w:val="single"/>
    </w:rPr>
  </w:style>
  <w:style w:type="paragraph" w:customStyle="1" w:styleId="FOATemplateStyle1">
    <w:name w:val="FOA Template Style 1"/>
    <w:basedOn w:val="Normal"/>
    <w:qFormat/>
    <w:rsid w:val="00740020"/>
    <w:pPr>
      <w:numPr>
        <w:numId w:val="1"/>
      </w:numPr>
      <w:outlineLvl w:val="0"/>
    </w:pPr>
    <w:rPr>
      <w:rFonts w:ascii="Calibri" w:eastAsiaTheme="minorHAnsi" w:hAnsi="Calibri" w:cstheme="minorBidi"/>
      <w:b/>
      <w:color w:val="000000" w:themeColor="text1"/>
      <w:sz w:val="36"/>
      <w:szCs w:val="36"/>
    </w:rPr>
  </w:style>
  <w:style w:type="paragraph" w:customStyle="1" w:styleId="Default">
    <w:name w:val="Default"/>
    <w:rsid w:val="00740020"/>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740020"/>
    <w:pPr>
      <w:tabs>
        <w:tab w:val="center" w:pos="4680"/>
        <w:tab w:val="right" w:pos="9360"/>
      </w:tabs>
    </w:pPr>
  </w:style>
  <w:style w:type="character" w:customStyle="1" w:styleId="HeaderChar">
    <w:name w:val="Header Char"/>
    <w:basedOn w:val="DefaultParagraphFont"/>
    <w:link w:val="Header"/>
    <w:uiPriority w:val="99"/>
    <w:rsid w:val="00740020"/>
    <w:rPr>
      <w:rFonts w:eastAsia="Times New Roman" w:cs="Times New Roman"/>
      <w:kern w:val="0"/>
      <w:sz w:val="24"/>
      <w:szCs w:val="20"/>
      <w14:ligatures w14:val="none"/>
    </w:rPr>
  </w:style>
  <w:style w:type="paragraph" w:styleId="Footer">
    <w:name w:val="footer"/>
    <w:basedOn w:val="Normal"/>
    <w:link w:val="FooterChar"/>
    <w:uiPriority w:val="99"/>
    <w:unhideWhenUsed/>
    <w:rsid w:val="00740020"/>
    <w:pPr>
      <w:tabs>
        <w:tab w:val="center" w:pos="4680"/>
        <w:tab w:val="right" w:pos="9360"/>
      </w:tabs>
    </w:pPr>
  </w:style>
  <w:style w:type="character" w:customStyle="1" w:styleId="FooterChar">
    <w:name w:val="Footer Char"/>
    <w:basedOn w:val="DefaultParagraphFont"/>
    <w:link w:val="Footer"/>
    <w:uiPriority w:val="99"/>
    <w:rsid w:val="00740020"/>
    <w:rPr>
      <w:rFonts w:eastAsia="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DE-FOA-0003495@netl.doe.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etl.doe.gov/energy-analysis/details?id=5dcaf750-0620-4dde-8dba-fa42b79e33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BDAEE8194AD49AF6AFA703D227DEB" ma:contentTypeVersion="4" ma:contentTypeDescription="Create a new document." ma:contentTypeScope="" ma:versionID="2dc9d56fe255aeb34b01e0b34655b357">
  <xsd:schema xmlns:xsd="http://www.w3.org/2001/XMLSchema" xmlns:xs="http://www.w3.org/2001/XMLSchema" xmlns:p="http://schemas.microsoft.com/office/2006/metadata/properties" xmlns:ns2="af9e6531-f6a8-4ae5-8002-9dc3dd7b617d" targetNamespace="http://schemas.microsoft.com/office/2006/metadata/properties" ma:root="true" ma:fieldsID="c8fb3d018f996ecb87b0da75717a494a" ns2:_="">
    <xsd:import namespace="af9e6531-f6a8-4ae5-8002-9dc3dd7b6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e6531-f6a8-4ae5-8002-9dc3dd7b6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9C972B-D3FE-49A4-95E6-8C22ABC83C08}">
  <ds:schemaRefs>
    <ds:schemaRef ds:uri="http://schemas.microsoft.com/sharepoint/v3/contenttype/forms"/>
  </ds:schemaRefs>
</ds:datastoreItem>
</file>

<file path=customXml/itemProps2.xml><?xml version="1.0" encoding="utf-8"?>
<ds:datastoreItem xmlns:ds="http://schemas.openxmlformats.org/officeDocument/2006/customXml" ds:itemID="{88FB6057-6A76-49F7-8BED-8F027C14C1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A39AB0-5429-4B9B-8E76-2101522EF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e6531-f6a8-4ae5-8002-9dc3dd7b6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551</Words>
  <Characters>3145</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Mondal, Kanchan</dc:creator>
  <cp:keywords/>
  <dc:description/>
  <cp:lastModifiedBy>Bethany N. Swauger</cp:lastModifiedBy>
  <cp:revision>3</cp:revision>
  <dcterms:created xsi:type="dcterms:W3CDTF">2024-12-09T20:14:00Z</dcterms:created>
  <dcterms:modified xsi:type="dcterms:W3CDTF">2025-01-08T01:06:00Z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0x0101002F3BDAEE8194AD49AF6AFA703D227DEB</vt:lpwstr>
  </property>
</Properties>
</file>