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535D2" w14:textId="08954590" w:rsidR="0027313A" w:rsidRDefault="6A2014E4" w:rsidP="5F0460DA">
      <w:pPr>
        <w:spacing w:after="0" w:line="240" w:lineRule="auto"/>
        <w:rPr>
          <w:rFonts w:ascii="Calibri" w:eastAsia="Calibri" w:hAnsi="Calibri" w:cs="Calibri"/>
          <w:b/>
          <w:bCs/>
          <w:color w:val="000000" w:themeColor="text1"/>
          <w:sz w:val="24"/>
          <w:szCs w:val="24"/>
        </w:rPr>
      </w:pPr>
      <w:r w:rsidRPr="5F0460DA">
        <w:rPr>
          <w:rFonts w:ascii="Calibri" w:eastAsia="Calibri" w:hAnsi="Calibri" w:cs="Calibri"/>
          <w:b/>
          <w:bCs/>
          <w:color w:val="000000" w:themeColor="text1"/>
          <w:sz w:val="24"/>
          <w:szCs w:val="24"/>
        </w:rPr>
        <w:t xml:space="preserve">SFOP0009615  </w:t>
      </w:r>
    </w:p>
    <w:p w14:paraId="691EC3DE" w14:textId="187CDFB4" w:rsidR="6A2014E4" w:rsidRDefault="6A2014E4" w:rsidP="5F0460DA">
      <w:pPr>
        <w:spacing w:after="0" w:line="240" w:lineRule="auto"/>
        <w:rPr>
          <w:rFonts w:ascii="Calibri" w:eastAsia="Calibri" w:hAnsi="Calibri" w:cs="Calibri"/>
          <w:color w:val="000000" w:themeColor="text1"/>
          <w:sz w:val="24"/>
          <w:szCs w:val="24"/>
        </w:rPr>
      </w:pPr>
      <w:r w:rsidRPr="5F0460DA">
        <w:rPr>
          <w:rFonts w:ascii="Calibri" w:eastAsia="Calibri" w:hAnsi="Calibri" w:cs="Calibri"/>
          <w:b/>
          <w:bCs/>
          <w:color w:val="000000" w:themeColor="text1"/>
          <w:sz w:val="24"/>
          <w:szCs w:val="24"/>
        </w:rPr>
        <w:t>Somalia Counter-VBIED Mobile Vehicle Check Point Program</w:t>
      </w:r>
    </w:p>
    <w:p w14:paraId="5E7455B6" w14:textId="153115C2" w:rsidR="0027313A" w:rsidRDefault="6A2014E4" w:rsidP="1D80F9A3">
      <w:pPr>
        <w:spacing w:after="0" w:line="240" w:lineRule="auto"/>
        <w:rPr>
          <w:rFonts w:ascii="Calibri" w:eastAsia="Calibri" w:hAnsi="Calibri" w:cs="Calibri"/>
          <w:color w:val="000000" w:themeColor="text1"/>
          <w:sz w:val="24"/>
          <w:szCs w:val="24"/>
        </w:rPr>
      </w:pPr>
      <w:r w:rsidRPr="1D80F9A3">
        <w:rPr>
          <w:rFonts w:ascii="Calibri" w:eastAsia="Calibri" w:hAnsi="Calibri" w:cs="Calibri"/>
          <w:b/>
          <w:bCs/>
          <w:color w:val="000000" w:themeColor="text1"/>
          <w:sz w:val="24"/>
          <w:szCs w:val="24"/>
        </w:rPr>
        <w:t xml:space="preserve">Department of State </w:t>
      </w:r>
    </w:p>
    <w:p w14:paraId="2F1875BD" w14:textId="0DFD0448" w:rsidR="0027313A" w:rsidRDefault="6A2014E4" w:rsidP="1D80F9A3">
      <w:pPr>
        <w:spacing w:after="0"/>
        <w:rPr>
          <w:rFonts w:ascii="Calibri" w:eastAsia="Calibri" w:hAnsi="Calibri" w:cs="Calibri"/>
          <w:color w:val="000000" w:themeColor="text1"/>
          <w:sz w:val="24"/>
          <w:szCs w:val="24"/>
        </w:rPr>
      </w:pPr>
      <w:r w:rsidRPr="1D80F9A3">
        <w:rPr>
          <w:rFonts w:ascii="Calibri" w:eastAsia="Calibri" w:hAnsi="Calibri" w:cs="Calibri"/>
          <w:b/>
          <w:bCs/>
          <w:color w:val="000000" w:themeColor="text1"/>
          <w:sz w:val="24"/>
          <w:szCs w:val="24"/>
        </w:rPr>
        <w:t xml:space="preserve">Bureau of Counterterrorism </w:t>
      </w:r>
    </w:p>
    <w:p w14:paraId="2880D436" w14:textId="7E651FCD" w:rsidR="0027313A" w:rsidRDefault="0027313A" w:rsidP="1D80F9A3">
      <w:pPr>
        <w:spacing w:after="0"/>
        <w:rPr>
          <w:rFonts w:ascii="Calibri" w:eastAsia="Calibri" w:hAnsi="Calibri" w:cs="Calibri"/>
          <w:color w:val="000000" w:themeColor="text1"/>
          <w:sz w:val="24"/>
          <w:szCs w:val="24"/>
        </w:rPr>
      </w:pPr>
    </w:p>
    <w:p w14:paraId="1A1342B4" w14:textId="64CB692E" w:rsidR="0027313A" w:rsidRDefault="0027313A" w:rsidP="1D80F9A3">
      <w:pPr>
        <w:spacing w:after="0"/>
        <w:rPr>
          <w:rFonts w:ascii="Calibri" w:eastAsia="Calibri" w:hAnsi="Calibri" w:cs="Calibri"/>
          <w:color w:val="000000" w:themeColor="text1"/>
          <w:sz w:val="24"/>
          <w:szCs w:val="24"/>
        </w:rPr>
      </w:pPr>
    </w:p>
    <w:p w14:paraId="21FE0F87" w14:textId="4D25F4AF" w:rsidR="0027313A" w:rsidRDefault="0027313A" w:rsidP="1D80F9A3">
      <w:pPr>
        <w:spacing w:after="0" w:line="240" w:lineRule="auto"/>
        <w:rPr>
          <w:rFonts w:ascii="Calibri" w:eastAsia="Calibri" w:hAnsi="Calibri" w:cs="Calibri"/>
          <w:color w:val="000000" w:themeColor="text1"/>
          <w:sz w:val="24"/>
          <w:szCs w:val="24"/>
        </w:rPr>
      </w:pPr>
    </w:p>
    <w:p w14:paraId="5853FACE" w14:textId="3445DB52" w:rsidR="0027313A" w:rsidRDefault="6A2014E4" w:rsidP="1D80F9A3">
      <w:pPr>
        <w:spacing w:after="0"/>
        <w:jc w:val="center"/>
        <w:rPr>
          <w:rFonts w:ascii="Calibri" w:eastAsia="Calibri" w:hAnsi="Calibri" w:cs="Calibri"/>
          <w:color w:val="000000" w:themeColor="text1"/>
          <w:sz w:val="24"/>
          <w:szCs w:val="24"/>
        </w:rPr>
      </w:pPr>
      <w:r w:rsidRPr="5F0460DA">
        <w:rPr>
          <w:rFonts w:ascii="Calibri" w:eastAsia="Calibri" w:hAnsi="Calibri" w:cs="Calibri"/>
          <w:b/>
          <w:bCs/>
          <w:color w:val="000000" w:themeColor="text1"/>
          <w:sz w:val="24"/>
          <w:szCs w:val="24"/>
          <w:u w:val="single"/>
        </w:rPr>
        <w:t>Q&amp;A (April 15, 2023):</w:t>
      </w:r>
    </w:p>
    <w:p w14:paraId="63F72C96" w14:textId="44FFAEAA" w:rsidR="0027313A" w:rsidRDefault="0027313A" w:rsidP="1D80F9A3">
      <w:pPr>
        <w:spacing w:after="0"/>
        <w:rPr>
          <w:rFonts w:ascii="Calibri" w:eastAsia="Calibri" w:hAnsi="Calibri" w:cs="Calibri"/>
          <w:color w:val="000000" w:themeColor="text1"/>
          <w:sz w:val="24"/>
          <w:szCs w:val="24"/>
        </w:rPr>
      </w:pPr>
    </w:p>
    <w:p w14:paraId="73A56ED0" w14:textId="14124442" w:rsidR="6A2014E4" w:rsidRDefault="6A2014E4" w:rsidP="5F0460DA">
      <w:pPr>
        <w:pStyle w:val="ListParagraph"/>
        <w:numPr>
          <w:ilvl w:val="0"/>
          <w:numId w:val="2"/>
        </w:numPr>
        <w:spacing w:after="80"/>
        <w:ind w:left="0"/>
        <w:rPr>
          <w:rFonts w:ascii="Calibri" w:eastAsia="Calibri" w:hAnsi="Calibri" w:cs="Calibri"/>
          <w:color w:val="242424"/>
        </w:rPr>
      </w:pPr>
      <w:r w:rsidRPr="5F0460DA">
        <w:rPr>
          <w:rFonts w:ascii="Calibri" w:eastAsia="Calibri" w:hAnsi="Calibri" w:cs="Calibri"/>
          <w:b/>
          <w:bCs/>
          <w:color w:val="000000" w:themeColor="text1"/>
          <w:sz w:val="24"/>
          <w:szCs w:val="24"/>
        </w:rPr>
        <w:t>Question 1:</w:t>
      </w:r>
      <w:r w:rsidRPr="5F0460DA">
        <w:rPr>
          <w:rFonts w:ascii="Calibri" w:eastAsia="Calibri" w:hAnsi="Calibri" w:cs="Calibri"/>
          <w:color w:val="000000" w:themeColor="text1"/>
          <w:sz w:val="24"/>
          <w:szCs w:val="24"/>
        </w:rPr>
        <w:t xml:space="preserve"> </w:t>
      </w:r>
      <w:r w:rsidR="78E2EEC4" w:rsidRPr="5F0460DA">
        <w:rPr>
          <w:rFonts w:ascii="Calibri" w:eastAsia="Calibri" w:hAnsi="Calibri" w:cs="Calibri"/>
          <w:color w:val="242424"/>
        </w:rPr>
        <w:t>What equipment was procured under phase I of this program?</w:t>
      </w:r>
    </w:p>
    <w:p w14:paraId="52E56CD4" w14:textId="4C13231A" w:rsidR="5F0460DA" w:rsidRDefault="5F0460DA" w:rsidP="5F0460DA">
      <w:pPr>
        <w:spacing w:after="80"/>
        <w:rPr>
          <w:rFonts w:ascii="Calibri" w:eastAsia="Calibri" w:hAnsi="Calibri" w:cs="Calibri"/>
          <w:b/>
          <w:bCs/>
          <w:color w:val="000000" w:themeColor="text1"/>
          <w:sz w:val="24"/>
          <w:szCs w:val="24"/>
        </w:rPr>
      </w:pPr>
    </w:p>
    <w:p w14:paraId="6C1F8B40" w14:textId="35CB1FE3" w:rsidR="6A2014E4" w:rsidRPr="007F13AA" w:rsidRDefault="6A2014E4" w:rsidP="5F0460DA">
      <w:pPr>
        <w:spacing w:after="80"/>
        <w:rPr>
          <w:rFonts w:ascii="Calibri" w:eastAsia="Calibri" w:hAnsi="Calibri" w:cs="Calibri"/>
          <w:color w:val="000000" w:themeColor="text1"/>
          <w:sz w:val="24"/>
          <w:szCs w:val="24"/>
        </w:rPr>
      </w:pPr>
      <w:r w:rsidRPr="5F0460DA">
        <w:rPr>
          <w:rFonts w:ascii="Calibri" w:eastAsia="Calibri" w:hAnsi="Calibri" w:cs="Calibri"/>
          <w:b/>
          <w:bCs/>
          <w:color w:val="000000" w:themeColor="text1"/>
          <w:sz w:val="24"/>
          <w:szCs w:val="24"/>
        </w:rPr>
        <w:t>Response</w:t>
      </w:r>
      <w:r w:rsidR="007F13AA">
        <w:rPr>
          <w:rFonts w:ascii="Calibri" w:eastAsia="Calibri" w:hAnsi="Calibri" w:cs="Calibri"/>
          <w:b/>
          <w:bCs/>
          <w:color w:val="000000" w:themeColor="text1"/>
          <w:sz w:val="24"/>
          <w:szCs w:val="24"/>
        </w:rPr>
        <w:t xml:space="preserve">: </w:t>
      </w:r>
      <w:r w:rsidR="007F13AA">
        <w:rPr>
          <w:rFonts w:ascii="Calibri" w:eastAsia="Calibri" w:hAnsi="Calibri" w:cs="Calibri"/>
          <w:color w:val="000000" w:themeColor="text1"/>
          <w:sz w:val="24"/>
          <w:szCs w:val="24"/>
        </w:rPr>
        <w:t>Please see Annex I, attached.</w:t>
      </w:r>
    </w:p>
    <w:p w14:paraId="02C70819" w14:textId="63AC9D2E" w:rsidR="5F0460DA" w:rsidRDefault="5F0460DA" w:rsidP="5F0460DA">
      <w:pPr>
        <w:spacing w:after="80"/>
        <w:rPr>
          <w:rFonts w:ascii="Calibri" w:eastAsia="Calibri" w:hAnsi="Calibri" w:cs="Calibri"/>
          <w:b/>
          <w:bCs/>
          <w:color w:val="000000" w:themeColor="text1"/>
          <w:sz w:val="24"/>
          <w:szCs w:val="24"/>
        </w:rPr>
      </w:pPr>
    </w:p>
    <w:p w14:paraId="3C787010" w14:textId="404BA348" w:rsidR="6A2014E4" w:rsidRDefault="6A2014E4" w:rsidP="5F0460DA">
      <w:pPr>
        <w:pStyle w:val="ListParagraph"/>
        <w:numPr>
          <w:ilvl w:val="0"/>
          <w:numId w:val="2"/>
        </w:numPr>
        <w:spacing w:after="80"/>
        <w:ind w:left="0"/>
        <w:rPr>
          <w:rFonts w:ascii="Calibri" w:eastAsia="Calibri" w:hAnsi="Calibri" w:cs="Calibri"/>
          <w:color w:val="242424"/>
        </w:rPr>
      </w:pPr>
      <w:r w:rsidRPr="5F0460DA">
        <w:rPr>
          <w:rFonts w:ascii="Calibri" w:eastAsia="Calibri" w:hAnsi="Calibri" w:cs="Calibri"/>
          <w:b/>
          <w:bCs/>
          <w:color w:val="000000" w:themeColor="text1"/>
          <w:sz w:val="24"/>
          <w:szCs w:val="24"/>
        </w:rPr>
        <w:t>Question 2:</w:t>
      </w:r>
      <w:r w:rsidR="0DB82E0F" w:rsidRPr="5F0460DA">
        <w:rPr>
          <w:rFonts w:ascii="Calibri" w:eastAsia="Calibri" w:hAnsi="Calibri" w:cs="Calibri"/>
          <w:color w:val="242424"/>
        </w:rPr>
        <w:t xml:space="preserve">  Will equipment from the current iteration of the program be available to the phase II implementer?</w:t>
      </w:r>
    </w:p>
    <w:p w14:paraId="35509205" w14:textId="2A232C4E" w:rsidR="5F0460DA" w:rsidRDefault="5F0460DA" w:rsidP="5F0460DA">
      <w:pPr>
        <w:spacing w:after="80"/>
        <w:rPr>
          <w:rFonts w:ascii="Calibri" w:eastAsia="Calibri" w:hAnsi="Calibri" w:cs="Calibri"/>
          <w:b/>
          <w:bCs/>
          <w:color w:val="000000" w:themeColor="text1"/>
          <w:sz w:val="24"/>
          <w:szCs w:val="24"/>
        </w:rPr>
      </w:pPr>
    </w:p>
    <w:p w14:paraId="7BDA7843" w14:textId="76AFACF9" w:rsidR="6A2014E4" w:rsidRDefault="6A2014E4" w:rsidP="5F0460DA">
      <w:pPr>
        <w:spacing w:after="80"/>
        <w:rPr>
          <w:rFonts w:ascii="Calibri" w:eastAsia="Calibri" w:hAnsi="Calibri" w:cs="Calibri"/>
          <w:b/>
          <w:bCs/>
          <w:color w:val="000000" w:themeColor="text1"/>
          <w:sz w:val="24"/>
          <w:szCs w:val="24"/>
        </w:rPr>
      </w:pPr>
      <w:r w:rsidRPr="5F0460DA">
        <w:rPr>
          <w:rFonts w:ascii="Calibri" w:eastAsia="Calibri" w:hAnsi="Calibri" w:cs="Calibri"/>
          <w:b/>
          <w:bCs/>
          <w:color w:val="000000" w:themeColor="text1"/>
          <w:sz w:val="24"/>
          <w:szCs w:val="24"/>
        </w:rPr>
        <w:t>Response:</w:t>
      </w:r>
      <w:r w:rsidR="007F13AA">
        <w:rPr>
          <w:rFonts w:ascii="Calibri" w:eastAsia="Calibri" w:hAnsi="Calibri" w:cs="Calibri"/>
          <w:b/>
          <w:bCs/>
          <w:color w:val="000000" w:themeColor="text1"/>
          <w:sz w:val="24"/>
          <w:szCs w:val="24"/>
        </w:rPr>
        <w:t xml:space="preserve">  </w:t>
      </w:r>
      <w:r w:rsidR="007F13AA" w:rsidRPr="00F42E16">
        <w:rPr>
          <w:rFonts w:ascii="Calibri" w:eastAsia="Calibri" w:hAnsi="Calibri" w:cs="Calibri"/>
          <w:color w:val="000000" w:themeColor="text1"/>
          <w:sz w:val="24"/>
          <w:szCs w:val="24"/>
        </w:rPr>
        <w:t>The existing equipment will be</w:t>
      </w:r>
      <w:r w:rsidR="007F13AA">
        <w:rPr>
          <w:rFonts w:ascii="Calibri" w:eastAsia="Calibri" w:hAnsi="Calibri" w:cs="Calibri"/>
          <w:color w:val="000000" w:themeColor="text1"/>
          <w:sz w:val="24"/>
          <w:szCs w:val="24"/>
        </w:rPr>
        <w:t xml:space="preserve"> available for the existing unit, but there is no excess equipment for the new teams.  </w:t>
      </w:r>
      <w:r w:rsidR="007D1DF0">
        <w:rPr>
          <w:rFonts w:ascii="Calibri" w:eastAsia="Calibri" w:hAnsi="Calibri" w:cs="Calibri"/>
          <w:color w:val="000000" w:themeColor="text1"/>
          <w:sz w:val="24"/>
          <w:szCs w:val="24"/>
        </w:rPr>
        <w:t xml:space="preserve">We expect the implementing partner to procure required equipment needed for the MVCP expansion.  </w:t>
      </w:r>
    </w:p>
    <w:p w14:paraId="78FA3F04" w14:textId="44FFAEAA" w:rsidR="5F0460DA" w:rsidRDefault="5F0460DA" w:rsidP="5F0460DA">
      <w:pPr>
        <w:spacing w:after="0"/>
        <w:rPr>
          <w:rFonts w:ascii="Calibri" w:eastAsia="Calibri" w:hAnsi="Calibri" w:cs="Calibri"/>
          <w:color w:val="000000" w:themeColor="text1"/>
          <w:sz w:val="24"/>
          <w:szCs w:val="24"/>
        </w:rPr>
      </w:pPr>
    </w:p>
    <w:p w14:paraId="15F0DFC1" w14:textId="1116BB1C" w:rsidR="6A2014E4" w:rsidRDefault="6A2014E4" w:rsidP="5F0460DA">
      <w:pPr>
        <w:pStyle w:val="ListParagraph"/>
        <w:numPr>
          <w:ilvl w:val="0"/>
          <w:numId w:val="2"/>
        </w:numPr>
        <w:spacing w:after="80"/>
        <w:ind w:left="0"/>
      </w:pPr>
      <w:r w:rsidRPr="5F0460DA">
        <w:rPr>
          <w:rFonts w:ascii="Calibri" w:eastAsia="Calibri" w:hAnsi="Calibri" w:cs="Calibri"/>
          <w:b/>
          <w:bCs/>
          <w:color w:val="000000" w:themeColor="text1"/>
          <w:sz w:val="24"/>
          <w:szCs w:val="24"/>
        </w:rPr>
        <w:t xml:space="preserve">Question </w:t>
      </w:r>
      <w:r w:rsidR="2EF88F69" w:rsidRPr="5F0460DA">
        <w:rPr>
          <w:rFonts w:ascii="Calibri" w:eastAsia="Calibri" w:hAnsi="Calibri" w:cs="Calibri"/>
          <w:b/>
          <w:bCs/>
          <w:color w:val="000000" w:themeColor="text1"/>
          <w:sz w:val="24"/>
          <w:szCs w:val="24"/>
        </w:rPr>
        <w:t xml:space="preserve">3: </w:t>
      </w:r>
      <w:r w:rsidR="2EF88F69" w:rsidRPr="5F0460DA">
        <w:t>Does the Government have a specified minimum estimate for the amount of reserve space in the budget for the purchase and maintenance of team and individual equipment prospective implementors should set aside for these unknown purchases?</w:t>
      </w:r>
      <w:r>
        <w:br/>
      </w:r>
    </w:p>
    <w:p w14:paraId="30FCE564" w14:textId="39D32D05" w:rsidR="6A2014E4" w:rsidRPr="001D48B0" w:rsidRDefault="6A2014E4" w:rsidP="5F0460DA">
      <w:pPr>
        <w:spacing w:after="80"/>
        <w:rPr>
          <w:rFonts w:ascii="Calibri" w:eastAsia="Calibri" w:hAnsi="Calibri" w:cs="Calibri"/>
          <w:color w:val="000000" w:themeColor="text1"/>
          <w:sz w:val="24"/>
          <w:szCs w:val="24"/>
        </w:rPr>
      </w:pPr>
      <w:r w:rsidRPr="5F0460DA">
        <w:rPr>
          <w:rFonts w:ascii="Calibri" w:eastAsia="Calibri" w:hAnsi="Calibri" w:cs="Calibri"/>
          <w:b/>
          <w:bCs/>
          <w:color w:val="000000" w:themeColor="text1"/>
          <w:sz w:val="24"/>
          <w:szCs w:val="24"/>
        </w:rPr>
        <w:t>Response</w:t>
      </w:r>
      <w:r w:rsidR="007F13AA">
        <w:rPr>
          <w:rFonts w:ascii="Calibri" w:eastAsia="Calibri" w:hAnsi="Calibri" w:cs="Calibri"/>
          <w:b/>
          <w:bCs/>
          <w:color w:val="000000" w:themeColor="text1"/>
          <w:sz w:val="24"/>
          <w:szCs w:val="24"/>
        </w:rPr>
        <w:t xml:space="preserve">: </w:t>
      </w:r>
      <w:r w:rsidR="007F13AA">
        <w:rPr>
          <w:rFonts w:ascii="Calibri" w:eastAsia="Calibri" w:hAnsi="Calibri" w:cs="Calibri"/>
          <w:color w:val="000000" w:themeColor="text1"/>
          <w:sz w:val="24"/>
          <w:szCs w:val="24"/>
        </w:rPr>
        <w:t xml:space="preserve">No. </w:t>
      </w:r>
    </w:p>
    <w:p w14:paraId="17A76114" w14:textId="549454E0" w:rsidR="5F0460DA" w:rsidRDefault="5F0460DA" w:rsidP="5F0460DA">
      <w:pPr>
        <w:spacing w:after="80"/>
        <w:rPr>
          <w:rFonts w:ascii="Calibri" w:eastAsia="Calibri" w:hAnsi="Calibri" w:cs="Calibri"/>
          <w:b/>
          <w:bCs/>
          <w:color w:val="000000" w:themeColor="text1"/>
          <w:sz w:val="24"/>
          <w:szCs w:val="24"/>
        </w:rPr>
      </w:pPr>
    </w:p>
    <w:p w14:paraId="57808955" w14:textId="41C6692B" w:rsidR="2065DB3A" w:rsidRDefault="2065DB3A" w:rsidP="5F0460DA">
      <w:pPr>
        <w:pStyle w:val="ListParagraph"/>
        <w:numPr>
          <w:ilvl w:val="0"/>
          <w:numId w:val="2"/>
        </w:numPr>
        <w:spacing w:after="80"/>
        <w:ind w:left="0"/>
        <w:rPr>
          <w:rFonts w:ascii="Calibri" w:eastAsia="Calibri" w:hAnsi="Calibri" w:cs="Calibri"/>
          <w:color w:val="242424"/>
        </w:rPr>
      </w:pPr>
      <w:r w:rsidRPr="5F0460DA">
        <w:rPr>
          <w:rFonts w:ascii="Calibri" w:eastAsia="Calibri" w:hAnsi="Calibri" w:cs="Calibri"/>
          <w:b/>
          <w:bCs/>
          <w:color w:val="000000" w:themeColor="text1"/>
          <w:sz w:val="24"/>
          <w:szCs w:val="24"/>
        </w:rPr>
        <w:t>Question 4:</w:t>
      </w:r>
      <w:r w:rsidRPr="5F0460DA">
        <w:rPr>
          <w:rFonts w:ascii="Calibri" w:eastAsia="Calibri" w:hAnsi="Calibri" w:cs="Calibri"/>
          <w:color w:val="000000" w:themeColor="text1"/>
          <w:sz w:val="24"/>
          <w:szCs w:val="24"/>
        </w:rPr>
        <w:t xml:space="preserve"> </w:t>
      </w:r>
      <w:r w:rsidRPr="5F0460DA">
        <w:rPr>
          <w:rFonts w:ascii="Calibri" w:eastAsia="Calibri" w:hAnsi="Calibri" w:cs="Calibri"/>
          <w:color w:val="444444"/>
        </w:rPr>
        <w:t>Are any personal defense weapons (handguns or rifles) required/authorized by US contractor personnel?</w:t>
      </w:r>
    </w:p>
    <w:p w14:paraId="4855A9B0" w14:textId="4C13231A" w:rsidR="5F0460DA" w:rsidRDefault="5F0460DA" w:rsidP="5F0460DA">
      <w:pPr>
        <w:spacing w:after="80"/>
        <w:rPr>
          <w:rFonts w:ascii="Calibri" w:eastAsia="Calibri" w:hAnsi="Calibri" w:cs="Calibri"/>
          <w:b/>
          <w:bCs/>
          <w:color w:val="000000" w:themeColor="text1"/>
          <w:sz w:val="24"/>
          <w:szCs w:val="24"/>
        </w:rPr>
      </w:pPr>
    </w:p>
    <w:p w14:paraId="6C1CD6E7" w14:textId="148BFE5C" w:rsidR="2065DB3A" w:rsidRPr="001D48B0" w:rsidRDefault="2065DB3A" w:rsidP="5F0460DA">
      <w:pPr>
        <w:spacing w:after="80"/>
        <w:rPr>
          <w:rFonts w:ascii="Calibri" w:eastAsia="Calibri" w:hAnsi="Calibri" w:cs="Calibri"/>
          <w:color w:val="000000" w:themeColor="text1"/>
          <w:sz w:val="24"/>
          <w:szCs w:val="24"/>
        </w:rPr>
      </w:pPr>
      <w:r w:rsidRPr="5F0460DA">
        <w:rPr>
          <w:rFonts w:ascii="Calibri" w:eastAsia="Calibri" w:hAnsi="Calibri" w:cs="Calibri"/>
          <w:b/>
          <w:bCs/>
          <w:color w:val="000000" w:themeColor="text1"/>
          <w:sz w:val="24"/>
          <w:szCs w:val="24"/>
        </w:rPr>
        <w:t>Response</w:t>
      </w:r>
      <w:r w:rsidR="007F13AA">
        <w:rPr>
          <w:rFonts w:ascii="Calibri" w:eastAsia="Calibri" w:hAnsi="Calibri" w:cs="Calibri"/>
          <w:b/>
          <w:bCs/>
          <w:color w:val="000000" w:themeColor="text1"/>
          <w:sz w:val="24"/>
          <w:szCs w:val="24"/>
        </w:rPr>
        <w:t xml:space="preserve">: </w:t>
      </w:r>
      <w:r w:rsidR="007F13AA">
        <w:rPr>
          <w:rFonts w:ascii="Calibri" w:eastAsia="Calibri" w:hAnsi="Calibri" w:cs="Calibri"/>
          <w:color w:val="000000" w:themeColor="text1"/>
          <w:sz w:val="24"/>
          <w:szCs w:val="24"/>
        </w:rPr>
        <w:t xml:space="preserve">The possession of personal defense weapons is controlled by the Federal Government of Somalia and is not required by the U.S.  Respondents accept responsibility for risk management </w:t>
      </w:r>
      <w:r w:rsidR="001D48B0">
        <w:rPr>
          <w:rFonts w:ascii="Calibri" w:eastAsia="Calibri" w:hAnsi="Calibri" w:cs="Calibri"/>
          <w:color w:val="000000" w:themeColor="text1"/>
          <w:sz w:val="24"/>
          <w:szCs w:val="24"/>
        </w:rPr>
        <w:t xml:space="preserve">and mitigation and may choose to arm contractors, however all importation, possession, usage, and management of contractor weapons must be in accordance with Somali law.  </w:t>
      </w:r>
    </w:p>
    <w:p w14:paraId="46A25612" w14:textId="69D4B006" w:rsidR="5F0460DA" w:rsidRDefault="5F0460DA" w:rsidP="5F0460DA">
      <w:pPr>
        <w:spacing w:after="80"/>
        <w:rPr>
          <w:rFonts w:ascii="Calibri" w:eastAsia="Calibri" w:hAnsi="Calibri" w:cs="Calibri"/>
          <w:b/>
          <w:bCs/>
          <w:color w:val="000000" w:themeColor="text1"/>
          <w:sz w:val="24"/>
          <w:szCs w:val="24"/>
        </w:rPr>
      </w:pPr>
    </w:p>
    <w:p w14:paraId="51765AE0" w14:textId="42AABD33" w:rsidR="5F0460DA" w:rsidRDefault="5F0460DA" w:rsidP="5F0460DA">
      <w:pPr>
        <w:spacing w:after="80"/>
        <w:rPr>
          <w:rFonts w:ascii="Calibri" w:eastAsia="Calibri" w:hAnsi="Calibri" w:cs="Calibri"/>
          <w:b/>
          <w:bCs/>
          <w:color w:val="000000" w:themeColor="text1"/>
          <w:sz w:val="24"/>
          <w:szCs w:val="24"/>
        </w:rPr>
      </w:pPr>
    </w:p>
    <w:p w14:paraId="08DE941C" w14:textId="5A250BE6" w:rsidR="2065DB3A" w:rsidRDefault="2065DB3A" w:rsidP="5F0460DA">
      <w:pPr>
        <w:pStyle w:val="ListParagraph"/>
        <w:numPr>
          <w:ilvl w:val="0"/>
          <w:numId w:val="2"/>
        </w:numPr>
        <w:spacing w:after="80"/>
        <w:ind w:left="0"/>
        <w:rPr>
          <w:rFonts w:ascii="Calibri" w:eastAsia="Calibri" w:hAnsi="Calibri" w:cs="Calibri"/>
          <w:color w:val="242424"/>
        </w:rPr>
      </w:pPr>
      <w:r w:rsidRPr="5F0460DA">
        <w:rPr>
          <w:rFonts w:ascii="Calibri" w:eastAsia="Calibri" w:hAnsi="Calibri" w:cs="Calibri"/>
          <w:b/>
          <w:bCs/>
          <w:color w:val="000000" w:themeColor="text1"/>
          <w:sz w:val="24"/>
          <w:szCs w:val="24"/>
        </w:rPr>
        <w:t>Question 5:</w:t>
      </w:r>
      <w:r w:rsidRPr="5F0460DA">
        <w:rPr>
          <w:rFonts w:ascii="Calibri" w:eastAsia="Calibri" w:hAnsi="Calibri" w:cs="Calibri"/>
          <w:color w:val="000000" w:themeColor="text1"/>
          <w:sz w:val="24"/>
          <w:szCs w:val="24"/>
        </w:rPr>
        <w:t xml:space="preserve"> </w:t>
      </w:r>
      <w:r w:rsidRPr="5F0460DA">
        <w:rPr>
          <w:rFonts w:ascii="Calibri" w:eastAsia="Calibri" w:hAnsi="Calibri" w:cs="Calibri"/>
          <w:color w:val="444444"/>
        </w:rPr>
        <w:t>Will the contractor be required to pay any recruitment or salary costs of SPF personnel?</w:t>
      </w:r>
    </w:p>
    <w:p w14:paraId="352FB8FF" w14:textId="6C4FDD0C" w:rsidR="5F0460DA" w:rsidRDefault="5F0460DA" w:rsidP="5F0460DA">
      <w:pPr>
        <w:spacing w:after="80"/>
        <w:rPr>
          <w:rFonts w:ascii="Calibri" w:eastAsia="Calibri" w:hAnsi="Calibri" w:cs="Calibri"/>
          <w:color w:val="242424"/>
        </w:rPr>
      </w:pPr>
    </w:p>
    <w:p w14:paraId="32FF2E43" w14:textId="4F9FDD7E" w:rsidR="2065DB3A" w:rsidRPr="001D48B0" w:rsidRDefault="2065DB3A" w:rsidP="5F0460DA">
      <w:pPr>
        <w:spacing w:after="80"/>
        <w:rPr>
          <w:rFonts w:ascii="Calibri" w:eastAsia="Calibri" w:hAnsi="Calibri" w:cs="Calibri"/>
          <w:color w:val="000000" w:themeColor="text1"/>
          <w:sz w:val="24"/>
          <w:szCs w:val="24"/>
        </w:rPr>
      </w:pPr>
      <w:r w:rsidRPr="5F0460DA">
        <w:rPr>
          <w:rFonts w:ascii="Calibri" w:eastAsia="Calibri" w:hAnsi="Calibri" w:cs="Calibri"/>
          <w:b/>
          <w:bCs/>
          <w:color w:val="000000" w:themeColor="text1"/>
          <w:sz w:val="24"/>
          <w:szCs w:val="24"/>
        </w:rPr>
        <w:t>Response</w:t>
      </w:r>
      <w:r w:rsidR="001D48B0">
        <w:rPr>
          <w:rFonts w:ascii="Calibri" w:eastAsia="Calibri" w:hAnsi="Calibri" w:cs="Calibri"/>
          <w:b/>
          <w:bCs/>
          <w:color w:val="000000" w:themeColor="text1"/>
          <w:sz w:val="24"/>
          <w:szCs w:val="24"/>
        </w:rPr>
        <w:t xml:space="preserve">: </w:t>
      </w:r>
      <w:r w:rsidR="001D48B0">
        <w:rPr>
          <w:rFonts w:ascii="Calibri" w:eastAsia="Calibri" w:hAnsi="Calibri" w:cs="Calibri"/>
          <w:color w:val="000000" w:themeColor="text1"/>
          <w:sz w:val="24"/>
          <w:szCs w:val="24"/>
        </w:rPr>
        <w:t>No.</w:t>
      </w:r>
    </w:p>
    <w:p w14:paraId="60F7F9E2" w14:textId="307494FC" w:rsidR="5F0460DA" w:rsidRDefault="5F0460DA" w:rsidP="5F0460DA">
      <w:pPr>
        <w:spacing w:after="80"/>
        <w:rPr>
          <w:rFonts w:ascii="Calibri" w:eastAsia="Calibri" w:hAnsi="Calibri" w:cs="Calibri"/>
          <w:b/>
          <w:bCs/>
          <w:color w:val="000000" w:themeColor="text1"/>
          <w:sz w:val="24"/>
          <w:szCs w:val="24"/>
        </w:rPr>
      </w:pPr>
    </w:p>
    <w:p w14:paraId="77857802" w14:textId="3035761A" w:rsidR="2065DB3A" w:rsidRDefault="2065DB3A" w:rsidP="5F0460DA">
      <w:pPr>
        <w:pStyle w:val="ListParagraph"/>
        <w:numPr>
          <w:ilvl w:val="0"/>
          <w:numId w:val="2"/>
        </w:numPr>
        <w:spacing w:after="80"/>
        <w:ind w:left="0"/>
        <w:rPr>
          <w:rFonts w:ascii="Calibri" w:eastAsia="Calibri" w:hAnsi="Calibri" w:cs="Calibri"/>
          <w:color w:val="242424"/>
        </w:rPr>
      </w:pPr>
      <w:r w:rsidRPr="5F0460DA">
        <w:rPr>
          <w:rFonts w:ascii="Calibri" w:eastAsia="Calibri" w:hAnsi="Calibri" w:cs="Calibri"/>
          <w:b/>
          <w:bCs/>
          <w:color w:val="000000" w:themeColor="text1"/>
          <w:sz w:val="24"/>
          <w:szCs w:val="24"/>
        </w:rPr>
        <w:t>Question 6:</w:t>
      </w:r>
      <w:r w:rsidRPr="5F0460DA">
        <w:rPr>
          <w:rFonts w:ascii="Calibri" w:eastAsia="Calibri" w:hAnsi="Calibri" w:cs="Calibri"/>
          <w:color w:val="000000" w:themeColor="text1"/>
          <w:sz w:val="24"/>
          <w:szCs w:val="24"/>
        </w:rPr>
        <w:t xml:space="preserve"> </w:t>
      </w:r>
      <w:r w:rsidRPr="5F0460DA">
        <w:rPr>
          <w:rFonts w:ascii="Calibri" w:eastAsia="Calibri" w:hAnsi="Calibri" w:cs="Calibri"/>
          <w:color w:val="444444"/>
        </w:rPr>
        <w:t xml:space="preserve">Will the USG please permit applicants to include the Logic Model as an attachment and exclude it from the </w:t>
      </w:r>
      <w:proofErr w:type="gramStart"/>
      <w:r w:rsidRPr="5F0460DA">
        <w:rPr>
          <w:rFonts w:ascii="Calibri" w:eastAsia="Calibri" w:hAnsi="Calibri" w:cs="Calibri"/>
          <w:color w:val="444444"/>
        </w:rPr>
        <w:t>10 page</w:t>
      </w:r>
      <w:proofErr w:type="gramEnd"/>
      <w:r w:rsidRPr="5F0460DA">
        <w:rPr>
          <w:rFonts w:ascii="Calibri" w:eastAsia="Calibri" w:hAnsi="Calibri" w:cs="Calibri"/>
          <w:color w:val="444444"/>
        </w:rPr>
        <w:t xml:space="preserve"> limit? </w:t>
      </w:r>
    </w:p>
    <w:p w14:paraId="54E1A0D5" w14:textId="4C13231A" w:rsidR="5F0460DA" w:rsidRDefault="5F0460DA" w:rsidP="5F0460DA">
      <w:pPr>
        <w:spacing w:after="80"/>
        <w:rPr>
          <w:rFonts w:ascii="Calibri" w:eastAsia="Calibri" w:hAnsi="Calibri" w:cs="Calibri"/>
          <w:b/>
          <w:bCs/>
          <w:color w:val="000000" w:themeColor="text1"/>
          <w:sz w:val="24"/>
          <w:szCs w:val="24"/>
        </w:rPr>
      </w:pPr>
    </w:p>
    <w:p w14:paraId="7A75B2AE" w14:textId="204FA43C" w:rsidR="2065DB3A" w:rsidRDefault="2065DB3A" w:rsidP="5F0460DA">
      <w:pPr>
        <w:spacing w:after="80"/>
        <w:rPr>
          <w:rFonts w:ascii="Calibri" w:eastAsia="Calibri" w:hAnsi="Calibri" w:cs="Calibri"/>
          <w:color w:val="000000" w:themeColor="text1"/>
          <w:sz w:val="24"/>
          <w:szCs w:val="24"/>
        </w:rPr>
      </w:pPr>
      <w:r w:rsidRPr="5F0460DA">
        <w:rPr>
          <w:rFonts w:ascii="Calibri" w:eastAsia="Calibri" w:hAnsi="Calibri" w:cs="Calibri"/>
          <w:b/>
          <w:bCs/>
          <w:color w:val="000000" w:themeColor="text1"/>
          <w:sz w:val="24"/>
          <w:szCs w:val="24"/>
        </w:rPr>
        <w:t xml:space="preserve">Response:  </w:t>
      </w:r>
      <w:r w:rsidRPr="5F0460DA">
        <w:rPr>
          <w:rFonts w:ascii="Calibri" w:eastAsia="Calibri" w:hAnsi="Calibri" w:cs="Calibri"/>
          <w:color w:val="000000" w:themeColor="text1"/>
          <w:sz w:val="24"/>
          <w:szCs w:val="24"/>
        </w:rPr>
        <w:t xml:space="preserve">As per the NOFO document, the Logic Model </w:t>
      </w:r>
      <w:r w:rsidR="47654EE3" w:rsidRPr="5F0460DA">
        <w:rPr>
          <w:rFonts w:ascii="Calibri" w:eastAsia="Calibri" w:hAnsi="Calibri" w:cs="Calibri"/>
          <w:color w:val="000000" w:themeColor="text1"/>
          <w:sz w:val="24"/>
          <w:szCs w:val="24"/>
        </w:rPr>
        <w:t>is considered an attachment and does not count towards the proposal’s 10-page limit.</w:t>
      </w:r>
    </w:p>
    <w:p w14:paraId="45D4919C" w14:textId="41F4C4D5" w:rsidR="5F0460DA" w:rsidRDefault="5F0460DA" w:rsidP="5F0460DA">
      <w:pPr>
        <w:spacing w:after="80"/>
        <w:rPr>
          <w:rFonts w:ascii="Calibri" w:eastAsia="Calibri" w:hAnsi="Calibri" w:cs="Calibri"/>
          <w:b/>
          <w:bCs/>
          <w:color w:val="000000" w:themeColor="text1"/>
          <w:sz w:val="24"/>
          <w:szCs w:val="24"/>
        </w:rPr>
      </w:pPr>
    </w:p>
    <w:p w14:paraId="0CD21447" w14:textId="1D0F94DE" w:rsidR="5F0460DA" w:rsidRDefault="5F0460DA" w:rsidP="5F0460DA">
      <w:pPr>
        <w:spacing w:after="80"/>
        <w:rPr>
          <w:rFonts w:ascii="Calibri" w:eastAsia="Calibri" w:hAnsi="Calibri" w:cs="Calibri"/>
          <w:b/>
          <w:bCs/>
          <w:color w:val="000000" w:themeColor="text1"/>
          <w:sz w:val="24"/>
          <w:szCs w:val="24"/>
        </w:rPr>
      </w:pPr>
    </w:p>
    <w:p w14:paraId="4544D5FA" w14:textId="11990AD8" w:rsidR="2065DB3A" w:rsidRDefault="2065DB3A" w:rsidP="5F0460DA">
      <w:pPr>
        <w:pStyle w:val="ListParagraph"/>
        <w:numPr>
          <w:ilvl w:val="0"/>
          <w:numId w:val="2"/>
        </w:numPr>
        <w:spacing w:after="80"/>
        <w:ind w:left="0"/>
        <w:rPr>
          <w:rFonts w:ascii="Calibri" w:eastAsia="Calibri" w:hAnsi="Calibri" w:cs="Calibri"/>
          <w:color w:val="242424"/>
        </w:rPr>
      </w:pPr>
      <w:r w:rsidRPr="5F0460DA">
        <w:rPr>
          <w:rFonts w:ascii="Calibri" w:eastAsia="Calibri" w:hAnsi="Calibri" w:cs="Calibri"/>
          <w:b/>
          <w:bCs/>
          <w:color w:val="000000" w:themeColor="text1"/>
          <w:sz w:val="24"/>
          <w:szCs w:val="24"/>
        </w:rPr>
        <w:t>Question 7:</w:t>
      </w:r>
      <w:r w:rsidRPr="5F0460DA">
        <w:rPr>
          <w:rFonts w:ascii="Calibri" w:eastAsia="Calibri" w:hAnsi="Calibri" w:cs="Calibri"/>
          <w:color w:val="000000" w:themeColor="text1"/>
          <w:sz w:val="24"/>
          <w:szCs w:val="24"/>
        </w:rPr>
        <w:t xml:space="preserve"> </w:t>
      </w:r>
      <w:r w:rsidR="6CD94F81" w:rsidRPr="5F0460DA">
        <w:rPr>
          <w:rFonts w:ascii="Calibri" w:eastAsia="Calibri" w:hAnsi="Calibri" w:cs="Calibri"/>
          <w:color w:val="444444"/>
        </w:rPr>
        <w:t xml:space="preserve">Will the USG permit applicants to submit pdf documents rather than MSWord? </w:t>
      </w:r>
    </w:p>
    <w:p w14:paraId="1BAB6738" w14:textId="4C13231A" w:rsidR="5F0460DA" w:rsidRDefault="5F0460DA" w:rsidP="5F0460DA">
      <w:pPr>
        <w:spacing w:after="80"/>
        <w:rPr>
          <w:rFonts w:ascii="Calibri" w:eastAsia="Calibri" w:hAnsi="Calibri" w:cs="Calibri"/>
          <w:b/>
          <w:bCs/>
          <w:color w:val="000000" w:themeColor="text1"/>
          <w:sz w:val="24"/>
          <w:szCs w:val="24"/>
        </w:rPr>
      </w:pPr>
    </w:p>
    <w:p w14:paraId="5278DB6E" w14:textId="393F062C" w:rsidR="2065DB3A" w:rsidRDefault="2065DB3A" w:rsidP="5F0460DA">
      <w:pPr>
        <w:spacing w:after="80"/>
        <w:rPr>
          <w:rFonts w:ascii="Calibri" w:eastAsia="Calibri" w:hAnsi="Calibri" w:cs="Calibri"/>
          <w:b/>
          <w:bCs/>
          <w:color w:val="000000" w:themeColor="text1"/>
          <w:sz w:val="24"/>
          <w:szCs w:val="24"/>
        </w:rPr>
      </w:pPr>
      <w:r w:rsidRPr="5F0460DA">
        <w:rPr>
          <w:rFonts w:ascii="Calibri" w:eastAsia="Calibri" w:hAnsi="Calibri" w:cs="Calibri"/>
          <w:b/>
          <w:bCs/>
          <w:color w:val="000000" w:themeColor="text1"/>
          <w:sz w:val="24"/>
          <w:szCs w:val="24"/>
        </w:rPr>
        <w:t>Response</w:t>
      </w:r>
      <w:r w:rsidR="22FFB568" w:rsidRPr="5F0460DA">
        <w:rPr>
          <w:rFonts w:ascii="Calibri" w:eastAsia="Calibri" w:hAnsi="Calibri" w:cs="Calibri"/>
          <w:b/>
          <w:bCs/>
          <w:color w:val="000000" w:themeColor="text1"/>
          <w:sz w:val="24"/>
          <w:szCs w:val="24"/>
        </w:rPr>
        <w:t xml:space="preserve">: </w:t>
      </w:r>
      <w:r w:rsidR="22FFB568" w:rsidRPr="5F0460DA">
        <w:rPr>
          <w:rFonts w:ascii="Calibri" w:eastAsia="Calibri" w:hAnsi="Calibri" w:cs="Calibri"/>
          <w:color w:val="000000" w:themeColor="text1"/>
          <w:sz w:val="24"/>
          <w:szCs w:val="24"/>
        </w:rPr>
        <w:t>Yes.  The applicant may choose to submit their proposal documents in either PDF or MS Word format, but the proposal application must adhere to all requirements as listed in the NOFO document.</w:t>
      </w:r>
    </w:p>
    <w:p w14:paraId="6D6C7752" w14:textId="1F5F2BED" w:rsidR="5F0460DA" w:rsidRDefault="5F0460DA" w:rsidP="5F0460DA">
      <w:pPr>
        <w:spacing w:after="80"/>
        <w:rPr>
          <w:rFonts w:ascii="Calibri" w:eastAsia="Calibri" w:hAnsi="Calibri" w:cs="Calibri"/>
          <w:b/>
          <w:bCs/>
          <w:color w:val="000000" w:themeColor="text1"/>
          <w:sz w:val="24"/>
          <w:szCs w:val="24"/>
        </w:rPr>
      </w:pPr>
    </w:p>
    <w:p w14:paraId="3A126AF1" w14:textId="6DB43C37" w:rsidR="22FFB568" w:rsidRDefault="22FFB568" w:rsidP="5F0460DA">
      <w:pPr>
        <w:pStyle w:val="ListParagraph"/>
        <w:numPr>
          <w:ilvl w:val="0"/>
          <w:numId w:val="2"/>
        </w:numPr>
        <w:spacing w:after="80"/>
        <w:ind w:left="0"/>
        <w:rPr>
          <w:rFonts w:ascii="Calibri" w:eastAsia="Calibri" w:hAnsi="Calibri" w:cs="Calibri"/>
          <w:color w:val="444444"/>
        </w:rPr>
      </w:pPr>
      <w:r w:rsidRPr="5F0460DA">
        <w:rPr>
          <w:rFonts w:ascii="Calibri" w:eastAsia="Calibri" w:hAnsi="Calibri" w:cs="Calibri"/>
          <w:b/>
          <w:bCs/>
          <w:color w:val="000000" w:themeColor="text1"/>
          <w:sz w:val="24"/>
          <w:szCs w:val="24"/>
        </w:rPr>
        <w:t>Question 8:</w:t>
      </w:r>
      <w:r w:rsidRPr="5F0460DA">
        <w:rPr>
          <w:rFonts w:ascii="Calibri" w:eastAsia="Calibri" w:hAnsi="Calibri" w:cs="Calibri"/>
          <w:color w:val="000000" w:themeColor="text1"/>
          <w:sz w:val="24"/>
          <w:szCs w:val="24"/>
        </w:rPr>
        <w:t xml:space="preserve"> </w:t>
      </w:r>
      <w:r w:rsidR="295FBDFF" w:rsidRPr="5F0460DA">
        <w:rPr>
          <w:rFonts w:ascii="Calibri" w:eastAsia="Calibri" w:hAnsi="Calibri" w:cs="Calibri"/>
          <w:color w:val="444444"/>
        </w:rPr>
        <w:t xml:space="preserve">Will the USG exclude tables graphs, and other visual inserts from the 12-point font requirement and permit potential implementors to use 9 or 10-point font for these proposal elements? </w:t>
      </w:r>
    </w:p>
    <w:p w14:paraId="1A54F67C" w14:textId="4C13231A" w:rsidR="5F0460DA" w:rsidRDefault="5F0460DA" w:rsidP="5F0460DA">
      <w:pPr>
        <w:spacing w:after="80"/>
        <w:rPr>
          <w:rFonts w:ascii="Calibri" w:eastAsia="Calibri" w:hAnsi="Calibri" w:cs="Calibri"/>
          <w:b/>
          <w:bCs/>
          <w:color w:val="000000" w:themeColor="text1"/>
          <w:sz w:val="24"/>
          <w:szCs w:val="24"/>
        </w:rPr>
      </w:pPr>
    </w:p>
    <w:p w14:paraId="16812E35" w14:textId="6C8B8D09" w:rsidR="22FFB568" w:rsidRPr="007D1DF0" w:rsidRDefault="22FFB568" w:rsidP="5F0460DA">
      <w:pPr>
        <w:spacing w:after="80"/>
        <w:rPr>
          <w:rFonts w:ascii="Calibri" w:eastAsia="Calibri" w:hAnsi="Calibri" w:cs="Calibri"/>
          <w:color w:val="000000" w:themeColor="text1"/>
          <w:sz w:val="24"/>
          <w:szCs w:val="24"/>
        </w:rPr>
      </w:pPr>
      <w:r w:rsidRPr="5F0460DA">
        <w:rPr>
          <w:rFonts w:ascii="Calibri" w:eastAsia="Calibri" w:hAnsi="Calibri" w:cs="Calibri"/>
          <w:b/>
          <w:bCs/>
          <w:color w:val="000000" w:themeColor="text1"/>
          <w:sz w:val="24"/>
          <w:szCs w:val="24"/>
        </w:rPr>
        <w:t>Response</w:t>
      </w:r>
      <w:r w:rsidR="639F4CCF" w:rsidRPr="5F0460DA">
        <w:rPr>
          <w:rFonts w:ascii="Calibri" w:eastAsia="Calibri" w:hAnsi="Calibri" w:cs="Calibri"/>
          <w:b/>
          <w:bCs/>
          <w:color w:val="000000" w:themeColor="text1"/>
          <w:sz w:val="24"/>
          <w:szCs w:val="24"/>
        </w:rPr>
        <w:t>:</w:t>
      </w:r>
      <w:r w:rsidR="007D1DF0">
        <w:rPr>
          <w:rFonts w:ascii="Calibri" w:eastAsia="Calibri" w:hAnsi="Calibri" w:cs="Calibri"/>
          <w:b/>
          <w:bCs/>
          <w:color w:val="000000" w:themeColor="text1"/>
          <w:sz w:val="24"/>
          <w:szCs w:val="24"/>
        </w:rPr>
        <w:t xml:space="preserve"> </w:t>
      </w:r>
      <w:r w:rsidR="007D1DF0">
        <w:rPr>
          <w:rFonts w:ascii="Calibri" w:eastAsia="Calibri" w:hAnsi="Calibri" w:cs="Calibri"/>
          <w:color w:val="000000" w:themeColor="text1"/>
          <w:sz w:val="24"/>
          <w:szCs w:val="24"/>
        </w:rPr>
        <w:t xml:space="preserve">Yes, that is acceptable. </w:t>
      </w:r>
    </w:p>
    <w:p w14:paraId="5DBD2296" w14:textId="24AC0A31" w:rsidR="5F0460DA" w:rsidRDefault="5F0460DA" w:rsidP="5F0460DA">
      <w:pPr>
        <w:spacing w:after="80"/>
        <w:rPr>
          <w:rFonts w:ascii="Calibri" w:eastAsia="Calibri" w:hAnsi="Calibri" w:cs="Calibri"/>
          <w:b/>
          <w:bCs/>
          <w:color w:val="000000" w:themeColor="text1"/>
          <w:sz w:val="24"/>
          <w:szCs w:val="24"/>
        </w:rPr>
      </w:pPr>
    </w:p>
    <w:p w14:paraId="58B150DC" w14:textId="59332523" w:rsidR="22FFB568" w:rsidRDefault="22FFB568" w:rsidP="5F0460DA">
      <w:pPr>
        <w:pStyle w:val="ListParagraph"/>
        <w:numPr>
          <w:ilvl w:val="0"/>
          <w:numId w:val="2"/>
        </w:numPr>
        <w:spacing w:after="80"/>
        <w:ind w:left="0"/>
        <w:rPr>
          <w:rFonts w:ascii="Calibri" w:eastAsia="Calibri" w:hAnsi="Calibri" w:cs="Calibri"/>
          <w:color w:val="242424"/>
        </w:rPr>
      </w:pPr>
      <w:r w:rsidRPr="5F0460DA">
        <w:rPr>
          <w:rFonts w:ascii="Calibri" w:eastAsia="Calibri" w:hAnsi="Calibri" w:cs="Calibri"/>
          <w:b/>
          <w:bCs/>
          <w:color w:val="000000" w:themeColor="text1"/>
          <w:sz w:val="24"/>
          <w:szCs w:val="24"/>
        </w:rPr>
        <w:t>Question 9:</w:t>
      </w:r>
      <w:r w:rsidRPr="5F0460DA">
        <w:rPr>
          <w:rFonts w:ascii="Calibri" w:eastAsia="Calibri" w:hAnsi="Calibri" w:cs="Calibri"/>
          <w:color w:val="000000" w:themeColor="text1"/>
          <w:sz w:val="24"/>
          <w:szCs w:val="24"/>
        </w:rPr>
        <w:t xml:space="preserve"> </w:t>
      </w:r>
      <w:r w:rsidR="65CB6F57" w:rsidRPr="5F0460DA">
        <w:rPr>
          <w:rFonts w:ascii="Calibri" w:eastAsia="Calibri" w:hAnsi="Calibri" w:cs="Calibri"/>
          <w:color w:val="444444"/>
        </w:rPr>
        <w:t xml:space="preserve">Please confirm that the NOFO does indeed require a Gender Analysis as part of proposal submission. </w:t>
      </w:r>
    </w:p>
    <w:p w14:paraId="0A3DD849" w14:textId="45851784" w:rsidR="5F0460DA" w:rsidRDefault="5F0460DA" w:rsidP="5F0460DA"/>
    <w:p w14:paraId="5C51B701" w14:textId="62E776DA" w:rsidR="22FFB568" w:rsidRDefault="22FFB568" w:rsidP="5F0460DA">
      <w:pPr>
        <w:spacing w:after="80"/>
        <w:rPr>
          <w:rFonts w:ascii="Calibri" w:eastAsia="Calibri" w:hAnsi="Calibri" w:cs="Calibri"/>
          <w:b/>
          <w:bCs/>
          <w:color w:val="000000" w:themeColor="text1"/>
          <w:sz w:val="24"/>
          <w:szCs w:val="24"/>
        </w:rPr>
      </w:pPr>
      <w:r w:rsidRPr="5F0460DA">
        <w:rPr>
          <w:rFonts w:ascii="Calibri" w:eastAsia="Calibri" w:hAnsi="Calibri" w:cs="Calibri"/>
          <w:b/>
          <w:bCs/>
          <w:color w:val="000000" w:themeColor="text1"/>
          <w:sz w:val="24"/>
          <w:szCs w:val="24"/>
        </w:rPr>
        <w:t>Response</w:t>
      </w:r>
      <w:r w:rsidR="00ECD9DE" w:rsidRPr="5F0460DA">
        <w:rPr>
          <w:rFonts w:ascii="Calibri" w:eastAsia="Calibri" w:hAnsi="Calibri" w:cs="Calibri"/>
          <w:b/>
          <w:bCs/>
          <w:color w:val="000000" w:themeColor="text1"/>
          <w:sz w:val="24"/>
          <w:szCs w:val="24"/>
        </w:rPr>
        <w:t xml:space="preserve">: </w:t>
      </w:r>
      <w:r w:rsidR="00ECD9DE" w:rsidRPr="5F0460DA">
        <w:rPr>
          <w:rFonts w:ascii="Calibri" w:eastAsia="Calibri" w:hAnsi="Calibri" w:cs="Calibri"/>
          <w:color w:val="000000" w:themeColor="text1"/>
          <w:sz w:val="24"/>
          <w:szCs w:val="24"/>
        </w:rPr>
        <w:t>As per the NOFO document, on page 5: “Proposal must include a gender analysis that is contextualized by the geographic area where the applicant proposes to program; demonstrates how the proposed program accounts for the different ways in which it might impact, and be impacted by different genders; and identifies challenges and opportunities for narrowing gender inequalities. This should be a standalone document rather than a section of the proposal narrative.”</w:t>
      </w:r>
    </w:p>
    <w:p w14:paraId="7434EA4B" w14:textId="3C0843FC" w:rsidR="5F0460DA" w:rsidRDefault="5F0460DA" w:rsidP="5F0460DA">
      <w:pPr>
        <w:spacing w:after="80"/>
        <w:rPr>
          <w:rFonts w:ascii="Calibri" w:eastAsia="Calibri" w:hAnsi="Calibri" w:cs="Calibri"/>
          <w:b/>
          <w:bCs/>
          <w:color w:val="000000" w:themeColor="text1"/>
          <w:sz w:val="24"/>
          <w:szCs w:val="24"/>
        </w:rPr>
      </w:pPr>
    </w:p>
    <w:p w14:paraId="132CAE84" w14:textId="502F1314" w:rsidR="5F0460DA" w:rsidRDefault="5F0460DA" w:rsidP="5F0460DA">
      <w:pPr>
        <w:spacing w:after="80"/>
        <w:rPr>
          <w:rFonts w:ascii="Calibri" w:eastAsia="Calibri" w:hAnsi="Calibri" w:cs="Calibri"/>
          <w:b/>
          <w:bCs/>
          <w:color w:val="000000" w:themeColor="text1"/>
          <w:sz w:val="24"/>
          <w:szCs w:val="24"/>
        </w:rPr>
      </w:pPr>
    </w:p>
    <w:p w14:paraId="2C078E63" w14:textId="67EC5333" w:rsidR="0027313A" w:rsidRDefault="0027313A" w:rsidP="1D80F9A3"/>
    <w:sectPr w:rsidR="002731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586D3B"/>
    <w:multiLevelType w:val="hybridMultilevel"/>
    <w:tmpl w:val="2D72EE7C"/>
    <w:lvl w:ilvl="0" w:tplc="90E64814">
      <w:start w:val="1"/>
      <w:numFmt w:val="decimal"/>
      <w:lvlText w:val="%1."/>
      <w:lvlJc w:val="left"/>
      <w:pPr>
        <w:ind w:left="720" w:hanging="360"/>
      </w:pPr>
    </w:lvl>
    <w:lvl w:ilvl="1" w:tplc="A872CDAE">
      <w:start w:val="1"/>
      <w:numFmt w:val="lowerLetter"/>
      <w:lvlText w:val="%2."/>
      <w:lvlJc w:val="left"/>
      <w:pPr>
        <w:ind w:left="1440" w:hanging="360"/>
      </w:pPr>
    </w:lvl>
    <w:lvl w:ilvl="2" w:tplc="1C6E0058">
      <w:start w:val="1"/>
      <w:numFmt w:val="lowerRoman"/>
      <w:lvlText w:val="%3."/>
      <w:lvlJc w:val="right"/>
      <w:pPr>
        <w:ind w:left="2160" w:hanging="180"/>
      </w:pPr>
    </w:lvl>
    <w:lvl w:ilvl="3" w:tplc="81BCA4E4">
      <w:start w:val="1"/>
      <w:numFmt w:val="decimal"/>
      <w:lvlText w:val="%4."/>
      <w:lvlJc w:val="left"/>
      <w:pPr>
        <w:ind w:left="2880" w:hanging="360"/>
      </w:pPr>
    </w:lvl>
    <w:lvl w:ilvl="4" w:tplc="5164E712">
      <w:start w:val="1"/>
      <w:numFmt w:val="lowerLetter"/>
      <w:lvlText w:val="%5."/>
      <w:lvlJc w:val="left"/>
      <w:pPr>
        <w:ind w:left="3600" w:hanging="360"/>
      </w:pPr>
    </w:lvl>
    <w:lvl w:ilvl="5" w:tplc="315CFCA8">
      <w:start w:val="1"/>
      <w:numFmt w:val="lowerRoman"/>
      <w:lvlText w:val="%6."/>
      <w:lvlJc w:val="right"/>
      <w:pPr>
        <w:ind w:left="4320" w:hanging="180"/>
      </w:pPr>
    </w:lvl>
    <w:lvl w:ilvl="6" w:tplc="6B16AB4C">
      <w:start w:val="1"/>
      <w:numFmt w:val="decimal"/>
      <w:lvlText w:val="%7."/>
      <w:lvlJc w:val="left"/>
      <w:pPr>
        <w:ind w:left="5040" w:hanging="360"/>
      </w:pPr>
    </w:lvl>
    <w:lvl w:ilvl="7" w:tplc="FFDC1E6A">
      <w:start w:val="1"/>
      <w:numFmt w:val="lowerLetter"/>
      <w:lvlText w:val="%8."/>
      <w:lvlJc w:val="left"/>
      <w:pPr>
        <w:ind w:left="5760" w:hanging="360"/>
      </w:pPr>
    </w:lvl>
    <w:lvl w:ilvl="8" w:tplc="1A0A50E4">
      <w:start w:val="1"/>
      <w:numFmt w:val="lowerRoman"/>
      <w:lvlText w:val="%9."/>
      <w:lvlJc w:val="right"/>
      <w:pPr>
        <w:ind w:left="6480" w:hanging="180"/>
      </w:pPr>
    </w:lvl>
  </w:abstractNum>
  <w:abstractNum w:abstractNumId="1" w15:restartNumberingAfterBreak="0">
    <w:nsid w:val="748DFA7D"/>
    <w:multiLevelType w:val="hybridMultilevel"/>
    <w:tmpl w:val="FFFFFFFF"/>
    <w:lvl w:ilvl="0" w:tplc="42008C68">
      <w:start w:val="1"/>
      <w:numFmt w:val="bullet"/>
      <w:lvlText w:val=""/>
      <w:lvlJc w:val="left"/>
      <w:pPr>
        <w:ind w:left="720" w:hanging="360"/>
      </w:pPr>
      <w:rPr>
        <w:rFonts w:ascii="Symbol" w:hAnsi="Symbol" w:hint="default"/>
      </w:rPr>
    </w:lvl>
    <w:lvl w:ilvl="1" w:tplc="0A2A4174">
      <w:start w:val="1"/>
      <w:numFmt w:val="bullet"/>
      <w:lvlText w:val="o"/>
      <w:lvlJc w:val="left"/>
      <w:pPr>
        <w:ind w:left="1440" w:hanging="360"/>
      </w:pPr>
      <w:rPr>
        <w:rFonts w:ascii="Courier New" w:hAnsi="Courier New" w:hint="default"/>
      </w:rPr>
    </w:lvl>
    <w:lvl w:ilvl="2" w:tplc="683C6024">
      <w:start w:val="1"/>
      <w:numFmt w:val="bullet"/>
      <w:lvlText w:val=""/>
      <w:lvlJc w:val="left"/>
      <w:pPr>
        <w:ind w:left="2160" w:hanging="360"/>
      </w:pPr>
      <w:rPr>
        <w:rFonts w:ascii="Wingdings" w:hAnsi="Wingdings" w:hint="default"/>
      </w:rPr>
    </w:lvl>
    <w:lvl w:ilvl="3" w:tplc="DDDCD89A">
      <w:start w:val="1"/>
      <w:numFmt w:val="bullet"/>
      <w:lvlText w:val=""/>
      <w:lvlJc w:val="left"/>
      <w:pPr>
        <w:ind w:left="2880" w:hanging="360"/>
      </w:pPr>
      <w:rPr>
        <w:rFonts w:ascii="Symbol" w:hAnsi="Symbol" w:hint="default"/>
      </w:rPr>
    </w:lvl>
    <w:lvl w:ilvl="4" w:tplc="3E6405D8">
      <w:start w:val="1"/>
      <w:numFmt w:val="bullet"/>
      <w:lvlText w:val="o"/>
      <w:lvlJc w:val="left"/>
      <w:pPr>
        <w:ind w:left="3600" w:hanging="360"/>
      </w:pPr>
      <w:rPr>
        <w:rFonts w:ascii="Courier New" w:hAnsi="Courier New" w:hint="default"/>
      </w:rPr>
    </w:lvl>
    <w:lvl w:ilvl="5" w:tplc="ACEC8C1E">
      <w:start w:val="1"/>
      <w:numFmt w:val="bullet"/>
      <w:lvlText w:val=""/>
      <w:lvlJc w:val="left"/>
      <w:pPr>
        <w:ind w:left="4320" w:hanging="360"/>
      </w:pPr>
      <w:rPr>
        <w:rFonts w:ascii="Wingdings" w:hAnsi="Wingdings" w:hint="default"/>
      </w:rPr>
    </w:lvl>
    <w:lvl w:ilvl="6" w:tplc="FE744658">
      <w:start w:val="1"/>
      <w:numFmt w:val="bullet"/>
      <w:lvlText w:val=""/>
      <w:lvlJc w:val="left"/>
      <w:pPr>
        <w:ind w:left="5040" w:hanging="360"/>
      </w:pPr>
      <w:rPr>
        <w:rFonts w:ascii="Symbol" w:hAnsi="Symbol" w:hint="default"/>
      </w:rPr>
    </w:lvl>
    <w:lvl w:ilvl="7" w:tplc="004E2816">
      <w:start w:val="1"/>
      <w:numFmt w:val="bullet"/>
      <w:lvlText w:val="o"/>
      <w:lvlJc w:val="left"/>
      <w:pPr>
        <w:ind w:left="5760" w:hanging="360"/>
      </w:pPr>
      <w:rPr>
        <w:rFonts w:ascii="Courier New" w:hAnsi="Courier New" w:hint="default"/>
      </w:rPr>
    </w:lvl>
    <w:lvl w:ilvl="8" w:tplc="3454EA14">
      <w:start w:val="1"/>
      <w:numFmt w:val="bullet"/>
      <w:lvlText w:val=""/>
      <w:lvlJc w:val="left"/>
      <w:pPr>
        <w:ind w:left="6480" w:hanging="360"/>
      </w:pPr>
      <w:rPr>
        <w:rFonts w:ascii="Wingdings" w:hAnsi="Wingdings" w:hint="default"/>
      </w:rPr>
    </w:lvl>
  </w:abstractNum>
  <w:num w:numId="1" w16cid:durableId="1758549742">
    <w:abstractNumId w:val="0"/>
  </w:num>
  <w:num w:numId="2" w16cid:durableId="1185367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89BB073"/>
    <w:rsid w:val="001D48B0"/>
    <w:rsid w:val="0027313A"/>
    <w:rsid w:val="003B4077"/>
    <w:rsid w:val="00573BC5"/>
    <w:rsid w:val="005B5940"/>
    <w:rsid w:val="007D1DF0"/>
    <w:rsid w:val="007F13AA"/>
    <w:rsid w:val="00B251F4"/>
    <w:rsid w:val="00ECD9DE"/>
    <w:rsid w:val="0DB82E0F"/>
    <w:rsid w:val="18FA3929"/>
    <w:rsid w:val="1B352E4E"/>
    <w:rsid w:val="1D80F9A3"/>
    <w:rsid w:val="2065DB3A"/>
    <w:rsid w:val="22FFB568"/>
    <w:rsid w:val="295FBDFF"/>
    <w:rsid w:val="2CFF2177"/>
    <w:rsid w:val="2EF88F69"/>
    <w:rsid w:val="47654EE3"/>
    <w:rsid w:val="47D3614E"/>
    <w:rsid w:val="4C9DE9C7"/>
    <w:rsid w:val="52B03AEF"/>
    <w:rsid w:val="5409D6E8"/>
    <w:rsid w:val="57F1729E"/>
    <w:rsid w:val="5F0460DA"/>
    <w:rsid w:val="639F4CCF"/>
    <w:rsid w:val="65CB6F57"/>
    <w:rsid w:val="689BB073"/>
    <w:rsid w:val="6A2014E4"/>
    <w:rsid w:val="6CD94F81"/>
    <w:rsid w:val="7670AEFA"/>
    <w:rsid w:val="77EC6692"/>
    <w:rsid w:val="784956EE"/>
    <w:rsid w:val="78E2EEC4"/>
    <w:rsid w:val="7B2407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BB073"/>
  <w15:chartTrackingRefBased/>
  <w15:docId w15:val="{5D101799-BB47-48B1-AE45-0831CBA84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F13AA"/>
    <w:pPr>
      <w:spacing w:after="0" w:line="240" w:lineRule="auto"/>
    </w:pPr>
  </w:style>
  <w:style w:type="paragraph" w:styleId="CommentSubject">
    <w:name w:val="annotation subject"/>
    <w:basedOn w:val="CommentText"/>
    <w:next w:val="CommentText"/>
    <w:link w:val="CommentSubjectChar"/>
    <w:uiPriority w:val="99"/>
    <w:semiHidden/>
    <w:unhideWhenUsed/>
    <w:rsid w:val="001D48B0"/>
    <w:rPr>
      <w:b/>
      <w:bCs/>
    </w:rPr>
  </w:style>
  <w:style w:type="character" w:customStyle="1" w:styleId="CommentSubjectChar">
    <w:name w:val="Comment Subject Char"/>
    <w:basedOn w:val="CommentTextChar"/>
    <w:link w:val="CommentSubject"/>
    <w:uiPriority w:val="99"/>
    <w:semiHidden/>
    <w:rsid w:val="001D48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77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426</Words>
  <Characters>2430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Ballard, Michelle</dc:creator>
  <cp:keywords/>
  <dc:description/>
  <cp:lastModifiedBy>McCabe, Michael</cp:lastModifiedBy>
  <cp:revision>2</cp:revision>
  <dcterms:created xsi:type="dcterms:W3CDTF">2023-04-18T19:51:00Z</dcterms:created>
  <dcterms:modified xsi:type="dcterms:W3CDTF">2023-04-18T19:51:00Z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2023-04-17T14:35:14Z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0316c645-fe79-4375-90c5-d8abfee6c24a</vt:lpwstr>
  </property>
  <property fmtid="{D5CDD505-2E9C-101B-9397-08002B2CF9AE}" pid="8" name="MSIP_Label_1665d9ee-429a-4d5f-97cc-cfb56e044a6e_ContentBits">
    <vt:lpwstr>0</vt:lpwstr>
  </property>
</Properties>
</file>