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Centers for Disease Control and Prevention (CDC)</w:t>
      </w: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Procurement and Grants Office</w:t>
      </w:r>
    </w:p>
    <w:p w:rsidR="00982A19" w:rsidRPr="00CD63C4" w:rsidRDefault="00982A19" w:rsidP="00982A19">
      <w:pPr>
        <w:spacing w:after="0" w:line="240" w:lineRule="auto"/>
        <w:jc w:val="center"/>
        <w:rPr>
          <w:rFonts w:ascii="Times New Roman" w:hAnsi="Times New Roman" w:cs="Times New Roman"/>
          <w:b/>
        </w:rPr>
      </w:pPr>
      <w:r w:rsidRPr="00CD63C4">
        <w:rPr>
          <w:rFonts w:ascii="Times New Roman" w:hAnsi="Times New Roman" w:cs="Times New Roman"/>
          <w:b/>
        </w:rPr>
        <w:t>Instructions for Preparing an Annual Performance Report (APR)</w:t>
      </w: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 xml:space="preserve">Catalog of Federal Domestic Assistance (CFDA): </w:t>
      </w:r>
      <w:sdt>
        <w:sdtPr>
          <w:rPr>
            <w:rFonts w:ascii="Times New Roman" w:hAnsi="Times New Roman" w:cs="Times New Roman"/>
          </w:rPr>
          <w:alias w:val="Enter CFDA Number"/>
          <w:tag w:val="Enter CFDA Number"/>
          <w:id w:val="40110242"/>
          <w:placeholder>
            <w:docPart w:val="982F4D7631FD4C52B88963402498C0BF"/>
          </w:placeholder>
        </w:sdtPr>
        <w:sdtEndPr/>
        <w:sdtContent>
          <w:r w:rsidR="00CF10A6" w:rsidRPr="00CD63C4">
            <w:rPr>
              <w:rFonts w:ascii="Times New Roman" w:hAnsi="Times New Roman" w:cs="Times New Roman"/>
            </w:rPr>
            <w:t>93.099 and 93.818</w:t>
          </w:r>
        </w:sdtContent>
      </w:sdt>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 xml:space="preserve">Funding Opportunity Announcement (FOA) Number*: </w:t>
      </w:r>
      <w:sdt>
        <w:sdtPr>
          <w:rPr>
            <w:rFonts w:ascii="Times New Roman" w:hAnsi="Times New Roman" w:cs="Times New Roman"/>
          </w:rPr>
          <w:alias w:val="Enter FOA Number"/>
          <w:tag w:val="Enter FOA Number"/>
          <w:id w:val="-719981039"/>
          <w:placeholder>
            <w:docPart w:val="02B9215E12A04142ACFC2CF0FAB61FDC"/>
          </w:placeholder>
        </w:sdtPr>
        <w:sdtEndPr/>
        <w:sdtContent>
          <w:r w:rsidR="00CD63C4" w:rsidRPr="00CD63C4">
            <w:rPr>
              <w:rFonts w:ascii="Times New Roman" w:hAnsi="Times New Roman" w:cs="Times New Roman"/>
            </w:rPr>
            <w:t>CDC-RFA-CK15-15050</w:t>
          </w:r>
          <w:r w:rsidR="00443497">
            <w:rPr>
              <w:rFonts w:ascii="Times New Roman" w:hAnsi="Times New Roman" w:cs="Times New Roman"/>
            </w:rPr>
            <w:t>7</w:t>
          </w:r>
          <w:r w:rsidR="00DB39A5">
            <w:rPr>
              <w:rFonts w:ascii="Times New Roman" w:hAnsi="Times New Roman" w:cs="Times New Roman"/>
            </w:rPr>
            <w:t>SUPP</w:t>
          </w:r>
          <w:r w:rsidR="005E3F46">
            <w:rPr>
              <w:rFonts w:ascii="Times New Roman" w:hAnsi="Times New Roman" w:cs="Times New Roman"/>
            </w:rPr>
            <w:t>17</w:t>
          </w:r>
        </w:sdtContent>
      </w:sdt>
    </w:p>
    <w:sdt>
      <w:sdtPr>
        <w:rPr>
          <w:rFonts w:ascii="Times New Roman" w:hAnsi="Times New Roman" w:cs="Times New Roman"/>
          <w:b/>
        </w:rPr>
        <w:alias w:val="Enter Title of FOA"/>
        <w:tag w:val="Enter Title of FOA"/>
        <w:id w:val="1443572460"/>
        <w:placeholder>
          <w:docPart w:val="DBCA26D7DFAF4C3A90BEB8A69C302CCC"/>
        </w:placeholder>
      </w:sdtPr>
      <w:sdtEndPr/>
      <w:sdtContent>
        <w:p w:rsidR="00CD63C4" w:rsidRPr="00CD63C4" w:rsidRDefault="00CD63C4" w:rsidP="00CD63C4">
          <w:pPr>
            <w:spacing w:after="0" w:line="240" w:lineRule="auto"/>
            <w:jc w:val="center"/>
            <w:rPr>
              <w:rFonts w:ascii="Times New Roman" w:hAnsi="Times New Roman" w:cs="Times New Roman"/>
            </w:rPr>
          </w:pPr>
          <w:r w:rsidRPr="00CD63C4">
            <w:rPr>
              <w:rFonts w:ascii="Times New Roman" w:eastAsia="Times New Roman" w:hAnsi="Times New Roman" w:cs="Times New Roman"/>
            </w:rPr>
            <w:t>Addressing</w:t>
          </w:r>
          <w:r w:rsidRPr="00CD63C4">
            <w:rPr>
              <w:rFonts w:ascii="Times New Roman" w:eastAsia="Times New Roman" w:hAnsi="Times New Roman" w:cs="Times New Roman"/>
              <w:spacing w:val="-11"/>
            </w:rPr>
            <w:t xml:space="preserve"> </w:t>
          </w:r>
          <w:r w:rsidRPr="00CD63C4">
            <w:rPr>
              <w:rFonts w:ascii="Times New Roman" w:eastAsia="Times New Roman" w:hAnsi="Times New Roman" w:cs="Times New Roman"/>
            </w:rPr>
            <w:t>Ebola</w:t>
          </w:r>
          <w:r w:rsidRPr="00CD63C4">
            <w:rPr>
              <w:rFonts w:ascii="Times New Roman" w:eastAsia="Times New Roman" w:hAnsi="Times New Roman" w:cs="Times New Roman"/>
              <w:spacing w:val="-6"/>
            </w:rPr>
            <w:t xml:space="preserve"> </w:t>
          </w:r>
          <w:r w:rsidRPr="00CD63C4">
            <w:rPr>
              <w:rFonts w:ascii="Times New Roman" w:eastAsia="Times New Roman" w:hAnsi="Times New Roman" w:cs="Times New Roman"/>
            </w:rPr>
            <w:t>and</w:t>
          </w:r>
          <w:r w:rsidRPr="00CD63C4">
            <w:rPr>
              <w:rFonts w:ascii="Times New Roman" w:eastAsia="Times New Roman" w:hAnsi="Times New Roman" w:cs="Times New Roman"/>
              <w:spacing w:val="-3"/>
            </w:rPr>
            <w:t xml:space="preserve"> </w:t>
          </w:r>
          <w:r w:rsidRPr="00CD63C4">
            <w:rPr>
              <w:rFonts w:ascii="Times New Roman" w:eastAsia="Times New Roman" w:hAnsi="Times New Roman" w:cs="Times New Roman"/>
            </w:rPr>
            <w:t>other</w:t>
          </w:r>
          <w:r w:rsidRPr="00CD63C4">
            <w:rPr>
              <w:rFonts w:ascii="Times New Roman" w:eastAsia="Times New Roman" w:hAnsi="Times New Roman" w:cs="Times New Roman"/>
              <w:spacing w:val="-5"/>
            </w:rPr>
            <w:t xml:space="preserve"> </w:t>
          </w:r>
          <w:r w:rsidRPr="00CD63C4">
            <w:rPr>
              <w:rFonts w:ascii="Times New Roman" w:eastAsia="Times New Roman" w:hAnsi="Times New Roman" w:cs="Times New Roman"/>
            </w:rPr>
            <w:t>Highly</w:t>
          </w:r>
          <w:r w:rsidRPr="00CD63C4">
            <w:rPr>
              <w:rFonts w:ascii="Times New Roman" w:eastAsia="Times New Roman" w:hAnsi="Times New Roman" w:cs="Times New Roman"/>
              <w:spacing w:val="-7"/>
            </w:rPr>
            <w:t xml:space="preserve"> </w:t>
          </w:r>
          <w:r w:rsidRPr="00CD63C4">
            <w:rPr>
              <w:rFonts w:ascii="Times New Roman" w:eastAsia="Times New Roman" w:hAnsi="Times New Roman" w:cs="Times New Roman"/>
            </w:rPr>
            <w:t>Infectious</w:t>
          </w:r>
          <w:r w:rsidRPr="00CD63C4">
            <w:rPr>
              <w:rFonts w:ascii="Times New Roman" w:eastAsia="Times New Roman" w:hAnsi="Times New Roman" w:cs="Times New Roman"/>
              <w:spacing w:val="-10"/>
            </w:rPr>
            <w:t xml:space="preserve"> </w:t>
          </w:r>
          <w:r w:rsidRPr="00CD63C4">
            <w:rPr>
              <w:rFonts w:ascii="Times New Roman" w:eastAsia="Times New Roman" w:hAnsi="Times New Roman" w:cs="Times New Roman"/>
            </w:rPr>
            <w:t>Diseases</w:t>
          </w:r>
          <w:r w:rsidRPr="00CD63C4">
            <w:rPr>
              <w:rFonts w:ascii="Times New Roman" w:eastAsia="Times New Roman" w:hAnsi="Times New Roman" w:cs="Times New Roman"/>
              <w:spacing w:val="-8"/>
            </w:rPr>
            <w:t xml:space="preserve"> </w:t>
          </w:r>
          <w:r w:rsidRPr="00CD63C4">
            <w:rPr>
              <w:rFonts w:ascii="Times New Roman" w:eastAsia="Times New Roman" w:hAnsi="Times New Roman" w:cs="Times New Roman"/>
              <w:w w:val="99"/>
            </w:rPr>
            <w:t>Internationally</w:t>
          </w:r>
          <w:r w:rsidRPr="00CD63C4">
            <w:rPr>
              <w:rFonts w:ascii="Times New Roman" w:hAnsi="Times New Roman" w:cs="Times New Roman"/>
            </w:rPr>
            <w:t xml:space="preserve">, </w:t>
          </w:r>
        </w:p>
        <w:p w:rsidR="00982A19" w:rsidRDefault="008433E3" w:rsidP="00CD63C4">
          <w:pPr>
            <w:spacing w:after="0" w:line="240" w:lineRule="auto"/>
            <w:jc w:val="center"/>
            <w:rPr>
              <w:rFonts w:ascii="Times New Roman" w:hAnsi="Times New Roman" w:cs="Times New Roman"/>
              <w:sz w:val="24"/>
              <w:szCs w:val="24"/>
            </w:rPr>
          </w:pPr>
          <w:r>
            <w:rPr>
              <w:rFonts w:ascii="Times New Roman" w:hAnsi="Times New Roman" w:cs="Times New Roman"/>
            </w:rPr>
            <w:t>Grant Number 6NU50GH001894-01</w:t>
          </w:r>
        </w:p>
      </w:sdtContent>
    </w:sdt>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sidRPr="00CD63C4">
        <w:rPr>
          <w:rFonts w:ascii="Times New Roman" w:hAnsi="Times New Roman" w:cs="Times New Roman"/>
          <w:sz w:val="24"/>
          <w:szCs w:val="24"/>
        </w:rPr>
        <w:t>This award will be a continua</w:t>
      </w:r>
      <w:r w:rsidR="00914C7E">
        <w:rPr>
          <w:rFonts w:ascii="Times New Roman" w:hAnsi="Times New Roman" w:cs="Times New Roman"/>
          <w:sz w:val="24"/>
          <w:szCs w:val="24"/>
        </w:rPr>
        <w:t>tion of funds intended only for the recipient p</w:t>
      </w:r>
      <w:r w:rsidRPr="00CD63C4">
        <w:rPr>
          <w:rFonts w:ascii="Times New Roman" w:hAnsi="Times New Roman" w:cs="Times New Roman"/>
          <w:sz w:val="24"/>
          <w:szCs w:val="24"/>
        </w:rPr>
        <w:t xml:space="preserve">reviously awarded under </w:t>
      </w:r>
      <w:sdt>
        <w:sdtPr>
          <w:rPr>
            <w:rFonts w:ascii="Times New Roman" w:hAnsi="Times New Roman" w:cs="Times New Roman"/>
            <w:sz w:val="24"/>
            <w:szCs w:val="24"/>
          </w:rPr>
          <w:alias w:val="Enter Name and Number of FOA"/>
          <w:tag w:val="Enter Name and Number of FOA"/>
          <w:id w:val="1232969666"/>
          <w:placeholder>
            <w:docPart w:val="6ED7220C82574972B4E9E850DC9FD1D2"/>
          </w:placeholder>
        </w:sdtPr>
        <w:sdtEndPr>
          <w:rPr>
            <w:b/>
          </w:rPr>
        </w:sdtEndPr>
        <w:sdtContent>
          <w:sdt>
            <w:sdtPr>
              <w:rPr>
                <w:rFonts w:ascii="Times New Roman" w:hAnsi="Times New Roman" w:cs="Times New Roman"/>
              </w:rPr>
              <w:alias w:val="Enter Title of FOA"/>
              <w:tag w:val="Enter Title of FOA"/>
              <w:id w:val="-929191794"/>
              <w:placeholder>
                <w:docPart w:val="649F1D2088F94AC988F2CE4A01947434"/>
              </w:placeholder>
            </w:sdtPr>
            <w:sdtEndPr/>
            <w:sdtContent>
              <w:r w:rsidR="00CD63C4" w:rsidRPr="00CD63C4">
                <w:rPr>
                  <w:rFonts w:ascii="Times New Roman" w:hAnsi="Times New Roman" w:cs="Times New Roman"/>
                </w:rPr>
                <w:t xml:space="preserve">CDC-RFA-CK15-1505, </w:t>
              </w:r>
              <w:r w:rsidR="00CD63C4" w:rsidRPr="00CD63C4">
                <w:rPr>
                  <w:rFonts w:ascii="Times New Roman" w:eastAsia="Times New Roman" w:hAnsi="Times New Roman" w:cs="Times New Roman"/>
                </w:rPr>
                <w:t>Addressing</w:t>
              </w:r>
              <w:r w:rsidR="00CD63C4" w:rsidRPr="00CD63C4">
                <w:rPr>
                  <w:rFonts w:ascii="Times New Roman" w:eastAsia="Times New Roman" w:hAnsi="Times New Roman" w:cs="Times New Roman"/>
                  <w:spacing w:val="-11"/>
                </w:rPr>
                <w:t xml:space="preserve"> </w:t>
              </w:r>
              <w:r w:rsidR="00CD63C4" w:rsidRPr="00CD63C4">
                <w:rPr>
                  <w:rFonts w:ascii="Times New Roman" w:eastAsia="Times New Roman" w:hAnsi="Times New Roman" w:cs="Times New Roman"/>
                </w:rPr>
                <w:t>Ebola</w:t>
              </w:r>
              <w:r w:rsidR="00CD63C4" w:rsidRPr="00CD63C4">
                <w:rPr>
                  <w:rFonts w:ascii="Times New Roman" w:eastAsia="Times New Roman" w:hAnsi="Times New Roman" w:cs="Times New Roman"/>
                  <w:spacing w:val="-6"/>
                </w:rPr>
                <w:t xml:space="preserve"> </w:t>
              </w:r>
              <w:r w:rsidR="00CD63C4" w:rsidRPr="00CD63C4">
                <w:rPr>
                  <w:rFonts w:ascii="Times New Roman" w:eastAsia="Times New Roman" w:hAnsi="Times New Roman" w:cs="Times New Roman"/>
                </w:rPr>
                <w:t>and</w:t>
              </w:r>
              <w:r w:rsidR="00CD63C4" w:rsidRPr="00CD63C4">
                <w:rPr>
                  <w:rFonts w:ascii="Times New Roman" w:eastAsia="Times New Roman" w:hAnsi="Times New Roman" w:cs="Times New Roman"/>
                  <w:spacing w:val="-3"/>
                </w:rPr>
                <w:t xml:space="preserve"> </w:t>
              </w:r>
              <w:r w:rsidR="00CD63C4" w:rsidRPr="00CD63C4">
                <w:rPr>
                  <w:rFonts w:ascii="Times New Roman" w:eastAsia="Times New Roman" w:hAnsi="Times New Roman" w:cs="Times New Roman"/>
                </w:rPr>
                <w:t>other</w:t>
              </w:r>
              <w:r w:rsidR="00CD63C4" w:rsidRPr="00CD63C4">
                <w:rPr>
                  <w:rFonts w:ascii="Times New Roman" w:eastAsia="Times New Roman" w:hAnsi="Times New Roman" w:cs="Times New Roman"/>
                  <w:spacing w:val="-5"/>
                </w:rPr>
                <w:t xml:space="preserve"> </w:t>
              </w:r>
              <w:r w:rsidR="00CD63C4" w:rsidRPr="00CD63C4">
                <w:rPr>
                  <w:rFonts w:ascii="Times New Roman" w:eastAsia="Times New Roman" w:hAnsi="Times New Roman" w:cs="Times New Roman"/>
                </w:rPr>
                <w:t>Highly</w:t>
              </w:r>
              <w:r w:rsidR="00CD63C4" w:rsidRPr="00CD63C4">
                <w:rPr>
                  <w:rFonts w:ascii="Times New Roman" w:eastAsia="Times New Roman" w:hAnsi="Times New Roman" w:cs="Times New Roman"/>
                  <w:spacing w:val="-7"/>
                </w:rPr>
                <w:t xml:space="preserve"> </w:t>
              </w:r>
              <w:r w:rsidR="00CD63C4" w:rsidRPr="00CD63C4">
                <w:rPr>
                  <w:rFonts w:ascii="Times New Roman" w:eastAsia="Times New Roman" w:hAnsi="Times New Roman" w:cs="Times New Roman"/>
                </w:rPr>
                <w:t>Infectious</w:t>
              </w:r>
              <w:r w:rsidR="00CD63C4" w:rsidRPr="00CD63C4">
                <w:rPr>
                  <w:rFonts w:ascii="Times New Roman" w:eastAsia="Times New Roman" w:hAnsi="Times New Roman" w:cs="Times New Roman"/>
                  <w:spacing w:val="-10"/>
                </w:rPr>
                <w:t xml:space="preserve"> </w:t>
              </w:r>
              <w:r w:rsidR="00CD63C4" w:rsidRPr="00CD63C4">
                <w:rPr>
                  <w:rFonts w:ascii="Times New Roman" w:eastAsia="Times New Roman" w:hAnsi="Times New Roman" w:cs="Times New Roman"/>
                </w:rPr>
                <w:t>Diseases</w:t>
              </w:r>
              <w:r w:rsidR="00CD63C4" w:rsidRPr="00CD63C4">
                <w:rPr>
                  <w:rFonts w:ascii="Times New Roman" w:eastAsia="Times New Roman" w:hAnsi="Times New Roman" w:cs="Times New Roman"/>
                  <w:spacing w:val="-8"/>
                </w:rPr>
                <w:t xml:space="preserve"> </w:t>
              </w:r>
              <w:r w:rsidR="00CD63C4" w:rsidRPr="00CD63C4">
                <w:rPr>
                  <w:rFonts w:ascii="Times New Roman" w:eastAsia="Times New Roman" w:hAnsi="Times New Roman" w:cs="Times New Roman"/>
                  <w:w w:val="99"/>
                </w:rPr>
                <w:t>Internationally</w:t>
              </w:r>
              <w:r w:rsidR="008433E3">
                <w:rPr>
                  <w:rFonts w:ascii="Times New Roman" w:hAnsi="Times New Roman" w:cs="Times New Roman"/>
                </w:rPr>
                <w:t>, Grant Number 6NU50GH001894-01</w:t>
              </w:r>
              <w:r w:rsidR="00914C7E">
                <w:rPr>
                  <w:rFonts w:ascii="Times New Roman" w:hAnsi="Times New Roman" w:cs="Times New Roman"/>
                </w:rPr>
                <w:t>.</w:t>
              </w:r>
            </w:sdtContent>
          </w:sdt>
          <w:r w:rsidR="00CD63C4">
            <w:rPr>
              <w:rFonts w:ascii="Times New Roman" w:hAnsi="Times New Roman" w:cs="Times New Roman"/>
              <w:b/>
            </w:rPr>
            <w:t xml:space="preserve"> </w:t>
          </w:r>
        </w:sdtContent>
      </w:sdt>
    </w:p>
    <w:p w:rsidR="00914C7E" w:rsidRDefault="00914C7E" w:rsidP="007A0DC8">
      <w:pPr>
        <w:spacing w:after="0" w:line="240" w:lineRule="auto"/>
        <w:rPr>
          <w:rFonts w:ascii="Times New Roman" w:hAnsi="Times New Roman" w:cs="Times New Roman"/>
          <w:sz w:val="24"/>
          <w:szCs w:val="24"/>
        </w:rPr>
      </w:pPr>
    </w:p>
    <w:p w:rsidR="00914C7E" w:rsidRPr="00914C7E" w:rsidRDefault="00914C7E" w:rsidP="007A0D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contact the assigned </w:t>
      </w:r>
      <w:r w:rsidR="004F3128">
        <w:rPr>
          <w:rFonts w:ascii="Times New Roman" w:hAnsi="Times New Roman" w:cs="Times New Roman"/>
          <w:sz w:val="24"/>
          <w:szCs w:val="24"/>
        </w:rPr>
        <w:t xml:space="preserve">Grants Management Specialist/Officer or Project Officer if there are any questions.  Due date is </w:t>
      </w:r>
      <w:r w:rsidR="004F3128" w:rsidRPr="00EA4272">
        <w:rPr>
          <w:rFonts w:ascii="Times New Roman" w:hAnsi="Times New Roman" w:cs="Times New Roman"/>
          <w:b/>
          <w:sz w:val="24"/>
          <w:szCs w:val="24"/>
        </w:rPr>
        <w:t>September 21, 2017</w:t>
      </w:r>
      <w:r w:rsidR="00EA4272">
        <w:rPr>
          <w:rFonts w:ascii="Times New Roman" w:hAnsi="Times New Roman" w:cs="Times New Roman"/>
          <w:b/>
          <w:sz w:val="24"/>
          <w:szCs w:val="24"/>
        </w:rPr>
        <w:t xml:space="preserve"> </w:t>
      </w:r>
      <w:bookmarkStart w:id="0" w:name="_GoBack"/>
      <w:bookmarkEnd w:id="0"/>
      <w:r w:rsidR="00EA4272">
        <w:rPr>
          <w:rFonts w:ascii="Times New Roman" w:hAnsi="Times New Roman" w:cs="Times New Roman"/>
          <w:b/>
          <w:sz w:val="24"/>
          <w:szCs w:val="24"/>
        </w:rPr>
        <w:t>by 11:59 PM on Grants.gov</w:t>
      </w:r>
      <w:r w:rsidR="004F3128">
        <w:rPr>
          <w:rFonts w:ascii="Times New Roman" w:hAnsi="Times New Roman" w:cs="Times New Roman"/>
          <w:sz w:val="24"/>
          <w:szCs w:val="24"/>
        </w:rPr>
        <w:t>.</w:t>
      </w:r>
      <w:r>
        <w:rPr>
          <w:rFonts w:ascii="Times New Roman" w:hAnsi="Times New Roman" w:cs="Times New Roman"/>
          <w:sz w:val="24"/>
          <w:szCs w:val="24"/>
        </w:rPr>
        <w:t xml:space="preserve"> </w:t>
      </w:r>
    </w:p>
    <w:p w:rsidR="00914C7E" w:rsidRDefault="00914C7E" w:rsidP="007A0DC8">
      <w:pPr>
        <w:spacing w:after="0" w:line="240" w:lineRule="auto"/>
        <w:rPr>
          <w:rFonts w:ascii="Times New Roman" w:hAnsi="Times New Roman" w:cs="Times New Roman"/>
          <w:b/>
          <w:sz w:val="24"/>
          <w:szCs w:val="24"/>
        </w:rPr>
      </w:pPr>
    </w:p>
    <w:p w:rsidR="007A0DC8" w:rsidRDefault="00360A6C"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w:t>
      </w:r>
      <w:r w:rsidR="007A0DC8">
        <w:rPr>
          <w:rFonts w:ascii="Times New Roman" w:hAnsi="Times New Roman" w:cs="Times New Roman"/>
          <w:b/>
          <w:sz w:val="24"/>
          <w:szCs w:val="24"/>
        </w:rPr>
        <w:t>pplication Submission:</w:t>
      </w:r>
    </w:p>
    <w:p w:rsidR="007A0DC8" w:rsidRDefault="007A0DC8" w:rsidP="007F5E8D">
      <w:pPr>
        <w:spacing w:after="0" w:line="240" w:lineRule="auto"/>
        <w:rPr>
          <w:rFonts w:ascii="Times New Roman" w:hAnsi="Times New Roman" w:cs="Times New Roman"/>
          <w:b/>
          <w:sz w:val="24"/>
          <w:szCs w:val="24"/>
        </w:rPr>
      </w:pPr>
    </w:p>
    <w:p w:rsidR="007A0DC8" w:rsidRDefault="00BB5BBA"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w:t>
      </w:r>
      <w:r w:rsidR="007A0DC8">
        <w:rPr>
          <w:rFonts w:ascii="Times New Roman" w:hAnsi="Times New Roman" w:cs="Times New Roman"/>
          <w:b/>
          <w:sz w:val="24"/>
          <w:szCs w:val="24"/>
        </w:rPr>
        <w:t>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CD63C4"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 xml:space="preserve">The application must not </w:t>
      </w:r>
      <w:r w:rsidR="0025068D" w:rsidRPr="0025068D">
        <w:rPr>
          <w:rFonts w:ascii="Times New Roman" w:eastAsia="Times New Roman" w:hAnsi="Times New Roman" w:cs="Times New Roman"/>
          <w:sz w:val="24"/>
          <w:szCs w:val="24"/>
        </w:rPr>
        <w:t>exceed 45 pages excluding administrative reporting;</w:t>
      </w:r>
      <w:r w:rsidR="0025068D">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3"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4"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lastRenderedPageBreak/>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9E4BC4">
            <w:rPr>
              <w:rFonts w:ascii="Times New Roman" w:hAnsi="Times New Roman" w:cs="Times New Roman"/>
              <w:sz w:val="24"/>
              <w:szCs w:val="24"/>
            </w:rPr>
            <w:t>CDC-RFA-CK1</w:t>
          </w:r>
          <w:r w:rsidR="00443497">
            <w:rPr>
              <w:rFonts w:ascii="Times New Roman" w:hAnsi="Times New Roman" w:cs="Times New Roman"/>
              <w:sz w:val="24"/>
              <w:szCs w:val="24"/>
            </w:rPr>
            <w:t>5-150507</w:t>
          </w:r>
          <w:r w:rsidR="00861EBC">
            <w:rPr>
              <w:rFonts w:ascii="Times New Roman" w:hAnsi="Times New Roman" w:cs="Times New Roman"/>
              <w:sz w:val="24"/>
              <w:szCs w:val="24"/>
            </w:rPr>
            <w:t>SUPP</w:t>
          </w:r>
          <w:r w:rsidR="009E4BC4">
            <w:rPr>
              <w:rFonts w:ascii="Times New Roman" w:hAnsi="Times New Roman" w:cs="Times New Roman"/>
              <w:sz w:val="24"/>
              <w:szCs w:val="24"/>
            </w:rPr>
            <w:t>1</w:t>
          </w:r>
          <w:r w:rsidR="00861EBC">
            <w:rPr>
              <w:rFonts w:ascii="Times New Roman" w:hAnsi="Times New Roman" w:cs="Times New Roman"/>
              <w:sz w:val="24"/>
              <w:szCs w:val="24"/>
            </w:rPr>
            <w:t>7</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5"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6"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7"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360A6C"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w:t>
      </w:r>
      <w:r w:rsidR="005C552C">
        <w:rPr>
          <w:rFonts w:ascii="Times New Roman" w:hAnsi="Times New Roman" w:cs="Times New Roman"/>
          <w:b/>
          <w:bCs/>
          <w:sz w:val="24"/>
          <w:szCs w:val="24"/>
          <w:u w:val="single"/>
        </w:rPr>
        <w:t>s</w:t>
      </w:r>
      <w:r w:rsidR="00360A6C">
        <w:rPr>
          <w:rFonts w:ascii="Times New Roman" w:hAnsi="Times New Roman" w:cs="Times New Roman"/>
          <w:b/>
          <w:bCs/>
          <w:sz w:val="24"/>
          <w:szCs w:val="24"/>
          <w:u w:val="single"/>
        </w:rPr>
        <w:t>/</w:t>
      </w:r>
      <w:r w:rsidR="00862CC1">
        <w:rPr>
          <w:rFonts w:ascii="Times New Roman" w:hAnsi="Times New Roman" w:cs="Times New Roman"/>
          <w:b/>
          <w:bCs/>
          <w:sz w:val="24"/>
          <w:szCs w:val="24"/>
          <w:u w:val="single"/>
        </w:rPr>
        <w:t>Activities</w:t>
      </w:r>
      <w:r w:rsidR="005C552C">
        <w:rPr>
          <w:rFonts w:ascii="Times New Roman" w:hAnsi="Times New Roman" w:cs="Times New Roman"/>
          <w:b/>
          <w:bCs/>
          <w:sz w:val="24"/>
          <w:szCs w:val="24"/>
          <w:u w:val="single"/>
        </w:rPr>
        <w:t xml:space="preserve"> Requested </w:t>
      </w:r>
      <w:r w:rsidR="00862CC1">
        <w:rPr>
          <w:rFonts w:ascii="Times New Roman" w:hAnsi="Times New Roman" w:cs="Times New Roman"/>
          <w:b/>
          <w:bCs/>
          <w:sz w:val="24"/>
          <w:szCs w:val="24"/>
          <w:u w:val="single"/>
        </w:rPr>
        <w:t xml:space="preserve">and </w:t>
      </w:r>
      <w:r w:rsidR="00862CC1" w:rsidRPr="0025068D">
        <w:rPr>
          <w:rFonts w:ascii="Times New Roman" w:hAnsi="Times New Roman" w:cs="Times New Roman"/>
          <w:b/>
          <w:bCs/>
          <w:sz w:val="24"/>
          <w:szCs w:val="24"/>
          <w:u w:val="single"/>
        </w:rPr>
        <w:t>Narrative</w:t>
      </w:r>
      <w:r w:rsidR="005C552C">
        <w:rPr>
          <w:rFonts w:ascii="Times New Roman" w:hAnsi="Times New Roman" w:cs="Times New Roman"/>
          <w:b/>
          <w:bCs/>
          <w:sz w:val="24"/>
          <w:szCs w:val="24"/>
          <w:u w:val="single"/>
        </w:rPr>
        <w:t xml:space="preserve"> Instructions</w:t>
      </w:r>
      <w:r w:rsidRPr="0025068D">
        <w:rPr>
          <w:rFonts w:ascii="Times New Roman" w:hAnsi="Times New Roman" w:cs="Times New Roman"/>
          <w:b/>
          <w:bCs/>
          <w:sz w:val="24"/>
          <w:szCs w:val="24"/>
        </w:rPr>
        <w:t xml:space="preserve">: </w:t>
      </w:r>
    </w:p>
    <w:p w:rsidR="00360A6C" w:rsidRDefault="00360A6C" w:rsidP="0025068D">
      <w:pPr>
        <w:spacing w:after="0" w:line="240" w:lineRule="auto"/>
        <w:rPr>
          <w:rFonts w:ascii="Times New Roman" w:hAnsi="Times New Roman" w:cs="Times New Roman"/>
          <w:bCs/>
          <w:sz w:val="24"/>
          <w:szCs w:val="24"/>
        </w:rPr>
      </w:pPr>
    </w:p>
    <w:p w:rsidR="005C552C" w:rsidRPr="00360A6C" w:rsidRDefault="005C552C" w:rsidP="0025068D">
      <w:pPr>
        <w:spacing w:after="0" w:line="240" w:lineRule="auto"/>
        <w:rPr>
          <w:rFonts w:ascii="Times New Roman" w:hAnsi="Times New Roman" w:cs="Times New Roman"/>
          <w:b/>
          <w:bCs/>
          <w:sz w:val="24"/>
          <w:szCs w:val="24"/>
        </w:rPr>
      </w:pPr>
      <w:r w:rsidRPr="005C552C">
        <w:rPr>
          <w:rFonts w:ascii="Times New Roman" w:hAnsi="Times New Roman" w:cs="Times New Roman"/>
          <w:bCs/>
          <w:sz w:val="24"/>
          <w:szCs w:val="24"/>
        </w:rPr>
        <w:t>The following projects and activities are requested under this solicitation:</w:t>
      </w:r>
    </w:p>
    <w:p w:rsidR="005C552C" w:rsidRPr="0025068D" w:rsidRDefault="005C552C" w:rsidP="0025068D">
      <w:pPr>
        <w:spacing w:after="0" w:line="240" w:lineRule="auto"/>
        <w:rPr>
          <w:rFonts w:ascii="Times New Roman" w:hAnsi="Times New Roman" w:cs="Times New Roman"/>
          <w:b/>
          <w:bCs/>
          <w:sz w:val="24"/>
          <w:szCs w:val="24"/>
          <w:u w:val="single"/>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6750"/>
        <w:gridCol w:w="1170"/>
      </w:tblGrid>
      <w:tr w:rsidR="001E10CD" w:rsidTr="001E10CD">
        <w:trPr>
          <w:trHeight w:val="915"/>
        </w:trPr>
        <w:tc>
          <w:tcPr>
            <w:tcW w:w="1890" w:type="dxa"/>
            <w:tcBorders>
              <w:top w:val="single" w:sz="4" w:space="0" w:color="auto"/>
              <w:left w:val="single" w:sz="4" w:space="0" w:color="auto"/>
              <w:bottom w:val="single" w:sz="4" w:space="0" w:color="auto"/>
              <w:right w:val="single" w:sz="4" w:space="0" w:color="auto"/>
            </w:tcBorders>
            <w:noWrap/>
            <w:vAlign w:val="bottom"/>
            <w:hideMark/>
          </w:tcPr>
          <w:p w:rsidR="001E10CD" w:rsidRDefault="001E10CD">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Project Title</w:t>
            </w:r>
          </w:p>
        </w:tc>
        <w:tc>
          <w:tcPr>
            <w:tcW w:w="6750" w:type="dxa"/>
            <w:tcBorders>
              <w:top w:val="single" w:sz="4" w:space="0" w:color="auto"/>
              <w:left w:val="single" w:sz="4" w:space="0" w:color="auto"/>
              <w:bottom w:val="single" w:sz="4" w:space="0" w:color="auto"/>
              <w:right w:val="single" w:sz="4" w:space="0" w:color="auto"/>
            </w:tcBorders>
            <w:noWrap/>
            <w:vAlign w:val="bottom"/>
            <w:hideMark/>
          </w:tcPr>
          <w:p w:rsidR="001E10CD" w:rsidRDefault="001E10CD">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Activities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b/>
                <w:bCs/>
                <w:color w:val="000000"/>
              </w:rPr>
            </w:pPr>
            <w:r>
              <w:rPr>
                <w:rFonts w:ascii="Calibri" w:hAnsi="Calibri"/>
                <w:b/>
                <w:bCs/>
                <w:color w:val="000000"/>
              </w:rPr>
              <w:t>Country/Office</w:t>
            </w:r>
          </w:p>
        </w:tc>
      </w:tr>
      <w:tr w:rsidR="001E10CD" w:rsidTr="001E10CD">
        <w:trPr>
          <w:trHeight w:val="33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Finalization of technical guidance document “Public Health Capacity Development at Ground Crossings and Cross-Border Collaboration."</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The “Public Health Capacity Development at Ground Crossings and Cross-Border Collaboration" guidance document is being written jointly by the WHO and CDC and it is anticipated that, once finalized and cleared, it may become an annex to the International Health Regulations. WHO requires that global guidance documents go through a rigorous multinational subject matter expert review prior to clearance and </w:t>
            </w:r>
            <w:proofErr w:type="gramStart"/>
            <w:r>
              <w:rPr>
                <w:rFonts w:ascii="Calibri" w:eastAsia="Times New Roman" w:hAnsi="Calibri" w:cs="Times New Roman"/>
                <w:color w:val="000000"/>
              </w:rPr>
              <w:t>publication.</w:t>
            </w:r>
            <w:proofErr w:type="gramEnd"/>
            <w:r>
              <w:rPr>
                <w:rFonts w:ascii="Calibri" w:eastAsia="Times New Roman" w:hAnsi="Calibri" w:cs="Times New Roman"/>
                <w:color w:val="000000"/>
              </w:rPr>
              <w:t xml:space="preserve"> WHO currently does not have funding to support the expert consultation workshops and follow-up </w:t>
            </w:r>
            <w:proofErr w:type="gramStart"/>
            <w:r>
              <w:rPr>
                <w:rFonts w:ascii="Calibri" w:eastAsia="Times New Roman" w:hAnsi="Calibri" w:cs="Times New Roman"/>
                <w:color w:val="000000"/>
              </w:rPr>
              <w:t>activities.</w:t>
            </w:r>
            <w:proofErr w:type="gramEnd"/>
            <w:r>
              <w:rPr>
                <w:rFonts w:ascii="Calibri" w:eastAsia="Times New Roman" w:hAnsi="Calibri" w:cs="Times New Roman"/>
                <w:color w:val="000000"/>
              </w:rPr>
              <w:t xml:space="preserve"> This project seeks to support workshops and other activities that will enable the expert reviewers to convene and come to consensus on the Handbook's content so that the guidance document can be finalized and cleared by the WHO.</w:t>
            </w:r>
            <w:r>
              <w:rPr>
                <w:rFonts w:ascii="Calibri" w:eastAsia="Times New Roman" w:hAnsi="Calibri" w:cs="Times New Roman"/>
                <w:color w:val="000000"/>
              </w:rPr>
              <w:br/>
            </w:r>
            <w:r>
              <w:rPr>
                <w:rFonts w:ascii="Calibri" w:eastAsia="Times New Roman" w:hAnsi="Calibri" w:cs="Times New Roman"/>
                <w:color w:val="000000"/>
              </w:rPr>
              <w:br/>
              <w:t xml:space="preserve">(Collaborating WHO unit is the Point-of-Entry group within the Health Emergencies </w:t>
            </w:r>
            <w:proofErr w:type="spellStart"/>
            <w:r>
              <w:rPr>
                <w:rFonts w:ascii="Calibri" w:eastAsia="Times New Roman" w:hAnsi="Calibri" w:cs="Times New Roman"/>
                <w:color w:val="000000"/>
              </w:rPr>
              <w:t>Programme</w:t>
            </w:r>
            <w:proofErr w:type="spellEnd"/>
            <w:r>
              <w:rPr>
                <w:rFonts w:ascii="Calibri" w:eastAsia="Times New Roman" w:hAnsi="Calibri" w:cs="Times New Roman"/>
                <w:color w:val="000000"/>
              </w:rPr>
              <w:t>)</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WHO-Lyon</w:t>
            </w:r>
          </w:p>
        </w:tc>
      </w:tr>
      <w:tr w:rsidR="001E10CD" w:rsidTr="001E10CD">
        <w:trPr>
          <w:trHeight w:val="54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Ebola ring vaccination preparedness in Guinea, Liberia and Sierra Leone</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The goal of the project is to provide continued support for Guinea, Liberia and Sierra Leone, countries at highest risk of future Ebola outbreaks, to prepare for successful Ebola vaccine deployment during 2017-2019, the pre-licensure time period.  The specific objectives of pre-licensure emergency response vaccine deployment planning include: 1) assistance with submission of the vaccine protocol to regulatory authorities; 2) assessment and strengthening (which may include purchasing) of cold chain resources to support VSV vaccine storage at -60C; 3) mapping vaccine deployment logistics; 4) training of in-country staff as needed for ring vaccine preparedness; 5) integration of ring vaccination into country-specific response plans.  The project would provide funding for protocol training of local staff including specific training for EPI staff on vaccine storage and transport and social mobilizers improving local capacity to manage vaccine implementation in the future.  </w:t>
            </w:r>
            <w:r>
              <w:rPr>
                <w:rFonts w:ascii="Calibri" w:eastAsia="Times New Roman" w:hAnsi="Calibri" w:cs="Times New Roman"/>
                <w:color w:val="000000"/>
              </w:rPr>
              <w:br/>
            </w:r>
            <w:r>
              <w:rPr>
                <w:rFonts w:ascii="Calibri" w:eastAsia="Times New Roman" w:hAnsi="Calibri" w:cs="Times New Roman"/>
                <w:color w:val="000000"/>
              </w:rPr>
              <w:br/>
              <w:t>A key concept of Ebola vaccine implementation is that it must be integrated within Ebola response activities.  Therefore the project includes additional objectives to support integration of vaccine activities into the National Ebola Response plans in each country using WHO consultants to assist in updating language in the National EVD response plans.  Additionally, the project proposes support for one emergency response exercise including ring vaccination in each country to ensure a well-trained workforce and incident command system.</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Liberia</w:t>
            </w:r>
          </w:p>
        </w:tc>
      </w:tr>
      <w:tr w:rsidR="001E10CD" w:rsidTr="001E10CD">
        <w:trPr>
          <w:trHeight w:val="27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International Food Safety Authorities Network (INFOSAN) – Meeting of the INFOSAN Advocates.</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As with other public health issues, a few advanced economies are leading the development of food safety systems and are vocal advocates for more international collaboration in the area of food safety data sharing and exchanges of best practices. This project aims at gathering some of the major INFOSAN Advocates (e.g. members from Canada, USA, Australia, New Zealand, Japan, a few countries in Europe). It is proposed to host a meeting that brings members from these countries together to discuss current best practices in information exchange to better manage food safety events and exchange ideas about how other INFOSAN members around the world can adopt similar practices to improve communication during international food safety emergencies.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HQ</w:t>
            </w:r>
          </w:p>
        </w:tc>
      </w:tr>
      <w:tr w:rsidR="001E10CD" w:rsidTr="001E10CD">
        <w:trPr>
          <w:trHeight w:val="27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Expanding EIS and IDSP</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CDC plans to expand EIS and Frontline Epidemiology workforce training programs across India to increase Government of India engagement and ownership of workforce capacity building. Part of this plan includes partnering with WHO-India to establish a 3-year WHO-EIS (to train the polio transition staff) as part of the on the job </w:t>
            </w:r>
            <w:proofErr w:type="spellStart"/>
            <w:r>
              <w:rPr>
                <w:rFonts w:ascii="Calibri" w:eastAsia="Times New Roman" w:hAnsi="Calibri" w:cs="Times New Roman"/>
                <w:color w:val="000000"/>
              </w:rPr>
              <w:t>programme</w:t>
            </w:r>
            <w:proofErr w:type="spellEnd"/>
            <w:r>
              <w:rPr>
                <w:rFonts w:ascii="Calibri" w:eastAsia="Times New Roman" w:hAnsi="Calibri" w:cs="Times New Roman"/>
                <w:color w:val="000000"/>
              </w:rPr>
              <w:t xml:space="preserve">. The goal is to train surveillance medical officers from WHO’s National Polio Surveillance </w:t>
            </w:r>
            <w:proofErr w:type="spellStart"/>
            <w:r>
              <w:rPr>
                <w:rFonts w:ascii="Calibri" w:eastAsia="Times New Roman" w:hAnsi="Calibri" w:cs="Times New Roman"/>
                <w:color w:val="000000"/>
              </w:rPr>
              <w:t>Programme</w:t>
            </w:r>
            <w:proofErr w:type="spellEnd"/>
            <w:r>
              <w:rPr>
                <w:rFonts w:ascii="Calibri" w:eastAsia="Times New Roman" w:hAnsi="Calibri" w:cs="Times New Roman"/>
                <w:color w:val="000000"/>
              </w:rPr>
              <w:t xml:space="preserve"> (NPSP) to assume more surveillance responsibilities toward </w:t>
            </w:r>
            <w:proofErr w:type="gramStart"/>
            <w:r>
              <w:rPr>
                <w:rFonts w:ascii="Calibri" w:eastAsia="Times New Roman" w:hAnsi="Calibri" w:cs="Times New Roman"/>
                <w:color w:val="000000"/>
              </w:rPr>
              <w:t>more  diseases</w:t>
            </w:r>
            <w:proofErr w:type="gramEnd"/>
            <w:r>
              <w:rPr>
                <w:rFonts w:ascii="Calibri" w:eastAsia="Times New Roman" w:hAnsi="Calibri" w:cs="Times New Roman"/>
                <w:color w:val="000000"/>
              </w:rPr>
              <w:t xml:space="preserve"> as part of the polio legacy planning. CDC also supports the </w:t>
            </w:r>
            <w:proofErr w:type="spellStart"/>
            <w:r>
              <w:rPr>
                <w:rFonts w:ascii="Calibri" w:eastAsia="Times New Roman" w:hAnsi="Calibri" w:cs="Times New Roman"/>
                <w:color w:val="000000"/>
              </w:rPr>
              <w:t>Govt</w:t>
            </w:r>
            <w:proofErr w:type="spellEnd"/>
            <w:r>
              <w:rPr>
                <w:rFonts w:ascii="Calibri" w:eastAsia="Times New Roman" w:hAnsi="Calibri" w:cs="Times New Roman"/>
                <w:color w:val="000000"/>
              </w:rPr>
              <w:t xml:space="preserve"> of India’s effort to expand the Integrated Disease Surveillance </w:t>
            </w:r>
            <w:proofErr w:type="spellStart"/>
            <w:r>
              <w:rPr>
                <w:rFonts w:ascii="Calibri" w:eastAsia="Times New Roman" w:hAnsi="Calibri" w:cs="Times New Roman"/>
                <w:color w:val="000000"/>
              </w:rPr>
              <w:t>Programme</w:t>
            </w:r>
            <w:proofErr w:type="spellEnd"/>
            <w:r>
              <w:rPr>
                <w:rFonts w:ascii="Calibri" w:eastAsia="Times New Roman" w:hAnsi="Calibri" w:cs="Times New Roman"/>
                <w:color w:val="000000"/>
              </w:rPr>
              <w:t xml:space="preserve"> (IDSP) through partnership with WHO-India and key GHSA stakeholders. Efforts include identifying requirements, data sources, and standards for surveillance gathering and reporting.</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India</w:t>
            </w:r>
          </w:p>
        </w:tc>
      </w:tr>
      <w:tr w:rsidR="001E10CD" w:rsidTr="001E10CD">
        <w:trPr>
          <w:trHeight w:val="42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Enhanced surveillance of emerging and novel variants of human influenza viruses in India</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The purpose of this funding is to strengthen the surveillance system for emerging and novel variants of influenza viruses in India as part of the Global Health Security Agenda. This is important as India which is the largest country in the SEARO region reported number of avian influenza outbreaks in last year, although no human case of avian influenza has been reported so far. Further, the ongoing circulation of influenza A/H7N9 in bordering China also poses risk in the neighboring India which has the second largest population in the world. The objective of this project is to strengthen the surveillance especially among high risk groups like pregnant women, children, elderly and poultry workers in geographical areas not covered under existing systematic influenza surveillance. </w:t>
            </w:r>
            <w:proofErr w:type="gramStart"/>
            <w:r>
              <w:rPr>
                <w:rFonts w:ascii="Calibri" w:eastAsia="Times New Roman" w:hAnsi="Calibri" w:cs="Times New Roman"/>
                <w:color w:val="000000"/>
              </w:rPr>
              <w:t>The WHO</w:t>
            </w:r>
            <w:proofErr w:type="gramEnd"/>
            <w:r>
              <w:rPr>
                <w:rFonts w:ascii="Calibri" w:eastAsia="Times New Roman" w:hAnsi="Calibri" w:cs="Times New Roman"/>
                <w:color w:val="000000"/>
              </w:rPr>
              <w:t>-SEARO would identify a suitable implementing partner based in India, who in consultation with the CDC India office can identify the gaps in current influenza surveillance system and identify potential surveillance sites to strengthen the influenza surveillance system in India to detect any novel variant of human influenza. The identified partner in consultation with SEARO and CDC India office would provide technical support to the identified sentinel sites to build their capacity for continued surveillance of human influenza virus with focus on high risk groups.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SEARO</w:t>
            </w:r>
          </w:p>
        </w:tc>
      </w:tr>
      <w:tr w:rsidR="001E10CD" w:rsidTr="001E10CD">
        <w:trPr>
          <w:trHeight w:val="54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Support to the Government of Mali to support the achievement of GHS/IHR laboratory, surveillance, workforce development and emergency management operations core capacities. </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CDC Mali is providing technical assistance to the Government of Mali to support the achievement of GHS/IHR laboratory, surveillance, workforce development and emergency management operations core capacities.  CDC Mali and WHO Mali are closely collaborating to support the strengthening of national capacity to detect and respond to public health emergencies.  We are in discussions with the Minister for Health and Public Hygiene (MSHP) regarding the implementation of a Joint External Evaluation (JEE) of IHR Capacities.  </w:t>
            </w:r>
            <w:r>
              <w:rPr>
                <w:rFonts w:ascii="Calibri" w:eastAsia="Times New Roman" w:hAnsi="Calibri" w:cs="Times New Roman"/>
                <w:color w:val="000000"/>
              </w:rPr>
              <w:br/>
            </w:r>
            <w:r>
              <w:rPr>
                <w:rFonts w:ascii="Calibri" w:eastAsia="Times New Roman" w:hAnsi="Calibri" w:cs="Times New Roman"/>
                <w:color w:val="000000"/>
              </w:rPr>
              <w:br/>
              <w:t xml:space="preserve">Expected outcomes of the CDC-WHO joint support to the MSHP include revision of the National IDSR Guidelines to include SOPs for reporting, outbreak investigations and outbreak responses, regular reporting and data analyses at all levels of health system, syndromic surveillance, functional rapid response teams at district, regional and national levels, and the active engagement of communities in the detection and reporting of unusual health events.  Expected Emergency Management Operations outcomes could include the implementation of functional exercises to test operational capacities of the national emergency operations program.  </w:t>
            </w:r>
            <w:r>
              <w:rPr>
                <w:rFonts w:ascii="Calibri" w:eastAsia="Times New Roman" w:hAnsi="Calibri" w:cs="Times New Roman"/>
                <w:color w:val="000000"/>
              </w:rPr>
              <w:br/>
            </w:r>
            <w:r>
              <w:rPr>
                <w:rFonts w:ascii="Calibri" w:eastAsia="Times New Roman" w:hAnsi="Calibri" w:cs="Times New Roman"/>
                <w:color w:val="000000"/>
              </w:rPr>
              <w:br/>
              <w:t xml:space="preserve">The GHSA funds ($250,000) will be used to facilitate WHO/CDC collaboration on GHS activities and will fund a position in the WHO Country Office to coordinate GHSA activities, including the JEE, with the Government of Mali and WHO and CDC.  </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Mali</w:t>
            </w:r>
          </w:p>
        </w:tc>
      </w:tr>
      <w:tr w:rsidR="001E10CD" w:rsidTr="001E10CD">
        <w:trPr>
          <w:trHeight w:val="215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Addressing Highly Infectious Diseases in Sierra Leone</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Integrated Disease Surveillance and Response</w:t>
            </w:r>
            <w:r>
              <w:rPr>
                <w:rFonts w:ascii="Calibri" w:eastAsia="Times New Roman" w:hAnsi="Calibri" w:cs="Times New Roman"/>
                <w:color w:val="000000"/>
              </w:rPr>
              <w:br/>
              <w:t>The country has made notable progress in the revitalization of its surveillance and response capacity for the detection, documentation, and confirmation and reporting of priority diseases and other events of public health concern as well as in the use of data for directing public health interventions. Surveillance, as practiced within the WHO AFRO IDSR strategy, enables countries to build capacity for the generation and use of public health data. In terms of cross-border surveillance, only four out of the over 80 points of entry (</w:t>
            </w:r>
            <w:proofErr w:type="spellStart"/>
            <w:r>
              <w:rPr>
                <w:rFonts w:ascii="Calibri" w:eastAsia="Times New Roman" w:hAnsi="Calibri" w:cs="Times New Roman"/>
                <w:color w:val="000000"/>
              </w:rPr>
              <w:t>PoEs</w:t>
            </w:r>
            <w:proofErr w:type="spellEnd"/>
            <w:r>
              <w:rPr>
                <w:rFonts w:ascii="Calibri" w:eastAsia="Times New Roman" w:hAnsi="Calibri" w:cs="Times New Roman"/>
                <w:color w:val="000000"/>
              </w:rPr>
              <w:t xml:space="preserve">) have all round services stipulated in the IHR. The bulk of travelers in and out of the country transit through non-designated crossing points. There is therefore need to support cross-border activities with cross-border engagement for information exchange, planning and joint response to supplement the screening in designated </w:t>
            </w:r>
            <w:proofErr w:type="spellStart"/>
            <w:r>
              <w:rPr>
                <w:rFonts w:ascii="Calibri" w:eastAsia="Times New Roman" w:hAnsi="Calibri" w:cs="Times New Roman"/>
                <w:color w:val="000000"/>
              </w:rPr>
              <w:t>PoEs</w:t>
            </w:r>
            <w:proofErr w:type="spellEnd"/>
            <w:r>
              <w:rPr>
                <w:rFonts w:ascii="Calibri" w:eastAsia="Times New Roman" w:hAnsi="Calibri" w:cs="Times New Roman"/>
                <w:color w:val="000000"/>
              </w:rPr>
              <w:t>. To sustain gains made in implementing indicator based surveillance, there is need to continue monitoring the knowledge and technical capacity of health personnel critical to implementation of IDSR. With improving surveillance performance in the country, it is also necessary to put attention to the capacity of clinicians to more fully understand and execute their roles in respect to disease detection, confirmation, reporting and management. High volume health facilities are at higher risk of receiving priority disease patients. It is therefore proposed to build capacity of health facility surveillance focal persons and clinicians working in major hospitals in IDSR. This will build more capacity for IDSR coordination as well as clinicians playing a more active role in disease detection and management.</w:t>
            </w:r>
            <w:r>
              <w:rPr>
                <w:rFonts w:ascii="Calibri" w:eastAsia="Times New Roman" w:hAnsi="Calibri" w:cs="Times New Roman"/>
                <w:color w:val="000000"/>
              </w:rPr>
              <w:br/>
            </w:r>
            <w:r>
              <w:rPr>
                <w:rFonts w:ascii="Calibri" w:eastAsia="Times New Roman" w:hAnsi="Calibri" w:cs="Times New Roman"/>
                <w:color w:val="000000"/>
              </w:rPr>
              <w:br/>
              <w:t>IDSR Strategies:</w:t>
            </w:r>
            <w:r>
              <w:rPr>
                <w:rFonts w:ascii="Calibri" w:eastAsia="Times New Roman" w:hAnsi="Calibri" w:cs="Times New Roman"/>
                <w:color w:val="000000"/>
              </w:rPr>
              <w:br/>
              <w:t>-Provide IDSR training for districts or health facilities where previously trained IDSR focal person is no longer working; considering also that more than one person per health facility can be trained</w:t>
            </w:r>
            <w:r>
              <w:rPr>
                <w:rFonts w:ascii="Calibri" w:eastAsia="Times New Roman" w:hAnsi="Calibri" w:cs="Times New Roman"/>
                <w:color w:val="000000"/>
              </w:rPr>
              <w:br/>
              <w:t xml:space="preserve">-Provide IDSR case definition trainings </w:t>
            </w:r>
            <w:r>
              <w:rPr>
                <w:rFonts w:ascii="Calibri" w:eastAsia="Times New Roman" w:hAnsi="Calibri" w:cs="Times New Roman"/>
                <w:color w:val="000000"/>
              </w:rPr>
              <w:br/>
              <w:t>-Support IDSR data quality efforts including  data quality audits and regular visitation in the field  to ensure accurate data capture</w:t>
            </w:r>
            <w:r>
              <w:rPr>
                <w:rFonts w:ascii="Calibri" w:eastAsia="Times New Roman" w:hAnsi="Calibri" w:cs="Times New Roman"/>
                <w:color w:val="000000"/>
              </w:rPr>
              <w:br/>
              <w:t>-Conduct data analysis in health facilities for both IDSR/CBS data during the monthly in-charges meetings</w:t>
            </w:r>
            <w:r>
              <w:rPr>
                <w:rFonts w:ascii="Calibri" w:eastAsia="Times New Roman" w:hAnsi="Calibri" w:cs="Times New Roman"/>
                <w:color w:val="000000"/>
              </w:rPr>
              <w:br/>
              <w:t>-Develop a tool for health facilities to better track/understand the Epi week number and dates</w:t>
            </w:r>
            <w:r>
              <w:rPr>
                <w:rFonts w:ascii="Calibri" w:eastAsia="Times New Roman" w:hAnsi="Calibri" w:cs="Times New Roman"/>
                <w:color w:val="000000"/>
              </w:rPr>
              <w:br/>
              <w:t xml:space="preserve">-Expand trainings in high volume health facilities to include additional IDSR focal personnel from various wards </w:t>
            </w:r>
            <w:r>
              <w:rPr>
                <w:rFonts w:ascii="Calibri" w:eastAsia="Times New Roman" w:hAnsi="Calibri" w:cs="Times New Roman"/>
                <w:color w:val="000000"/>
              </w:rPr>
              <w:br/>
              <w:t xml:space="preserve">-Provide supportive supervision for both IDSR and CBS (combined supervision is ideal) </w:t>
            </w:r>
            <w:r>
              <w:rPr>
                <w:rFonts w:ascii="Calibri" w:eastAsia="Times New Roman" w:hAnsi="Calibri" w:cs="Times New Roman"/>
                <w:color w:val="000000"/>
              </w:rPr>
              <w:br/>
              <w:t>-Conduct data comparisons between IDSR and CBS to evaluate how CBS is enhancing the IDSR reporting system</w:t>
            </w:r>
            <w:r>
              <w:rPr>
                <w:rFonts w:ascii="Calibri" w:eastAsia="Times New Roman" w:hAnsi="Calibri" w:cs="Times New Roman"/>
                <w:color w:val="000000"/>
              </w:rPr>
              <w:br/>
              <w:t>-Develop and deploy evaluation tools for CBS</w:t>
            </w:r>
            <w:r>
              <w:rPr>
                <w:rFonts w:ascii="Calibri" w:eastAsia="Times New Roman" w:hAnsi="Calibri" w:cs="Times New Roman"/>
                <w:color w:val="000000"/>
              </w:rPr>
              <w:br/>
              <w:t>-Support CBS monthly community level meetings to support CHWs and their supervisors on community engagement and on-going support for trigger identification and reporting</w:t>
            </w:r>
            <w:r>
              <w:rPr>
                <w:rFonts w:ascii="Calibri" w:eastAsia="Times New Roman" w:hAnsi="Calibri" w:cs="Times New Roman"/>
                <w:color w:val="000000"/>
              </w:rPr>
              <w:br/>
              <w:t>-Support CBS community sensitization with local leaders</w:t>
            </w:r>
            <w:r>
              <w:rPr>
                <w:rFonts w:ascii="Calibri" w:eastAsia="Times New Roman" w:hAnsi="Calibri" w:cs="Times New Roman"/>
                <w:color w:val="000000"/>
              </w:rPr>
              <w:br/>
            </w:r>
            <w:r>
              <w:rPr>
                <w:rFonts w:ascii="Calibri" w:eastAsia="Times New Roman" w:hAnsi="Calibri" w:cs="Times New Roman"/>
                <w:color w:val="000000"/>
              </w:rPr>
              <w:lastRenderedPageBreak/>
              <w:br/>
              <w:t>Infection Prevention and Control (IPC)</w:t>
            </w:r>
            <w:r>
              <w:rPr>
                <w:rFonts w:ascii="Calibri" w:eastAsia="Times New Roman" w:hAnsi="Calibri" w:cs="Times New Roman"/>
                <w:color w:val="000000"/>
              </w:rPr>
              <w:br/>
              <w:t>The growing number of emerging infectious diseases requires increased awareness and attention to IPC. There is therefore need to strengthen the MOHS through the National IPC unit to build stronger sustainable IPC teams and systems at district and facility level. IPC is cross cutting and should be integrated in all levels of health delivery. In order to improve quality of care there is need to provide HCWs with adequate training, knowledge, tools of the trade and a safer working environment. While the burden of HAI or AMR is unknown in Sierra Leone surveillance of HAI whether in patients or among health workers does not exist. This therefore necessitates the development and strengthening of HAI and AMR surveillance systems and occupational safety in Sierra Leone. Health care workers (HCWs) are at risk of various occupational hazards in the hospital, including exposure to blood borne infections such as HIV and hepatitis B and C virus from sharps injuries and contact with body fluids.</w:t>
            </w:r>
            <w:r>
              <w:rPr>
                <w:rFonts w:ascii="Calibri" w:eastAsia="Times New Roman" w:hAnsi="Calibri" w:cs="Times New Roman"/>
                <w:color w:val="000000"/>
              </w:rPr>
              <w:br/>
            </w:r>
            <w:r>
              <w:rPr>
                <w:rFonts w:ascii="Calibri" w:eastAsia="Times New Roman" w:hAnsi="Calibri" w:cs="Times New Roman"/>
                <w:color w:val="000000"/>
              </w:rPr>
              <w:br/>
              <w:t>IPC Strategies:</w:t>
            </w:r>
            <w:r>
              <w:rPr>
                <w:rFonts w:ascii="Calibri" w:eastAsia="Times New Roman" w:hAnsi="Calibri" w:cs="Times New Roman"/>
                <w:color w:val="000000"/>
              </w:rPr>
              <w:br/>
              <w:t>-Strengthen capacity of the National IPC Unit to effectively implement IPC guidelines and policy in Health Care Facilities</w:t>
            </w:r>
            <w:r>
              <w:rPr>
                <w:rFonts w:ascii="Calibri" w:eastAsia="Times New Roman" w:hAnsi="Calibri" w:cs="Times New Roman"/>
                <w:color w:val="000000"/>
              </w:rPr>
              <w:br/>
              <w:t>-Support National IPC Program by Building Human Resources Capacities</w:t>
            </w:r>
            <w:r>
              <w:rPr>
                <w:rFonts w:ascii="Calibri" w:eastAsia="Times New Roman" w:hAnsi="Calibri" w:cs="Times New Roman"/>
                <w:color w:val="000000"/>
              </w:rPr>
              <w:br/>
              <w:t>-Support Establishment of Health Worker Safety Program</w:t>
            </w:r>
            <w:r>
              <w:rPr>
                <w:rFonts w:ascii="Calibri" w:eastAsia="Times New Roman" w:hAnsi="Calibri" w:cs="Times New Roman"/>
                <w:color w:val="000000"/>
              </w:rPr>
              <w:br/>
              <w:t xml:space="preserve">-Support HAI surveillance and Antibiotic Stewardship in 4 Regional Hospitals </w:t>
            </w:r>
            <w:r>
              <w:rPr>
                <w:rFonts w:ascii="Calibri" w:eastAsia="Times New Roman" w:hAnsi="Calibri" w:cs="Times New Roman"/>
                <w:color w:val="000000"/>
              </w:rPr>
              <w:br/>
              <w:t>-Strengthen Screening and Isolation Procedures</w:t>
            </w:r>
            <w:r>
              <w:rPr>
                <w:rFonts w:ascii="Calibri" w:eastAsia="Times New Roman" w:hAnsi="Calibri" w:cs="Times New Roman"/>
                <w:color w:val="000000"/>
              </w:rPr>
              <w:br/>
            </w:r>
            <w:r>
              <w:rPr>
                <w:rFonts w:ascii="Calibri" w:eastAsia="Times New Roman" w:hAnsi="Calibri" w:cs="Times New Roman"/>
                <w:color w:val="000000"/>
              </w:rPr>
              <w:br/>
              <w:t>Laboratory</w:t>
            </w:r>
            <w:r>
              <w:rPr>
                <w:rFonts w:ascii="Calibri" w:eastAsia="Times New Roman" w:hAnsi="Calibri" w:cs="Times New Roman"/>
                <w:color w:val="000000"/>
              </w:rPr>
              <w:br/>
              <w:t xml:space="preserve">Sierra Leone still experiences gaps in its laboratory capacity, mainly resulting from inadequate laboratory facilities, poor networking, inadequate numbers of technical personnel as well as lack of equipment and other supplies. Medical and public health laboratory services are a critical component of national health systems, central to disease diagnosis, treatment, prevention, and surveillance and outbreak investigations. When used optimally, laboratory testing generates knowledge that can facilitate patient safety, improve patient outcomes and lead to more cost-effective healthcare.  Without an effective laboratory service, patient diagnosis and care is often compromised, expensive drug treatments are squandered, diagnoses are missed and information about public health is inaccurate. It is also impossible to measure the true effectiveness of interventions and to conduct accurate disease surveillance.  Thus, strengthening laboratory capacity to meet the demands of surveillance and medical practice is fundamental to achieving a functional health system. A tiered, integrated laboratory network with strong supporting core capabilities and infrastructure in a number of important areas will provide the best model for efficient service delivery across various levels of the public health system.  Strengthen Specimen Management &amp; Referral at the Regional </w:t>
            </w:r>
            <w:r>
              <w:rPr>
                <w:rFonts w:ascii="Calibri" w:eastAsia="Times New Roman" w:hAnsi="Calibri" w:cs="Times New Roman"/>
                <w:color w:val="000000"/>
              </w:rPr>
              <w:lastRenderedPageBreak/>
              <w:t>Laboratories</w:t>
            </w:r>
            <w:r>
              <w:rPr>
                <w:rFonts w:ascii="Calibri" w:eastAsia="Times New Roman" w:hAnsi="Calibri" w:cs="Times New Roman"/>
                <w:color w:val="000000"/>
              </w:rPr>
              <w:br/>
            </w:r>
            <w:r>
              <w:rPr>
                <w:rFonts w:ascii="Calibri" w:eastAsia="Times New Roman" w:hAnsi="Calibri" w:cs="Times New Roman"/>
                <w:color w:val="000000"/>
              </w:rPr>
              <w:br/>
              <w:t>Laboratory Strategies:</w:t>
            </w:r>
            <w:r>
              <w:rPr>
                <w:rFonts w:ascii="Calibri" w:eastAsia="Times New Roman" w:hAnsi="Calibri" w:cs="Times New Roman"/>
                <w:color w:val="000000"/>
              </w:rPr>
              <w:br/>
              <w:t>-Strengthen Laboratory Information and Management System (LIMS) at Regional Labs</w:t>
            </w:r>
            <w:r>
              <w:rPr>
                <w:rFonts w:ascii="Calibri" w:eastAsia="Times New Roman" w:hAnsi="Calibri" w:cs="Times New Roman"/>
                <w:color w:val="000000"/>
              </w:rPr>
              <w:br/>
              <w:t>-Strengthen Regional Lab Diagnostic Capacity</w:t>
            </w:r>
            <w:r>
              <w:rPr>
                <w:rFonts w:ascii="Calibri" w:eastAsia="Times New Roman" w:hAnsi="Calibri" w:cs="Times New Roman"/>
                <w:color w:val="000000"/>
              </w:rPr>
              <w:br/>
              <w:t>-Strengthen Laboratory Management and Coordination at Regional Labs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lastRenderedPageBreak/>
              <w:t>Sierra Leone</w:t>
            </w:r>
          </w:p>
        </w:tc>
      </w:tr>
      <w:tr w:rsidR="001E10CD" w:rsidTr="001E10CD">
        <w:trPr>
          <w:trHeight w:val="21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 xml:space="preserve">Status of </w:t>
            </w:r>
            <w:proofErr w:type="spellStart"/>
            <w:r>
              <w:rPr>
                <w:rFonts w:ascii="Calibri" w:eastAsia="Times New Roman" w:hAnsi="Calibri" w:cs="Times New Roman"/>
                <w:color w:val="000000"/>
              </w:rPr>
              <w:t>Monkeypox</w:t>
            </w:r>
            <w:proofErr w:type="spellEnd"/>
            <w:r>
              <w:rPr>
                <w:rFonts w:ascii="Calibri" w:eastAsia="Times New Roman" w:hAnsi="Calibri" w:cs="Times New Roman"/>
                <w:color w:val="000000"/>
              </w:rPr>
              <w:t xml:space="preserve"> epidemiology, surveillance, medical countermeasures</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The immediate goal will be to assemble a meeting in Geneva, likely in connection with the Advisory Committee on </w:t>
            </w:r>
            <w:proofErr w:type="spellStart"/>
            <w:r>
              <w:rPr>
                <w:rFonts w:ascii="Calibri" w:eastAsia="Times New Roman" w:hAnsi="Calibri" w:cs="Times New Roman"/>
                <w:color w:val="000000"/>
              </w:rPr>
              <w:t>Variola</w:t>
            </w:r>
            <w:proofErr w:type="spellEnd"/>
            <w:r>
              <w:rPr>
                <w:rFonts w:ascii="Calibri" w:eastAsia="Times New Roman" w:hAnsi="Calibri" w:cs="Times New Roman"/>
                <w:color w:val="000000"/>
              </w:rPr>
              <w:t xml:space="preserve"> Virus research, to discuss progress on and coordination of </w:t>
            </w:r>
            <w:proofErr w:type="spellStart"/>
            <w:r>
              <w:rPr>
                <w:rFonts w:ascii="Calibri" w:eastAsia="Times New Roman" w:hAnsi="Calibri" w:cs="Times New Roman"/>
                <w:color w:val="000000"/>
              </w:rPr>
              <w:t>monkeypox</w:t>
            </w:r>
            <w:proofErr w:type="spellEnd"/>
            <w:r>
              <w:rPr>
                <w:rFonts w:ascii="Calibri" w:eastAsia="Times New Roman" w:hAnsi="Calibri" w:cs="Times New Roman"/>
                <w:color w:val="000000"/>
              </w:rPr>
              <w:t xml:space="preserve"> disease surveillance and response activities in West and Central Africa. Regional approaches to augmenting disease prevention and control will be discussed, as well as updates on medical countermeasures which may be useful for disease control work.</w:t>
            </w:r>
            <w:r>
              <w:rPr>
                <w:rFonts w:ascii="Calibri" w:eastAsia="Times New Roman" w:hAnsi="Calibri" w:cs="Times New Roman"/>
                <w:color w:val="000000"/>
              </w:rPr>
              <w:br/>
              <w:t xml:space="preserve">WHO POC: </w:t>
            </w:r>
            <w:proofErr w:type="spellStart"/>
            <w:r>
              <w:rPr>
                <w:rFonts w:ascii="Calibri" w:eastAsia="Times New Roman" w:hAnsi="Calibri" w:cs="Times New Roman"/>
                <w:color w:val="000000"/>
              </w:rPr>
              <w:t>Asheena</w:t>
            </w:r>
            <w:proofErr w:type="spellEnd"/>
            <w:r>
              <w:rPr>
                <w:rFonts w:ascii="Calibri" w:eastAsia="Times New Roman" w:hAnsi="Calibri" w:cs="Times New Roman"/>
                <w:color w:val="000000"/>
              </w:rPr>
              <w:t xml:space="preserve"> </w:t>
            </w:r>
            <w:proofErr w:type="spellStart"/>
            <w:r>
              <w:rPr>
                <w:rFonts w:ascii="Calibri" w:eastAsia="Times New Roman" w:hAnsi="Calibri" w:cs="Times New Roman"/>
                <w:color w:val="000000"/>
              </w:rPr>
              <w:t>Khalakdina</w:t>
            </w:r>
            <w:proofErr w:type="spellEnd"/>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HQ</w:t>
            </w:r>
          </w:p>
        </w:tc>
      </w:tr>
      <w:tr w:rsidR="001E10CD" w:rsidTr="001E10CD">
        <w:trPr>
          <w:trHeight w:val="48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Lab activities in Pakistan through WHO EMRO</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WHO Regional Office for Eastern Mediterranean, has conducted several Laboratory Assessments in the Region and during May 2016 conducted the JEE in Pakistan along with CDC and other partners to identify gaps in IHR capacities.</w:t>
            </w:r>
            <w:r>
              <w:rPr>
                <w:rFonts w:ascii="Calibri" w:eastAsia="Times New Roman" w:hAnsi="Calibri" w:cs="Times New Roman"/>
                <w:color w:val="000000"/>
              </w:rPr>
              <w:br/>
            </w:r>
            <w:r>
              <w:rPr>
                <w:rFonts w:ascii="Calibri" w:eastAsia="Times New Roman" w:hAnsi="Calibri" w:cs="Times New Roman"/>
                <w:color w:val="000000"/>
              </w:rPr>
              <w:br/>
              <w:t>The most common gaps were identified due to LQMS/BRM. Through these analyses several countries including Pakistan were identified by the WHO-EMRO PHL unit, leading to prioritization of activities to strengthen capacities like: Laboratory Quality Management including External Quality Assurance Scheme (EQAS) and BRM (safe working environment); provision of training, and PPE; monitoring and evaluation; etc.</w:t>
            </w:r>
            <w:r>
              <w:rPr>
                <w:rFonts w:ascii="Calibri" w:eastAsia="Times New Roman" w:hAnsi="Calibri" w:cs="Times New Roman"/>
                <w:color w:val="000000"/>
              </w:rPr>
              <w:br/>
            </w:r>
            <w:r>
              <w:rPr>
                <w:rFonts w:ascii="Calibri" w:eastAsia="Times New Roman" w:hAnsi="Calibri" w:cs="Times New Roman"/>
                <w:color w:val="000000"/>
              </w:rPr>
              <w:br/>
              <w:t xml:space="preserve">The purpose of this project would be to critically address these gaps identified in laboratories with the aim of improving preparedness and operational readiness to prevent, detect, and respond to infectious diseases of public health importance. In addition WHO would continue to support a full time Laboratory Coordinator/Resident Advisor position who would spend majority of the time on Pakistan Laboratory systems strengthening activities working closely with the Pakistan National Institute of </w:t>
            </w:r>
            <w:proofErr w:type="gramStart"/>
            <w:r>
              <w:rPr>
                <w:rFonts w:ascii="Calibri" w:eastAsia="Times New Roman" w:hAnsi="Calibri" w:cs="Times New Roman"/>
                <w:color w:val="000000"/>
              </w:rPr>
              <w:t>Health  Public</w:t>
            </w:r>
            <w:proofErr w:type="gramEnd"/>
            <w:r>
              <w:rPr>
                <w:rFonts w:ascii="Calibri" w:eastAsia="Times New Roman" w:hAnsi="Calibri" w:cs="Times New Roman"/>
                <w:color w:val="000000"/>
              </w:rPr>
              <w:t xml:space="preserve"> Health Labs Division.</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EMRO</w:t>
            </w:r>
          </w:p>
        </w:tc>
      </w:tr>
      <w:tr w:rsidR="001E10CD" w:rsidTr="001E10CD">
        <w:trPr>
          <w:trHeight w:val="39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 xml:space="preserve">Rapid scale up of laboratory capacity for Vaccine </w:t>
            </w:r>
            <w:proofErr w:type="spellStart"/>
            <w:r>
              <w:rPr>
                <w:rFonts w:ascii="Calibri" w:eastAsia="Times New Roman" w:hAnsi="Calibri" w:cs="Times New Roman"/>
                <w:color w:val="000000"/>
              </w:rPr>
              <w:t>Preventible</w:t>
            </w:r>
            <w:proofErr w:type="spellEnd"/>
            <w:r>
              <w:rPr>
                <w:rFonts w:ascii="Calibri" w:eastAsia="Times New Roman" w:hAnsi="Calibri" w:cs="Times New Roman"/>
                <w:color w:val="000000"/>
              </w:rPr>
              <w:t xml:space="preserve"> Diseases ( VPDs, Viral) including Rapid Diagnostic Tests (RDTs)</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Laboratory systems will be enhanced in 4 GHS countries for viral VPDs both at the National Public Health Laboratories (NPHL) and Regional Reference Laboratories (RRL). Rapid Response Teams will be trained for use of measles RDTs and RDTs will be pre-positioned for ready deployment during outbreaks. This will be a quick win, </w:t>
            </w:r>
            <w:proofErr w:type="gramStart"/>
            <w:r>
              <w:rPr>
                <w:rFonts w:ascii="Calibri" w:eastAsia="Times New Roman" w:hAnsi="Calibri" w:cs="Times New Roman"/>
                <w:color w:val="000000"/>
              </w:rPr>
              <w:t>since  (</w:t>
            </w:r>
            <w:proofErr w:type="gramEnd"/>
            <w:r>
              <w:rPr>
                <w:rFonts w:ascii="Calibri" w:eastAsia="Times New Roman" w:hAnsi="Calibri" w:cs="Times New Roman"/>
                <w:color w:val="000000"/>
              </w:rPr>
              <w:t xml:space="preserve">1) plan is to scale up existing WHO </w:t>
            </w:r>
            <w:proofErr w:type="spellStart"/>
            <w:r>
              <w:rPr>
                <w:rFonts w:ascii="Calibri" w:eastAsia="Times New Roman" w:hAnsi="Calibri" w:cs="Times New Roman"/>
                <w:color w:val="000000"/>
              </w:rPr>
              <w:t>LabNet</w:t>
            </w:r>
            <w:proofErr w:type="spellEnd"/>
            <w:r>
              <w:rPr>
                <w:rFonts w:ascii="Calibri" w:eastAsia="Times New Roman" w:hAnsi="Calibri" w:cs="Times New Roman"/>
                <w:color w:val="000000"/>
              </w:rPr>
              <w:t xml:space="preserve"> systems (2) mechanisms in place (3) measles and polio are GHS priority pathogens (4) sustainable  model since the work will be done in </w:t>
            </w:r>
            <w:proofErr w:type="spellStart"/>
            <w:r>
              <w:rPr>
                <w:rFonts w:ascii="Calibri" w:eastAsia="Times New Roman" w:hAnsi="Calibri" w:cs="Times New Roman"/>
                <w:color w:val="000000"/>
              </w:rPr>
              <w:t>collboration</w:t>
            </w:r>
            <w:proofErr w:type="spellEnd"/>
            <w:r>
              <w:rPr>
                <w:rFonts w:ascii="Calibri" w:eastAsia="Times New Roman" w:hAnsi="Calibri" w:cs="Times New Roman"/>
                <w:color w:val="000000"/>
              </w:rPr>
              <w:t xml:space="preserve"> with WHO.</w:t>
            </w:r>
            <w:r>
              <w:rPr>
                <w:rFonts w:ascii="Calibri" w:eastAsia="Times New Roman" w:hAnsi="Calibri" w:cs="Times New Roman"/>
                <w:color w:val="000000"/>
              </w:rPr>
              <w:br/>
            </w:r>
            <w:r>
              <w:rPr>
                <w:rFonts w:ascii="Calibri" w:eastAsia="Times New Roman" w:hAnsi="Calibri" w:cs="Times New Roman"/>
                <w:color w:val="000000"/>
              </w:rPr>
              <w:br/>
              <w:t xml:space="preserve">Activities to include: 1. One training workshop for RDTs and procurement and pre-positioning of RDTs. 2.NPHL and RRLs enrolled in EQAS 3. One Training of Trainer workshop per country for specimen collection and transport including a </w:t>
            </w:r>
            <w:proofErr w:type="spellStart"/>
            <w:r>
              <w:rPr>
                <w:rFonts w:ascii="Calibri" w:eastAsia="Times New Roman" w:hAnsi="Calibri" w:cs="Times New Roman"/>
                <w:color w:val="000000"/>
              </w:rPr>
              <w:t>one time</w:t>
            </w:r>
            <w:proofErr w:type="spellEnd"/>
            <w:r>
              <w:rPr>
                <w:rFonts w:ascii="Calibri" w:eastAsia="Times New Roman" w:hAnsi="Calibri" w:cs="Times New Roman"/>
                <w:color w:val="000000"/>
              </w:rPr>
              <w:t xml:space="preserve"> donation of specimen collection materials.</w:t>
            </w:r>
            <w:r>
              <w:rPr>
                <w:rFonts w:ascii="Calibri" w:eastAsia="Times New Roman" w:hAnsi="Calibri" w:cs="Times New Roman"/>
                <w:color w:val="000000"/>
              </w:rPr>
              <w:br/>
            </w:r>
            <w:r>
              <w:rPr>
                <w:rFonts w:ascii="Calibri" w:eastAsia="Times New Roman" w:hAnsi="Calibri" w:cs="Times New Roman"/>
                <w:color w:val="000000"/>
              </w:rPr>
              <w:br/>
              <w:t xml:space="preserve">Countries for implementation: Cote D' </w:t>
            </w:r>
            <w:proofErr w:type="spellStart"/>
            <w:r>
              <w:rPr>
                <w:rFonts w:ascii="Calibri" w:eastAsia="Times New Roman" w:hAnsi="Calibri" w:cs="Times New Roman"/>
                <w:color w:val="000000"/>
              </w:rPr>
              <w:t>Ivoire</w:t>
            </w:r>
            <w:proofErr w:type="spellEnd"/>
            <w:r>
              <w:rPr>
                <w:rFonts w:ascii="Calibri" w:eastAsia="Times New Roman" w:hAnsi="Calibri" w:cs="Times New Roman"/>
                <w:color w:val="000000"/>
              </w:rPr>
              <w:t>, Ghana, Cameroon, Uganda</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Multiple</w:t>
            </w:r>
          </w:p>
        </w:tc>
      </w:tr>
      <w:tr w:rsidR="001E10CD" w:rsidTr="001E10CD">
        <w:trPr>
          <w:trHeight w:val="819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Liberia MOH support</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Project objectives should focus on providing technical support to the Liberia Ministry of Health (MOH) County Health Teams, partners, and stakeholders through County Epidemiologist positions during an estimated six month period to strengthen detection and screening capacities for EVD survivors; increase detection and screening capacities for priority health conditions across Liberia; and increase public health capacities to detect, investigate, respond to, and manage public health events of international concern (PHEIC). EVD detection and screening improvement activities should include:</w:t>
            </w:r>
            <w:r>
              <w:rPr>
                <w:rFonts w:ascii="Calibri" w:eastAsia="Times New Roman" w:hAnsi="Calibri" w:cs="Times New Roman"/>
                <w:color w:val="000000"/>
              </w:rPr>
              <w:br/>
              <w:t xml:space="preserve">• Coordination of stakeholders and partners providing Ebola Virus Disease (EVD) screening, care, and counseling; </w:t>
            </w:r>
            <w:r>
              <w:rPr>
                <w:rFonts w:ascii="Calibri" w:eastAsia="Times New Roman" w:hAnsi="Calibri" w:cs="Times New Roman"/>
                <w:color w:val="000000"/>
              </w:rPr>
              <w:br/>
              <w:t xml:space="preserve">• Planning and coordination for Men’s Health Screening Program monitoring and strengthening of collaboration with EVD survivor research programs; </w:t>
            </w:r>
            <w:r>
              <w:rPr>
                <w:rFonts w:ascii="Calibri" w:eastAsia="Times New Roman" w:hAnsi="Calibri" w:cs="Times New Roman"/>
                <w:color w:val="000000"/>
              </w:rPr>
              <w:br/>
              <w:t>• Improvement of EVD survivor counseling, screening, and care guidelines and protocol; and</w:t>
            </w:r>
            <w:r>
              <w:rPr>
                <w:rFonts w:ascii="Calibri" w:eastAsia="Times New Roman" w:hAnsi="Calibri" w:cs="Times New Roman"/>
                <w:color w:val="000000"/>
              </w:rPr>
              <w:br/>
              <w:t xml:space="preserve">• Healthcare worker mentoring and training to improve EVD survivor counseling, screening, and care services. </w:t>
            </w:r>
            <w:r>
              <w:rPr>
                <w:rFonts w:ascii="Calibri" w:eastAsia="Times New Roman" w:hAnsi="Calibri" w:cs="Times New Roman"/>
                <w:color w:val="000000"/>
              </w:rPr>
              <w:br/>
            </w:r>
            <w:r>
              <w:rPr>
                <w:rFonts w:ascii="Calibri" w:eastAsia="Times New Roman" w:hAnsi="Calibri" w:cs="Times New Roman"/>
                <w:color w:val="000000"/>
              </w:rPr>
              <w:br/>
              <w:t>Activities focusing on PHEIC detection, investigation, and response should include:</w:t>
            </w:r>
            <w:r>
              <w:rPr>
                <w:rFonts w:ascii="Calibri" w:eastAsia="Times New Roman" w:hAnsi="Calibri" w:cs="Times New Roman"/>
                <w:color w:val="000000"/>
              </w:rPr>
              <w:br/>
              <w:t>• Providing technical support to the MOH in coordinating national surveillance review meetings with key stakeholders;</w:t>
            </w:r>
            <w:r>
              <w:rPr>
                <w:rFonts w:ascii="Calibri" w:eastAsia="Times New Roman" w:hAnsi="Calibri" w:cs="Times New Roman"/>
                <w:color w:val="000000"/>
              </w:rPr>
              <w:br/>
              <w:t>• Regular review and updates of IDSR-event based surveillance operational plans, national guidelines, Standard Operating Procedures (SOPs), and capacity-building packages;</w:t>
            </w:r>
            <w:r>
              <w:rPr>
                <w:rFonts w:ascii="Calibri" w:eastAsia="Times New Roman" w:hAnsi="Calibri" w:cs="Times New Roman"/>
                <w:color w:val="000000"/>
              </w:rPr>
              <w:br/>
              <w:t xml:space="preserve">• Planning and implementation of simulation exercises and supportive supervision for health workers involved in PHEIC activities and healthcare worker refresher trainings. </w:t>
            </w:r>
            <w:r>
              <w:rPr>
                <w:rFonts w:ascii="Calibri" w:eastAsia="Times New Roman" w:hAnsi="Calibri" w:cs="Times New Roman"/>
                <w:color w:val="000000"/>
              </w:rPr>
              <w:br/>
            </w:r>
            <w:r>
              <w:rPr>
                <w:rFonts w:ascii="Calibri" w:eastAsia="Times New Roman" w:hAnsi="Calibri" w:cs="Times New Roman"/>
                <w:color w:val="000000"/>
              </w:rPr>
              <w:br/>
              <w:t xml:space="preserve">Early detection and screening of priority health conditions in Liberia activities should include: </w:t>
            </w:r>
            <w:r>
              <w:rPr>
                <w:rFonts w:ascii="Calibri" w:eastAsia="Times New Roman" w:hAnsi="Calibri" w:cs="Times New Roman"/>
                <w:color w:val="000000"/>
              </w:rPr>
              <w:br/>
            </w:r>
            <w:r>
              <w:rPr>
                <w:rFonts w:ascii="Calibri" w:eastAsia="Times New Roman" w:hAnsi="Calibri" w:cs="Times New Roman"/>
                <w:color w:val="000000"/>
              </w:rPr>
              <w:lastRenderedPageBreak/>
              <w:t xml:space="preserve">• Building frontline health worker capacities through trainings, mentoring, and supportive supervision in risk communication, IDSR and events-based surveillance, laboratory, and response and preparedness; </w:t>
            </w:r>
            <w:r>
              <w:rPr>
                <w:rFonts w:ascii="Calibri" w:eastAsia="Times New Roman" w:hAnsi="Calibri" w:cs="Times New Roman"/>
                <w:color w:val="000000"/>
              </w:rPr>
              <w:br/>
              <w:t>• Implementation of simulation exercises with non-health sectors, county partners, and civil society representatives;</w:t>
            </w:r>
            <w:r>
              <w:rPr>
                <w:rFonts w:ascii="Calibri" w:eastAsia="Times New Roman" w:hAnsi="Calibri" w:cs="Times New Roman"/>
                <w:color w:val="000000"/>
              </w:rPr>
              <w:br/>
              <w:t xml:space="preserve">• Implementation of refresher trainings at county, district, and health facility levels; and </w:t>
            </w:r>
            <w:r>
              <w:rPr>
                <w:rFonts w:ascii="Calibri" w:eastAsia="Times New Roman" w:hAnsi="Calibri" w:cs="Times New Roman"/>
                <w:color w:val="000000"/>
              </w:rPr>
              <w:br/>
              <w:t>• Conducting monthly program monitoring meetings and quarterly program reviews.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lastRenderedPageBreak/>
              <w:t>Liberia</w:t>
            </w:r>
          </w:p>
        </w:tc>
      </w:tr>
      <w:tr w:rsidR="001E10CD" w:rsidTr="001E10CD">
        <w:trPr>
          <w:trHeight w:val="53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Strengthening National Laboratory Systems</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These should include guidance and tools for laboratory preparedness to meet public health emergencies under IHR/GHSA.  They should support tiered laboratory services, laboratory workforce development, regulatory and legal framework, quality management, and biosafety /biosecurity measures necessary as a foundation for national laboratory systems.  We are particularly interested in informed advocacy for national strategic planning for laboratories and leadership development for decision makers.</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Multiple</w:t>
            </w:r>
          </w:p>
        </w:tc>
      </w:tr>
      <w:tr w:rsidR="001E10CD" w:rsidTr="001E10CD">
        <w:trPr>
          <w:trHeight w:val="24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Support  WHO for Joint External Evaluation</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Continued supporting and conducting country Joint External Evaluation (JEE) missions across the different WHO regions, and ensure the standardization of process and quality of results.  Activities include the measurement of country specific capacity and progress in achieving GHS targets, and the implementation of findings and recommendations for further strengthening and maintaining the IHR core capacities for global health security. Priority should be given to regional and national-level support to JEE implementation </w:t>
            </w:r>
            <w:proofErr w:type="gramStart"/>
            <w:r>
              <w:rPr>
                <w:rFonts w:ascii="Calibri" w:eastAsia="Times New Roman" w:hAnsi="Calibri" w:cs="Times New Roman"/>
                <w:color w:val="000000"/>
              </w:rPr>
              <w:t>and  incorporation</w:t>
            </w:r>
            <w:proofErr w:type="gramEnd"/>
            <w:r>
              <w:rPr>
                <w:rFonts w:ascii="Calibri" w:eastAsia="Times New Roman" w:hAnsi="Calibri" w:cs="Times New Roman"/>
                <w:color w:val="000000"/>
              </w:rPr>
              <w:t xml:space="preserve"> of post-JEE planning and resulting programs into standard processes. Solicitation amount </w:t>
            </w:r>
            <w:r>
              <w:rPr>
                <w:rFonts w:ascii="Calibri" w:eastAsia="Times New Roman" w:hAnsi="Calibri" w:cs="Times New Roman"/>
                <w:color w:val="000000"/>
              </w:rPr>
              <w:lastRenderedPageBreak/>
              <w:t>reflects an upper limit and actual funding will depend on region/country need and remaining resources from prior JEE support.</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lastRenderedPageBreak/>
              <w:t>Multiple</w:t>
            </w:r>
          </w:p>
        </w:tc>
      </w:tr>
      <w:tr w:rsidR="001E10CD" w:rsidTr="001E10CD">
        <w:trPr>
          <w:trHeight w:val="5100"/>
        </w:trPr>
        <w:tc>
          <w:tcPr>
            <w:tcW w:w="189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Building and Strengthening International Health Regulations (IHR) Core Capacities in Kenya</w:t>
            </w:r>
          </w:p>
        </w:tc>
        <w:tc>
          <w:tcPr>
            <w:tcW w:w="675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spacing w:after="0" w:line="240" w:lineRule="auto"/>
              <w:rPr>
                <w:rFonts w:ascii="Calibri" w:eastAsia="Times New Roman" w:hAnsi="Calibri" w:cs="Times New Roman"/>
                <w:color w:val="000000"/>
              </w:rPr>
            </w:pPr>
            <w:r>
              <w:rPr>
                <w:rFonts w:ascii="Calibri" w:eastAsia="Times New Roman" w:hAnsi="Calibri" w:cs="Times New Roman"/>
                <w:color w:val="000000"/>
              </w:rPr>
              <w:t>This proposal will focus on the work of WHO Kenya office to scale up IHR capacity, with the aim to improve core capacities within the context of preparedness and response. The proposal will focus on 2 key priority areas of international health regulations following findings of the 2017 JEE, while aligning to comparative advantages of WHO core functions.</w:t>
            </w:r>
            <w:r>
              <w:rPr>
                <w:rFonts w:ascii="Calibri" w:eastAsia="Times New Roman" w:hAnsi="Calibri" w:cs="Times New Roman"/>
                <w:color w:val="000000"/>
              </w:rPr>
              <w:br/>
            </w:r>
            <w:r>
              <w:rPr>
                <w:rFonts w:ascii="Calibri" w:eastAsia="Times New Roman" w:hAnsi="Calibri" w:cs="Times New Roman"/>
                <w:color w:val="000000"/>
              </w:rPr>
              <w:br/>
              <w:t>1. IHR Coordination, Communication and Advocacy</w:t>
            </w:r>
            <w:r>
              <w:rPr>
                <w:rFonts w:ascii="Calibri" w:eastAsia="Times New Roman" w:hAnsi="Calibri" w:cs="Times New Roman"/>
                <w:color w:val="000000"/>
              </w:rPr>
              <w:br/>
              <w:t xml:space="preserve">Proposed activities to promote </w:t>
            </w:r>
            <w:proofErr w:type="spellStart"/>
            <w:r>
              <w:rPr>
                <w:rFonts w:ascii="Calibri" w:eastAsia="Times New Roman" w:hAnsi="Calibri" w:cs="Times New Roman"/>
                <w:color w:val="000000"/>
              </w:rPr>
              <w:t>multisectoral</w:t>
            </w:r>
            <w:proofErr w:type="spellEnd"/>
            <w:r>
              <w:rPr>
                <w:rFonts w:ascii="Calibri" w:eastAsia="Times New Roman" w:hAnsi="Calibri" w:cs="Times New Roman"/>
                <w:color w:val="000000"/>
              </w:rPr>
              <w:t xml:space="preserve"> and multidisciplinary coordination: </w:t>
            </w:r>
            <w:r>
              <w:rPr>
                <w:rFonts w:ascii="Calibri" w:eastAsia="Times New Roman" w:hAnsi="Calibri" w:cs="Times New Roman"/>
                <w:color w:val="000000"/>
              </w:rPr>
              <w:br/>
              <w:t>• Facilitate coordination meetings and workshops to establish National Focal Point structures</w:t>
            </w:r>
            <w:r>
              <w:rPr>
                <w:rFonts w:ascii="Calibri" w:eastAsia="Times New Roman" w:hAnsi="Calibri" w:cs="Times New Roman"/>
                <w:color w:val="000000"/>
              </w:rPr>
              <w:br/>
              <w:t xml:space="preserve">• Support implementation of National Public Health Institute </w:t>
            </w:r>
            <w:r>
              <w:rPr>
                <w:rFonts w:ascii="Calibri" w:eastAsia="Times New Roman" w:hAnsi="Calibri" w:cs="Times New Roman"/>
                <w:color w:val="000000"/>
              </w:rPr>
              <w:br/>
              <w:t xml:space="preserve">• Provide guidance and assistance for the establishment of the required authorities for EOC </w:t>
            </w:r>
            <w:r>
              <w:rPr>
                <w:rFonts w:ascii="Calibri" w:eastAsia="Times New Roman" w:hAnsi="Calibri" w:cs="Times New Roman"/>
                <w:color w:val="000000"/>
              </w:rPr>
              <w:br/>
            </w:r>
            <w:r>
              <w:rPr>
                <w:rFonts w:ascii="Calibri" w:eastAsia="Times New Roman" w:hAnsi="Calibri" w:cs="Times New Roman"/>
                <w:color w:val="000000"/>
              </w:rPr>
              <w:br/>
              <w:t xml:space="preserve">2. Operationalization of the Emergency Operations Center (EOC) </w:t>
            </w:r>
            <w:r>
              <w:rPr>
                <w:rFonts w:ascii="Calibri" w:eastAsia="Times New Roman" w:hAnsi="Calibri" w:cs="Times New Roman"/>
                <w:color w:val="000000"/>
              </w:rPr>
              <w:br/>
              <w:t>Proposed activities to strengthen capacity and ensure sustainability:</w:t>
            </w:r>
            <w:r>
              <w:rPr>
                <w:rFonts w:ascii="Calibri" w:eastAsia="Times New Roman" w:hAnsi="Calibri" w:cs="Times New Roman"/>
                <w:color w:val="000000"/>
              </w:rPr>
              <w:br/>
              <w:t>• Support Simulation Exercises and missions</w:t>
            </w:r>
            <w:r>
              <w:rPr>
                <w:rFonts w:ascii="Calibri" w:eastAsia="Times New Roman" w:hAnsi="Calibri" w:cs="Times New Roman"/>
                <w:color w:val="000000"/>
              </w:rPr>
              <w:br/>
              <w:t xml:space="preserve">• Engage Technical Officer for EOC support </w:t>
            </w:r>
            <w:r>
              <w:rPr>
                <w:rFonts w:ascii="Calibri" w:eastAsia="Times New Roman" w:hAnsi="Calibri" w:cs="Times New Roman"/>
                <w:color w:val="000000"/>
              </w:rPr>
              <w:br/>
              <w:t>• Finalize development of SOPs, including Risk Communication SOPs</w:t>
            </w:r>
            <w:r>
              <w:rPr>
                <w:rFonts w:ascii="Calibri" w:eastAsia="Times New Roman" w:hAnsi="Calibri" w:cs="Times New Roman"/>
                <w:color w:val="000000"/>
              </w:rPr>
              <w:br/>
              <w:t>• Develop outbreak investigation response database</w:t>
            </w:r>
          </w:p>
        </w:tc>
        <w:tc>
          <w:tcPr>
            <w:tcW w:w="1170" w:type="dxa"/>
            <w:tcBorders>
              <w:top w:val="single" w:sz="4" w:space="0" w:color="auto"/>
              <w:left w:val="single" w:sz="4" w:space="0" w:color="auto"/>
              <w:bottom w:val="single" w:sz="4" w:space="0" w:color="auto"/>
              <w:right w:val="single" w:sz="4" w:space="0" w:color="auto"/>
            </w:tcBorders>
            <w:vAlign w:val="bottom"/>
            <w:hideMark/>
          </w:tcPr>
          <w:p w:rsidR="001E10CD" w:rsidRDefault="001E10CD">
            <w:pPr>
              <w:rPr>
                <w:rFonts w:ascii="Calibri" w:hAnsi="Calibri"/>
                <w:color w:val="000000"/>
              </w:rPr>
            </w:pPr>
            <w:r>
              <w:rPr>
                <w:rFonts w:ascii="Calibri" w:hAnsi="Calibri"/>
                <w:color w:val="000000"/>
              </w:rPr>
              <w:t>Kenya</w:t>
            </w:r>
          </w:p>
        </w:tc>
      </w:tr>
    </w:tbl>
    <w:p w:rsidR="0025068D" w:rsidRPr="000B5B1F" w:rsidRDefault="0025068D" w:rsidP="0025068D">
      <w:pPr>
        <w:spacing w:after="0" w:line="240" w:lineRule="auto"/>
        <w:rPr>
          <w:rFonts w:ascii="Times New Roman" w:hAnsi="Times New Roman" w:cs="Times New Roman"/>
          <w:sz w:val="20"/>
          <w:szCs w:val="20"/>
        </w:rPr>
      </w:pPr>
    </w:p>
    <w:p w:rsidR="005E3F46" w:rsidRDefault="005E3F46"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List propo</w:t>
      </w:r>
      <w:r w:rsidR="00BB5BBA">
        <w:rPr>
          <w:rFonts w:ascii="Times New Roman" w:hAnsi="Times New Roman" w:cs="Times New Roman"/>
          <w:sz w:val="24"/>
          <w:szCs w:val="24"/>
        </w:rPr>
        <w:t xml:space="preserve">sed objectives for the Round </w:t>
      </w:r>
      <w:r w:rsidR="005E3F46">
        <w:rPr>
          <w:rFonts w:ascii="Times New Roman" w:hAnsi="Times New Roman" w:cs="Times New Roman"/>
          <w:sz w:val="24"/>
          <w:szCs w:val="24"/>
        </w:rPr>
        <w:t>5</w:t>
      </w:r>
      <w:r w:rsidR="00BB5BBA">
        <w:rPr>
          <w:rFonts w:ascii="Times New Roman" w:hAnsi="Times New Roman" w:cs="Times New Roman"/>
          <w:sz w:val="24"/>
          <w:szCs w:val="24"/>
        </w:rPr>
        <w:t xml:space="preserve"> proposals</w:t>
      </w:r>
      <w:r w:rsidRPr="0025068D">
        <w:rPr>
          <w:rFonts w:ascii="Times New Roman" w:hAnsi="Times New Roman" w:cs="Times New Roman"/>
          <w:sz w:val="24"/>
          <w:szCs w:val="24"/>
        </w:rPr>
        <w:t xml:space="preserve">.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7124A2" w:rsidRDefault="007124A2" w:rsidP="007124A2">
      <w:pPr>
        <w:spacing w:after="0" w:line="240" w:lineRule="auto"/>
        <w:ind w:left="720"/>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Default="0025068D" w:rsidP="0025068D">
      <w:pPr>
        <w:spacing w:after="0" w:line="240" w:lineRule="auto"/>
        <w:rPr>
          <w:rFonts w:ascii="Times New Roman" w:hAnsi="Times New Roman" w:cs="Times New Roman"/>
          <w:sz w:val="24"/>
          <w:szCs w:val="24"/>
        </w:rPr>
      </w:pPr>
    </w:p>
    <w:p w:rsidR="007124A2" w:rsidRDefault="007124A2" w:rsidP="0025068D">
      <w:pPr>
        <w:spacing w:after="0" w:line="240" w:lineRule="auto"/>
        <w:rPr>
          <w:rFonts w:ascii="Times New Roman" w:hAnsi="Times New Roman" w:cs="Times New Roman"/>
          <w:sz w:val="24"/>
          <w:szCs w:val="24"/>
        </w:rPr>
      </w:pPr>
    </w:p>
    <w:p w:rsidR="007124A2" w:rsidRPr="0025068D" w:rsidRDefault="007124A2"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sectPr w:rsidR="007C0959" w:rsidSect="00360A6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F6B" w:rsidRDefault="00217F6B" w:rsidP="0063263F">
      <w:pPr>
        <w:spacing w:after="0" w:line="240" w:lineRule="auto"/>
      </w:pPr>
      <w:r>
        <w:separator/>
      </w:r>
    </w:p>
  </w:endnote>
  <w:endnote w:type="continuationSeparator" w:id="0">
    <w:p w:rsidR="00217F6B" w:rsidRDefault="00217F6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F6B" w:rsidRDefault="00217F6B" w:rsidP="0063263F">
      <w:pPr>
        <w:spacing w:after="0" w:line="240" w:lineRule="auto"/>
      </w:pPr>
      <w:r>
        <w:separator/>
      </w:r>
    </w:p>
  </w:footnote>
  <w:footnote w:type="continuationSeparator" w:id="0">
    <w:p w:rsidR="00217F6B" w:rsidRDefault="00217F6B" w:rsidP="00632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53919"/>
    <w:multiLevelType w:val="hybridMultilevel"/>
    <w:tmpl w:val="65480080"/>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E1CA3"/>
    <w:multiLevelType w:val="hybridMultilevel"/>
    <w:tmpl w:val="EBCC9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95F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C46880"/>
    <w:multiLevelType w:val="hybridMultilevel"/>
    <w:tmpl w:val="F6D269C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456BB"/>
    <w:multiLevelType w:val="hybridMultilevel"/>
    <w:tmpl w:val="ADB22C0C"/>
    <w:lvl w:ilvl="0" w:tplc="6B0C1004">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36AE6D94"/>
    <w:multiLevelType w:val="multilevel"/>
    <w:tmpl w:val="1CCC215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72B2958"/>
    <w:multiLevelType w:val="hybridMultilevel"/>
    <w:tmpl w:val="AF8A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C66EB"/>
    <w:multiLevelType w:val="hybridMultilevel"/>
    <w:tmpl w:val="298A220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3362C7"/>
    <w:multiLevelType w:val="hybridMultilevel"/>
    <w:tmpl w:val="52948A8E"/>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A076BB"/>
    <w:multiLevelType w:val="hybridMultilevel"/>
    <w:tmpl w:val="68F4DAC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982B90"/>
    <w:multiLevelType w:val="hybridMultilevel"/>
    <w:tmpl w:val="C7C44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287B82"/>
    <w:multiLevelType w:val="hybridMultilevel"/>
    <w:tmpl w:val="6584EF0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A3045E"/>
    <w:multiLevelType w:val="hybridMultilevel"/>
    <w:tmpl w:val="622235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7"/>
  </w:num>
  <w:num w:numId="3">
    <w:abstractNumId w:val="2"/>
  </w:num>
  <w:num w:numId="4">
    <w:abstractNumId w:val="22"/>
  </w:num>
  <w:num w:numId="5">
    <w:abstractNumId w:val="14"/>
  </w:num>
  <w:num w:numId="6">
    <w:abstractNumId w:val="26"/>
  </w:num>
  <w:num w:numId="7">
    <w:abstractNumId w:val="4"/>
  </w:num>
  <w:num w:numId="8">
    <w:abstractNumId w:val="0"/>
  </w:num>
  <w:num w:numId="9">
    <w:abstractNumId w:val="18"/>
  </w:num>
  <w:num w:numId="10">
    <w:abstractNumId w:val="7"/>
  </w:num>
  <w:num w:numId="11">
    <w:abstractNumId w:val="6"/>
  </w:num>
  <w:num w:numId="12">
    <w:abstractNumId w:val="1"/>
  </w:num>
  <w:num w:numId="13">
    <w:abstractNumId w:val="24"/>
  </w:num>
  <w:num w:numId="14">
    <w:abstractNumId w:val="15"/>
  </w:num>
  <w:num w:numId="15">
    <w:abstractNumId w:val="16"/>
  </w:num>
  <w:num w:numId="16">
    <w:abstractNumId w:val="11"/>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9"/>
  </w:num>
  <w:num w:numId="20">
    <w:abstractNumId w:val="23"/>
  </w:num>
  <w:num w:numId="21">
    <w:abstractNumId w:val="20"/>
  </w:num>
  <w:num w:numId="22">
    <w:abstractNumId w:val="8"/>
  </w:num>
  <w:num w:numId="23">
    <w:abstractNumId w:val="2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57532"/>
    <w:rsid w:val="00070B7C"/>
    <w:rsid w:val="000B5B1F"/>
    <w:rsid w:val="000F362A"/>
    <w:rsid w:val="001852FD"/>
    <w:rsid w:val="00196D4A"/>
    <w:rsid w:val="001A35C7"/>
    <w:rsid w:val="001B27CB"/>
    <w:rsid w:val="001D29D1"/>
    <w:rsid w:val="001E10CD"/>
    <w:rsid w:val="00217F6B"/>
    <w:rsid w:val="00225D9D"/>
    <w:rsid w:val="00241592"/>
    <w:rsid w:val="0025068D"/>
    <w:rsid w:val="002535D7"/>
    <w:rsid w:val="00281DA3"/>
    <w:rsid w:val="002A51CF"/>
    <w:rsid w:val="002B3340"/>
    <w:rsid w:val="002B4C0E"/>
    <w:rsid w:val="002B7CE2"/>
    <w:rsid w:val="002E7AC1"/>
    <w:rsid w:val="002F0A76"/>
    <w:rsid w:val="003142CC"/>
    <w:rsid w:val="0033385B"/>
    <w:rsid w:val="00360A6C"/>
    <w:rsid w:val="00383F81"/>
    <w:rsid w:val="0039702F"/>
    <w:rsid w:val="003C26AB"/>
    <w:rsid w:val="003C45DC"/>
    <w:rsid w:val="00405033"/>
    <w:rsid w:val="00423F17"/>
    <w:rsid w:val="00443497"/>
    <w:rsid w:val="004B75D8"/>
    <w:rsid w:val="004C6186"/>
    <w:rsid w:val="004F3128"/>
    <w:rsid w:val="0054693A"/>
    <w:rsid w:val="00550CF8"/>
    <w:rsid w:val="00554FE6"/>
    <w:rsid w:val="005B013D"/>
    <w:rsid w:val="005C3861"/>
    <w:rsid w:val="005C552C"/>
    <w:rsid w:val="005E3F46"/>
    <w:rsid w:val="00620A59"/>
    <w:rsid w:val="0063263F"/>
    <w:rsid w:val="00633F26"/>
    <w:rsid w:val="006601D8"/>
    <w:rsid w:val="007124A2"/>
    <w:rsid w:val="00722D2F"/>
    <w:rsid w:val="007361F2"/>
    <w:rsid w:val="007569F0"/>
    <w:rsid w:val="00756B6F"/>
    <w:rsid w:val="00756DCC"/>
    <w:rsid w:val="0076197A"/>
    <w:rsid w:val="007674DD"/>
    <w:rsid w:val="00791226"/>
    <w:rsid w:val="007A0DC8"/>
    <w:rsid w:val="007C0959"/>
    <w:rsid w:val="007D7413"/>
    <w:rsid w:val="007F5E8D"/>
    <w:rsid w:val="00840289"/>
    <w:rsid w:val="008433E3"/>
    <w:rsid w:val="00861EBC"/>
    <w:rsid w:val="00862CC1"/>
    <w:rsid w:val="008F353F"/>
    <w:rsid w:val="0090768D"/>
    <w:rsid w:val="00914C7E"/>
    <w:rsid w:val="00960B1C"/>
    <w:rsid w:val="00982A19"/>
    <w:rsid w:val="009C44A8"/>
    <w:rsid w:val="009D71AF"/>
    <w:rsid w:val="009E4BC4"/>
    <w:rsid w:val="00A25A22"/>
    <w:rsid w:val="00A545A9"/>
    <w:rsid w:val="00A932EB"/>
    <w:rsid w:val="00AC49E6"/>
    <w:rsid w:val="00B03396"/>
    <w:rsid w:val="00BB5BBA"/>
    <w:rsid w:val="00BC2BEA"/>
    <w:rsid w:val="00BF11CC"/>
    <w:rsid w:val="00BF4DCD"/>
    <w:rsid w:val="00BF7F57"/>
    <w:rsid w:val="00C35EB4"/>
    <w:rsid w:val="00C814CE"/>
    <w:rsid w:val="00C85428"/>
    <w:rsid w:val="00CC4403"/>
    <w:rsid w:val="00CD5197"/>
    <w:rsid w:val="00CD57F6"/>
    <w:rsid w:val="00CD63C4"/>
    <w:rsid w:val="00CF10A6"/>
    <w:rsid w:val="00CF50BE"/>
    <w:rsid w:val="00D04850"/>
    <w:rsid w:val="00D432A3"/>
    <w:rsid w:val="00D57B03"/>
    <w:rsid w:val="00D675DE"/>
    <w:rsid w:val="00D808F8"/>
    <w:rsid w:val="00DB39A5"/>
    <w:rsid w:val="00DC041B"/>
    <w:rsid w:val="00DC2376"/>
    <w:rsid w:val="00DD2225"/>
    <w:rsid w:val="00DD3180"/>
    <w:rsid w:val="00E25226"/>
    <w:rsid w:val="00E45D69"/>
    <w:rsid w:val="00E52FD4"/>
    <w:rsid w:val="00E73580"/>
    <w:rsid w:val="00E901FC"/>
    <w:rsid w:val="00EA4272"/>
    <w:rsid w:val="00EF7539"/>
    <w:rsid w:val="00F23EE2"/>
    <w:rsid w:val="00F512C4"/>
    <w:rsid w:val="00F67F00"/>
    <w:rsid w:val="00F71D8B"/>
    <w:rsid w:val="00FB20CF"/>
    <w:rsid w:val="00FC30DE"/>
    <w:rsid w:val="00FE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3AC5E9"/>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table" w:styleId="TableGridLight">
    <w:name w:val="Grid Table Light"/>
    <w:basedOn w:val="TableNormal"/>
    <w:uiPriority w:val="40"/>
    <w:rsid w:val="005C55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5C552C"/>
    <w:pPr>
      <w:spacing w:after="0" w:line="240" w:lineRule="auto"/>
    </w:pPr>
    <w:rPr>
      <w:rFonts w:ascii="Calibri" w:eastAsia="Times New Roman" w:hAnsi="Calibri" w:cs="Consolas"/>
      <w:szCs w:val="21"/>
    </w:rPr>
  </w:style>
  <w:style w:type="character" w:customStyle="1" w:styleId="PlainTextChar">
    <w:name w:val="Plain Text Char"/>
    <w:basedOn w:val="DefaultParagraphFont"/>
    <w:link w:val="PlainText"/>
    <w:uiPriority w:val="99"/>
    <w:rsid w:val="005C552C"/>
    <w:rPr>
      <w:rFonts w:ascii="Calibri" w:eastAsia="Times New Roman" w:hAnsi="Calibri" w:cs="Consolas"/>
      <w:szCs w:val="21"/>
    </w:rPr>
  </w:style>
  <w:style w:type="paragraph" w:styleId="NoSpacing">
    <w:name w:val="No Spacing"/>
    <w:uiPriority w:val="1"/>
    <w:qFormat/>
    <w:rsid w:val="005C552C"/>
    <w:pPr>
      <w:spacing w:after="0" w:line="240" w:lineRule="auto"/>
    </w:p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5C552C"/>
  </w:style>
  <w:style w:type="paragraph" w:customStyle="1" w:styleId="Default">
    <w:name w:val="Default"/>
    <w:uiPriority w:val="99"/>
    <w:rsid w:val="005C552C"/>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5C552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0961">
      <w:bodyDiv w:val="1"/>
      <w:marLeft w:val="0"/>
      <w:marRight w:val="0"/>
      <w:marTop w:val="0"/>
      <w:marBottom w:val="0"/>
      <w:divBdr>
        <w:top w:val="none" w:sz="0" w:space="0" w:color="auto"/>
        <w:left w:val="none" w:sz="0" w:space="0" w:color="auto"/>
        <w:bottom w:val="none" w:sz="0" w:space="0" w:color="auto"/>
        <w:right w:val="none" w:sz="0" w:space="0" w:color="auto"/>
      </w:divBdr>
    </w:div>
    <w:div w:id="194541362">
      <w:bodyDiv w:val="1"/>
      <w:marLeft w:val="0"/>
      <w:marRight w:val="0"/>
      <w:marTop w:val="0"/>
      <w:marBottom w:val="0"/>
      <w:divBdr>
        <w:top w:val="none" w:sz="0" w:space="0" w:color="auto"/>
        <w:left w:val="none" w:sz="0" w:space="0" w:color="auto"/>
        <w:bottom w:val="none" w:sz="0" w:space="0" w:color="auto"/>
        <w:right w:val="none" w:sz="0" w:space="0" w:color="auto"/>
      </w:divBdr>
    </w:div>
    <w:div w:id="237402182">
      <w:bodyDiv w:val="1"/>
      <w:marLeft w:val="0"/>
      <w:marRight w:val="0"/>
      <w:marTop w:val="0"/>
      <w:marBottom w:val="0"/>
      <w:divBdr>
        <w:top w:val="none" w:sz="0" w:space="0" w:color="auto"/>
        <w:left w:val="none" w:sz="0" w:space="0" w:color="auto"/>
        <w:bottom w:val="none" w:sz="0" w:space="0" w:color="auto"/>
        <w:right w:val="none" w:sz="0" w:space="0" w:color="auto"/>
      </w:divBdr>
    </w:div>
    <w:div w:id="406459708">
      <w:bodyDiv w:val="1"/>
      <w:marLeft w:val="0"/>
      <w:marRight w:val="0"/>
      <w:marTop w:val="0"/>
      <w:marBottom w:val="0"/>
      <w:divBdr>
        <w:top w:val="none" w:sz="0" w:space="0" w:color="auto"/>
        <w:left w:val="none" w:sz="0" w:space="0" w:color="auto"/>
        <w:bottom w:val="none" w:sz="0" w:space="0" w:color="auto"/>
        <w:right w:val="none" w:sz="0" w:space="0" w:color="auto"/>
      </w:divBdr>
    </w:div>
    <w:div w:id="459886943">
      <w:bodyDiv w:val="1"/>
      <w:marLeft w:val="0"/>
      <w:marRight w:val="0"/>
      <w:marTop w:val="0"/>
      <w:marBottom w:val="0"/>
      <w:divBdr>
        <w:top w:val="none" w:sz="0" w:space="0" w:color="auto"/>
        <w:left w:val="none" w:sz="0" w:space="0" w:color="auto"/>
        <w:bottom w:val="none" w:sz="0" w:space="0" w:color="auto"/>
        <w:right w:val="none" w:sz="0" w:space="0" w:color="auto"/>
      </w:divBdr>
    </w:div>
    <w:div w:id="584582212">
      <w:bodyDiv w:val="1"/>
      <w:marLeft w:val="0"/>
      <w:marRight w:val="0"/>
      <w:marTop w:val="0"/>
      <w:marBottom w:val="0"/>
      <w:divBdr>
        <w:top w:val="none" w:sz="0" w:space="0" w:color="auto"/>
        <w:left w:val="none" w:sz="0" w:space="0" w:color="auto"/>
        <w:bottom w:val="none" w:sz="0" w:space="0" w:color="auto"/>
        <w:right w:val="none" w:sz="0" w:space="0" w:color="auto"/>
      </w:divBdr>
    </w:div>
    <w:div w:id="585965987">
      <w:bodyDiv w:val="1"/>
      <w:marLeft w:val="0"/>
      <w:marRight w:val="0"/>
      <w:marTop w:val="0"/>
      <w:marBottom w:val="0"/>
      <w:divBdr>
        <w:top w:val="none" w:sz="0" w:space="0" w:color="auto"/>
        <w:left w:val="none" w:sz="0" w:space="0" w:color="auto"/>
        <w:bottom w:val="none" w:sz="0" w:space="0" w:color="auto"/>
        <w:right w:val="none" w:sz="0" w:space="0" w:color="auto"/>
      </w:divBdr>
    </w:div>
    <w:div w:id="637687961">
      <w:bodyDiv w:val="1"/>
      <w:marLeft w:val="0"/>
      <w:marRight w:val="0"/>
      <w:marTop w:val="0"/>
      <w:marBottom w:val="0"/>
      <w:divBdr>
        <w:top w:val="none" w:sz="0" w:space="0" w:color="auto"/>
        <w:left w:val="none" w:sz="0" w:space="0" w:color="auto"/>
        <w:bottom w:val="none" w:sz="0" w:space="0" w:color="auto"/>
        <w:right w:val="none" w:sz="0" w:space="0" w:color="auto"/>
      </w:divBdr>
    </w:div>
    <w:div w:id="642538223">
      <w:bodyDiv w:val="1"/>
      <w:marLeft w:val="0"/>
      <w:marRight w:val="0"/>
      <w:marTop w:val="0"/>
      <w:marBottom w:val="0"/>
      <w:divBdr>
        <w:top w:val="none" w:sz="0" w:space="0" w:color="auto"/>
        <w:left w:val="none" w:sz="0" w:space="0" w:color="auto"/>
        <w:bottom w:val="none" w:sz="0" w:space="0" w:color="auto"/>
        <w:right w:val="none" w:sz="0" w:space="0" w:color="auto"/>
      </w:divBdr>
    </w:div>
    <w:div w:id="843515105">
      <w:bodyDiv w:val="1"/>
      <w:marLeft w:val="0"/>
      <w:marRight w:val="0"/>
      <w:marTop w:val="0"/>
      <w:marBottom w:val="0"/>
      <w:divBdr>
        <w:top w:val="none" w:sz="0" w:space="0" w:color="auto"/>
        <w:left w:val="none" w:sz="0" w:space="0" w:color="auto"/>
        <w:bottom w:val="none" w:sz="0" w:space="0" w:color="auto"/>
        <w:right w:val="none" w:sz="0" w:space="0" w:color="auto"/>
      </w:divBdr>
    </w:div>
    <w:div w:id="1015772093">
      <w:bodyDiv w:val="1"/>
      <w:marLeft w:val="0"/>
      <w:marRight w:val="0"/>
      <w:marTop w:val="0"/>
      <w:marBottom w:val="0"/>
      <w:divBdr>
        <w:top w:val="none" w:sz="0" w:space="0" w:color="auto"/>
        <w:left w:val="none" w:sz="0" w:space="0" w:color="auto"/>
        <w:bottom w:val="none" w:sz="0" w:space="0" w:color="auto"/>
        <w:right w:val="none" w:sz="0" w:space="0" w:color="auto"/>
      </w:divBdr>
    </w:div>
    <w:div w:id="1210604972">
      <w:bodyDiv w:val="1"/>
      <w:marLeft w:val="0"/>
      <w:marRight w:val="0"/>
      <w:marTop w:val="0"/>
      <w:marBottom w:val="0"/>
      <w:divBdr>
        <w:top w:val="none" w:sz="0" w:space="0" w:color="auto"/>
        <w:left w:val="none" w:sz="0" w:space="0" w:color="auto"/>
        <w:bottom w:val="none" w:sz="0" w:space="0" w:color="auto"/>
        <w:right w:val="none" w:sz="0" w:space="0" w:color="auto"/>
      </w:divBdr>
    </w:div>
    <w:div w:id="1810173383">
      <w:bodyDiv w:val="1"/>
      <w:marLeft w:val="0"/>
      <w:marRight w:val="0"/>
      <w:marTop w:val="0"/>
      <w:marBottom w:val="0"/>
      <w:divBdr>
        <w:top w:val="none" w:sz="0" w:space="0" w:color="auto"/>
        <w:left w:val="none" w:sz="0" w:space="0" w:color="auto"/>
        <w:bottom w:val="none" w:sz="0" w:space="0" w:color="auto"/>
        <w:right w:val="none" w:sz="0" w:space="0" w:color="auto"/>
      </w:divBdr>
    </w:div>
    <w:div w:id="1839923579">
      <w:bodyDiv w:val="1"/>
      <w:marLeft w:val="0"/>
      <w:marRight w:val="0"/>
      <w:marTop w:val="0"/>
      <w:marBottom w:val="0"/>
      <w:divBdr>
        <w:top w:val="none" w:sz="0" w:space="0" w:color="auto"/>
        <w:left w:val="none" w:sz="0" w:space="0" w:color="auto"/>
        <w:bottom w:val="none" w:sz="0" w:space="0" w:color="auto"/>
        <w:right w:val="none" w:sz="0" w:space="0" w:color="auto"/>
      </w:divBdr>
    </w:div>
    <w:div w:id="1985425602">
      <w:bodyDiv w:val="1"/>
      <w:marLeft w:val="0"/>
      <w:marRight w:val="0"/>
      <w:marTop w:val="0"/>
      <w:marBottom w:val="0"/>
      <w:divBdr>
        <w:top w:val="none" w:sz="0" w:space="0" w:color="auto"/>
        <w:left w:val="none" w:sz="0" w:space="0" w:color="auto"/>
        <w:bottom w:val="none" w:sz="0" w:space="0" w:color="auto"/>
        <w:right w:val="none" w:sz="0" w:space="0" w:color="auto"/>
      </w:divBdr>
    </w:div>
    <w:div w:id="205615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cdc.gov/od/pgo/funding/grants/foamain.sht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grants.gov"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49F1D2088F94AC988F2CE4A01947434"/>
        <w:category>
          <w:name w:val="General"/>
          <w:gallery w:val="placeholder"/>
        </w:category>
        <w:types>
          <w:type w:val="bbPlcHdr"/>
        </w:types>
        <w:behaviors>
          <w:behavior w:val="content"/>
        </w:behaviors>
        <w:guid w:val="{DC82ABA5-4142-4B19-B4B2-89DACFE47733}"/>
      </w:docPartPr>
      <w:docPartBody>
        <w:p w:rsidR="00050065" w:rsidRDefault="007F3B47" w:rsidP="007F3B47">
          <w:pPr>
            <w:pStyle w:val="649F1D2088F94AC988F2CE4A0194743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50065"/>
    <w:rsid w:val="000A5BF9"/>
    <w:rsid w:val="000B6DE6"/>
    <w:rsid w:val="000C32C5"/>
    <w:rsid w:val="00165F6A"/>
    <w:rsid w:val="002648C9"/>
    <w:rsid w:val="004E326C"/>
    <w:rsid w:val="00533C9E"/>
    <w:rsid w:val="005A72D8"/>
    <w:rsid w:val="006D4B85"/>
    <w:rsid w:val="00731DB5"/>
    <w:rsid w:val="007F3B47"/>
    <w:rsid w:val="00896E83"/>
    <w:rsid w:val="008C6DFC"/>
    <w:rsid w:val="008D41AE"/>
    <w:rsid w:val="009313A2"/>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B47"/>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A9D318533BC74F6F8FF112EFB3481B00">
    <w:name w:val="A9D318533BC74F6F8FF112EFB3481B00"/>
    <w:rsid w:val="009313A2"/>
    <w:pPr>
      <w:spacing w:after="160" w:line="259" w:lineRule="auto"/>
    </w:pPr>
  </w:style>
  <w:style w:type="paragraph" w:customStyle="1" w:styleId="CC55D4DB66734DE7A6F54B0A95FC8953">
    <w:name w:val="CC55D4DB66734DE7A6F54B0A95FC8953"/>
    <w:rsid w:val="009313A2"/>
    <w:pPr>
      <w:spacing w:after="160" w:line="259" w:lineRule="auto"/>
    </w:pPr>
  </w:style>
  <w:style w:type="paragraph" w:customStyle="1" w:styleId="3A04895BFD514468856FB12F78BBE86E">
    <w:name w:val="3A04895BFD514468856FB12F78BBE86E"/>
    <w:rsid w:val="009313A2"/>
    <w:pPr>
      <w:spacing w:after="160" w:line="259" w:lineRule="auto"/>
    </w:pPr>
  </w:style>
  <w:style w:type="paragraph" w:customStyle="1" w:styleId="649F1D2088F94AC988F2CE4A01947434">
    <w:name w:val="649F1D2088F94AC988F2CE4A01947434"/>
    <w:rsid w:val="007F3B4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CC0D0CE7-2ED0-4830-9073-C4BB7F9D845F}">
  <ds:schemaRefs>
    <ds:schemaRef ds:uri="http://schemas.microsoft.com/sharepoint/v3"/>
    <ds:schemaRef ds:uri="http://purl.org/dc/terms/"/>
    <ds:schemaRef ds:uri="http://schemas.openxmlformats.org/package/2006/metadata/core-properties"/>
    <ds:schemaRef ds:uri="ba9c2f0c-b8e4-4bbe-aaf2-af25d780b7e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1965B614-7FF8-466C-80A5-4BFC4756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3938</Words>
  <Characters>23709</Characters>
  <Application>Microsoft Office Word</Application>
  <DocSecurity>0</DocSecurity>
  <Lines>592</Lines>
  <Paragraphs>129</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2017-07-21T13:34:00Z</cp:lastPrinted>
  <dcterms:created xsi:type="dcterms:W3CDTF">2017-07-21T20:57:00Z</dcterms:created>
  <dcterms:modified xsi:type="dcterms:W3CDTF">2017-07-21T20:57:00Z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