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931E44" w14:textId="77777777" w:rsidR="00FB14E6" w:rsidRDefault="00FB14E6" w:rsidP="004A24C8">
      <w:pPr>
        <w:jc w:val="center"/>
        <w:rPr>
          <w:rFonts w:ascii="Times New Roman" w:eastAsia="Times New Roman" w:hAnsi="Times New Roman" w:cs="Times New Roman"/>
          <w:b/>
          <w:bCs/>
          <w:color w:val="000000"/>
          <w:sz w:val="24"/>
          <w:szCs w:val="24"/>
        </w:rPr>
      </w:pPr>
    </w:p>
    <w:p w14:paraId="57FD12EF" w14:textId="77777777" w:rsidR="00FB14E6" w:rsidRDefault="00FB14E6" w:rsidP="004A24C8">
      <w:pPr>
        <w:jc w:val="center"/>
        <w:rPr>
          <w:rFonts w:ascii="Times New Roman" w:eastAsia="Times New Roman" w:hAnsi="Times New Roman" w:cs="Times New Roman"/>
          <w:b/>
          <w:bCs/>
          <w:color w:val="000000"/>
          <w:sz w:val="24"/>
          <w:szCs w:val="24"/>
        </w:rPr>
      </w:pPr>
    </w:p>
    <w:p w14:paraId="22CC3ACF" w14:textId="77777777" w:rsidR="00FB14E6" w:rsidRDefault="00FB14E6" w:rsidP="004A24C8">
      <w:pPr>
        <w:jc w:val="center"/>
        <w:rPr>
          <w:rFonts w:ascii="Times New Roman" w:eastAsia="Times New Roman" w:hAnsi="Times New Roman" w:cs="Times New Roman"/>
          <w:b/>
          <w:bCs/>
          <w:color w:val="000000"/>
          <w:sz w:val="24"/>
          <w:szCs w:val="24"/>
        </w:rPr>
      </w:pPr>
    </w:p>
    <w:p w14:paraId="0FF8E4D4" w14:textId="77777777" w:rsidR="00FB14E6" w:rsidRDefault="00FB14E6" w:rsidP="004A24C8">
      <w:pPr>
        <w:jc w:val="center"/>
        <w:rPr>
          <w:rFonts w:ascii="Times New Roman" w:eastAsia="Times New Roman" w:hAnsi="Times New Roman" w:cs="Times New Roman"/>
          <w:b/>
          <w:bCs/>
          <w:color w:val="000000"/>
          <w:sz w:val="24"/>
          <w:szCs w:val="24"/>
        </w:rPr>
      </w:pPr>
    </w:p>
    <w:p w14:paraId="5A6F5362" w14:textId="77777777" w:rsidR="00FB14E6" w:rsidRDefault="00FB14E6" w:rsidP="004A24C8">
      <w:pPr>
        <w:jc w:val="center"/>
        <w:rPr>
          <w:rFonts w:ascii="Times New Roman" w:eastAsia="Times New Roman" w:hAnsi="Times New Roman" w:cs="Times New Roman"/>
          <w:b/>
          <w:bCs/>
          <w:color w:val="000000"/>
          <w:sz w:val="24"/>
          <w:szCs w:val="24"/>
        </w:rPr>
      </w:pPr>
    </w:p>
    <w:p w14:paraId="7BDEC38B" w14:textId="77777777" w:rsidR="00FB14E6" w:rsidRDefault="00FB14E6" w:rsidP="004A24C8">
      <w:pPr>
        <w:jc w:val="center"/>
        <w:rPr>
          <w:rFonts w:ascii="Times New Roman" w:eastAsia="Times New Roman" w:hAnsi="Times New Roman" w:cs="Times New Roman"/>
          <w:b/>
          <w:bCs/>
          <w:color w:val="000000"/>
          <w:sz w:val="24"/>
          <w:szCs w:val="24"/>
        </w:rPr>
      </w:pPr>
    </w:p>
    <w:p w14:paraId="2C00AFBF" w14:textId="77777777" w:rsidR="00FB14E6" w:rsidRDefault="00FB14E6" w:rsidP="004A24C8">
      <w:pPr>
        <w:jc w:val="center"/>
        <w:rPr>
          <w:rFonts w:ascii="Times New Roman" w:eastAsia="Times New Roman" w:hAnsi="Times New Roman" w:cs="Times New Roman"/>
          <w:b/>
          <w:bCs/>
          <w:color w:val="000000"/>
          <w:sz w:val="24"/>
          <w:szCs w:val="24"/>
        </w:rPr>
      </w:pPr>
    </w:p>
    <w:p w14:paraId="3162FCCB" w14:textId="77777777" w:rsidR="00FB14E6" w:rsidRDefault="00FB14E6" w:rsidP="004A24C8">
      <w:pPr>
        <w:jc w:val="center"/>
        <w:rPr>
          <w:rFonts w:ascii="Times New Roman" w:eastAsia="Times New Roman" w:hAnsi="Times New Roman" w:cs="Times New Roman"/>
          <w:b/>
          <w:bCs/>
          <w:color w:val="000000"/>
          <w:sz w:val="24"/>
          <w:szCs w:val="24"/>
        </w:rPr>
      </w:pPr>
    </w:p>
    <w:p w14:paraId="3D88B962" w14:textId="77777777" w:rsidR="00FB14E6" w:rsidRDefault="00FB14E6" w:rsidP="004A24C8">
      <w:pPr>
        <w:jc w:val="center"/>
        <w:rPr>
          <w:rFonts w:ascii="Times New Roman" w:eastAsia="Times New Roman" w:hAnsi="Times New Roman" w:cs="Times New Roman"/>
          <w:b/>
          <w:bCs/>
          <w:color w:val="000000"/>
          <w:sz w:val="24"/>
          <w:szCs w:val="24"/>
        </w:rPr>
      </w:pPr>
    </w:p>
    <w:p w14:paraId="413CC2F0" w14:textId="77777777" w:rsidR="00FB14E6" w:rsidRDefault="00FB14E6" w:rsidP="004A24C8">
      <w:pPr>
        <w:jc w:val="center"/>
        <w:rPr>
          <w:rFonts w:ascii="Times New Roman" w:eastAsia="Times New Roman" w:hAnsi="Times New Roman" w:cs="Times New Roman"/>
          <w:b/>
          <w:bCs/>
          <w:color w:val="000000"/>
          <w:sz w:val="24"/>
          <w:szCs w:val="24"/>
        </w:rPr>
      </w:pPr>
    </w:p>
    <w:p w14:paraId="530F3EF6" w14:textId="77777777" w:rsidR="00FB14E6" w:rsidRDefault="00FB14E6" w:rsidP="004A24C8">
      <w:pPr>
        <w:jc w:val="center"/>
        <w:rPr>
          <w:rFonts w:ascii="Times New Roman" w:eastAsia="Times New Roman" w:hAnsi="Times New Roman" w:cs="Times New Roman"/>
          <w:b/>
          <w:bCs/>
          <w:color w:val="000000"/>
          <w:sz w:val="24"/>
          <w:szCs w:val="24"/>
        </w:rPr>
      </w:pPr>
    </w:p>
    <w:p w14:paraId="0AEF520A" w14:textId="77777777" w:rsidR="004A24C8" w:rsidRDefault="004A24C8" w:rsidP="004A24C8">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Gender and Social Inclusion Analysis</w:t>
      </w:r>
    </w:p>
    <w:p w14:paraId="1A2B07FA" w14:textId="77777777" w:rsidR="004A24C8" w:rsidRDefault="004A24C8" w:rsidP="004A24C8">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USAID/Uganda</w:t>
      </w:r>
    </w:p>
    <w:p w14:paraId="7FDDBA17" w14:textId="52EB967C" w:rsidR="00FB14E6" w:rsidRDefault="000546BF" w:rsidP="00FB14E6">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Dec</w:t>
      </w:r>
      <w:r w:rsidR="004A24C8">
        <w:rPr>
          <w:rFonts w:ascii="Times New Roman" w:eastAsia="Times New Roman" w:hAnsi="Times New Roman" w:cs="Times New Roman"/>
          <w:b/>
          <w:bCs/>
          <w:color w:val="000000"/>
          <w:sz w:val="24"/>
          <w:szCs w:val="24"/>
        </w:rPr>
        <w:t>ember 2015</w:t>
      </w:r>
    </w:p>
    <w:p w14:paraId="7838EE00" w14:textId="77777777" w:rsidR="004A24C8" w:rsidRDefault="00FB14E6" w:rsidP="00FB14E6">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br w:type="page"/>
      </w:r>
    </w:p>
    <w:p w14:paraId="3B0F7AB3" w14:textId="77777777" w:rsidR="00F92D8F" w:rsidRDefault="00F92D8F" w:rsidP="00F92D8F">
      <w:pPr>
        <w:spacing w:line="240" w:lineRule="auto"/>
      </w:pPr>
      <w:r>
        <w:rPr>
          <w:rFonts w:ascii="Times New Roman" w:eastAsia="Times New Roman" w:hAnsi="Times New Roman" w:cs="Times New Roman"/>
          <w:sz w:val="24"/>
          <w:szCs w:val="24"/>
        </w:rPr>
        <w:lastRenderedPageBreak/>
        <w:t>Background and Introduction</w:t>
      </w:r>
    </w:p>
    <w:p w14:paraId="5BE2F2E0" w14:textId="77777777" w:rsidR="00F92D8F" w:rsidRDefault="00F92D8F" w:rsidP="00F92D8F">
      <w:pPr>
        <w:spacing w:line="240" w:lineRule="auto"/>
      </w:pPr>
      <w:r>
        <w:rPr>
          <w:rFonts w:ascii="Times New Roman" w:eastAsia="Times New Roman" w:hAnsi="Times New Roman" w:cs="Times New Roman"/>
          <w:sz w:val="24"/>
          <w:szCs w:val="24"/>
        </w:rPr>
        <w:t>Development Objective 1: Systems</w:t>
      </w:r>
    </w:p>
    <w:p w14:paraId="2C8C7104" w14:textId="77777777" w:rsidR="00F92D8F" w:rsidRDefault="00F92D8F" w:rsidP="00F92D8F">
      <w:pPr>
        <w:spacing w:line="240" w:lineRule="auto"/>
        <w:ind w:left="720"/>
      </w:pPr>
      <w:r>
        <w:rPr>
          <w:rFonts w:ascii="Times New Roman" w:eastAsia="Times New Roman" w:hAnsi="Times New Roman" w:cs="Times New Roman"/>
          <w:sz w:val="24"/>
          <w:szCs w:val="24"/>
        </w:rPr>
        <w:t>Descriptive National-Level Representation</w:t>
      </w:r>
    </w:p>
    <w:p w14:paraId="22D860AD" w14:textId="77777777" w:rsidR="00F92D8F" w:rsidRDefault="00F92D8F" w:rsidP="00F92D8F">
      <w:pPr>
        <w:spacing w:line="240" w:lineRule="auto"/>
        <w:ind w:left="720"/>
      </w:pPr>
      <w:r>
        <w:rPr>
          <w:rFonts w:ascii="Times New Roman" w:eastAsia="Times New Roman" w:hAnsi="Times New Roman" w:cs="Times New Roman"/>
          <w:sz w:val="24"/>
          <w:szCs w:val="24"/>
        </w:rPr>
        <w:t>Descriptive Subnational Representation</w:t>
      </w:r>
    </w:p>
    <w:p w14:paraId="6201857E" w14:textId="77777777" w:rsidR="00F92D8F" w:rsidRDefault="00F92D8F" w:rsidP="00F92D8F">
      <w:pPr>
        <w:spacing w:line="240" w:lineRule="auto"/>
        <w:ind w:left="720"/>
      </w:pPr>
      <w:r>
        <w:rPr>
          <w:rFonts w:ascii="Times New Roman" w:eastAsia="Times New Roman" w:hAnsi="Times New Roman" w:cs="Times New Roman"/>
          <w:sz w:val="24"/>
          <w:szCs w:val="24"/>
        </w:rPr>
        <w:t>Substantive Representation and Legal Protections</w:t>
      </w:r>
    </w:p>
    <w:p w14:paraId="6F6B18E6" w14:textId="77777777" w:rsidR="00F92D8F" w:rsidRDefault="00F92D8F" w:rsidP="00F92D8F">
      <w:pPr>
        <w:spacing w:line="240" w:lineRule="auto"/>
        <w:ind w:left="720"/>
      </w:pPr>
      <w:r>
        <w:rPr>
          <w:rFonts w:ascii="Times New Roman" w:eastAsia="Times New Roman" w:hAnsi="Times New Roman" w:cs="Times New Roman"/>
          <w:sz w:val="24"/>
          <w:szCs w:val="24"/>
        </w:rPr>
        <w:t xml:space="preserve">Data Gaps, Operational Learning Agenda, and Considerations for Design </w:t>
      </w:r>
    </w:p>
    <w:p w14:paraId="7AA71F7F" w14:textId="77777777" w:rsidR="00F92D8F" w:rsidRDefault="00F92D8F" w:rsidP="00F92D8F">
      <w:pPr>
        <w:spacing w:line="240" w:lineRule="auto"/>
      </w:pPr>
      <w:r>
        <w:rPr>
          <w:rFonts w:ascii="Times New Roman" w:eastAsia="Times New Roman" w:hAnsi="Times New Roman" w:cs="Times New Roman"/>
          <w:sz w:val="24"/>
          <w:szCs w:val="24"/>
        </w:rPr>
        <w:t>Development Objective 2: Demographics</w:t>
      </w:r>
    </w:p>
    <w:p w14:paraId="7870335C" w14:textId="77777777" w:rsidR="00F92D8F" w:rsidRDefault="00F92D8F" w:rsidP="00F92D8F">
      <w:pPr>
        <w:spacing w:line="240" w:lineRule="auto"/>
        <w:ind w:left="720"/>
      </w:pPr>
      <w:r>
        <w:rPr>
          <w:rFonts w:ascii="Times New Roman" w:eastAsia="Times New Roman" w:hAnsi="Times New Roman" w:cs="Times New Roman"/>
          <w:sz w:val="24"/>
          <w:szCs w:val="24"/>
        </w:rPr>
        <w:t>The unmet need for contraception</w:t>
      </w:r>
    </w:p>
    <w:p w14:paraId="036F43BE" w14:textId="77777777" w:rsidR="00F92D8F" w:rsidRDefault="00F92D8F" w:rsidP="00F92D8F">
      <w:pPr>
        <w:spacing w:line="240" w:lineRule="auto"/>
        <w:ind w:left="720"/>
      </w:pPr>
      <w:r>
        <w:rPr>
          <w:rFonts w:ascii="Times New Roman" w:eastAsia="Times New Roman" w:hAnsi="Times New Roman" w:cs="Times New Roman"/>
          <w:sz w:val="24"/>
          <w:szCs w:val="24"/>
        </w:rPr>
        <w:t>Preventing and combating gender-based violence</w:t>
      </w:r>
    </w:p>
    <w:p w14:paraId="5E86721D" w14:textId="77777777" w:rsidR="00F92D8F" w:rsidRDefault="00F92D8F" w:rsidP="00F92D8F">
      <w:pPr>
        <w:spacing w:line="240" w:lineRule="auto"/>
        <w:ind w:left="720"/>
      </w:pPr>
      <w:r>
        <w:rPr>
          <w:rFonts w:ascii="Times New Roman" w:eastAsia="Times New Roman" w:hAnsi="Times New Roman" w:cs="Times New Roman"/>
          <w:sz w:val="24"/>
          <w:szCs w:val="24"/>
        </w:rPr>
        <w:tab/>
        <w:t>Early Marriage</w:t>
      </w:r>
    </w:p>
    <w:p w14:paraId="66D4B52C" w14:textId="77777777" w:rsidR="00F92D8F" w:rsidRDefault="00F92D8F" w:rsidP="00F92D8F">
      <w:pPr>
        <w:spacing w:line="240" w:lineRule="auto"/>
        <w:ind w:left="720"/>
      </w:pPr>
      <w:r>
        <w:rPr>
          <w:rFonts w:ascii="Times New Roman" w:eastAsia="Times New Roman" w:hAnsi="Times New Roman" w:cs="Times New Roman"/>
          <w:sz w:val="24"/>
          <w:szCs w:val="24"/>
        </w:rPr>
        <w:tab/>
        <w:t>Female Genital Mutilation</w:t>
      </w:r>
    </w:p>
    <w:p w14:paraId="093755BE" w14:textId="77777777" w:rsidR="00F92D8F" w:rsidRDefault="00F92D8F" w:rsidP="00F92D8F">
      <w:pPr>
        <w:spacing w:line="240" w:lineRule="auto"/>
        <w:ind w:left="720"/>
      </w:pPr>
      <w:r>
        <w:rPr>
          <w:rFonts w:ascii="Times New Roman" w:eastAsia="Times New Roman" w:hAnsi="Times New Roman" w:cs="Times New Roman"/>
          <w:sz w:val="24"/>
          <w:szCs w:val="24"/>
        </w:rPr>
        <w:tab/>
        <w:t xml:space="preserve">Violence in Schools </w:t>
      </w:r>
    </w:p>
    <w:p w14:paraId="2AE11E0F" w14:textId="77777777" w:rsidR="00F92D8F" w:rsidRDefault="00F92D8F" w:rsidP="00F92D8F">
      <w:pPr>
        <w:spacing w:line="240" w:lineRule="auto"/>
        <w:ind w:left="720"/>
      </w:pPr>
      <w:r>
        <w:rPr>
          <w:rFonts w:ascii="Times New Roman" w:eastAsia="Times New Roman" w:hAnsi="Times New Roman" w:cs="Times New Roman"/>
          <w:sz w:val="24"/>
          <w:szCs w:val="24"/>
        </w:rPr>
        <w:tab/>
        <w:t>Intimate Partner Violence in Post-Conflict Uganda</w:t>
      </w:r>
    </w:p>
    <w:p w14:paraId="194AFC98" w14:textId="77777777" w:rsidR="00F92D8F" w:rsidRDefault="00F92D8F" w:rsidP="00F92D8F">
      <w:pPr>
        <w:spacing w:line="240" w:lineRule="auto"/>
        <w:ind w:left="720"/>
      </w:pPr>
      <w:r>
        <w:rPr>
          <w:rFonts w:ascii="Times New Roman" w:eastAsia="Times New Roman" w:hAnsi="Times New Roman" w:cs="Times New Roman"/>
          <w:sz w:val="24"/>
          <w:szCs w:val="24"/>
        </w:rPr>
        <w:tab/>
        <w:t>Violence against Sexual Minorities</w:t>
      </w:r>
    </w:p>
    <w:p w14:paraId="6CC91035" w14:textId="77777777" w:rsidR="00F92D8F" w:rsidRDefault="00F92D8F" w:rsidP="00F92D8F">
      <w:pPr>
        <w:spacing w:line="240" w:lineRule="auto"/>
        <w:ind w:left="720"/>
      </w:pPr>
      <w:r>
        <w:rPr>
          <w:rFonts w:ascii="Times New Roman" w:eastAsia="Times New Roman" w:hAnsi="Times New Roman" w:cs="Times New Roman"/>
          <w:sz w:val="24"/>
          <w:szCs w:val="24"/>
        </w:rPr>
        <w:t xml:space="preserve">Improving maternal child health </w:t>
      </w:r>
    </w:p>
    <w:p w14:paraId="787FBBE9" w14:textId="77777777" w:rsidR="00F92D8F" w:rsidRDefault="00F92D8F" w:rsidP="00F92D8F">
      <w:pPr>
        <w:spacing w:line="240" w:lineRule="auto"/>
        <w:ind w:left="720"/>
      </w:pPr>
      <w:r>
        <w:rPr>
          <w:rFonts w:ascii="Times New Roman" w:eastAsia="Times New Roman" w:hAnsi="Times New Roman" w:cs="Times New Roman"/>
          <w:sz w:val="24"/>
          <w:szCs w:val="24"/>
        </w:rPr>
        <w:t>Equitable Education</w:t>
      </w:r>
    </w:p>
    <w:p w14:paraId="5758C0D2" w14:textId="77777777" w:rsidR="00F92D8F" w:rsidRDefault="00F92D8F" w:rsidP="00F92D8F">
      <w:pPr>
        <w:spacing w:line="240" w:lineRule="auto"/>
      </w:pPr>
      <w:r>
        <w:rPr>
          <w:rFonts w:ascii="Times New Roman" w:eastAsia="Times New Roman" w:hAnsi="Times New Roman" w:cs="Times New Roman"/>
          <w:sz w:val="24"/>
          <w:szCs w:val="24"/>
        </w:rPr>
        <w:t>Development Objective 3: Resilience</w:t>
      </w:r>
    </w:p>
    <w:p w14:paraId="02EA16C7" w14:textId="77777777" w:rsidR="00F92D8F" w:rsidRDefault="00F92D8F" w:rsidP="00F92D8F">
      <w:pPr>
        <w:spacing w:line="240" w:lineRule="auto"/>
        <w:ind w:left="720"/>
      </w:pPr>
      <w:r>
        <w:rPr>
          <w:rFonts w:ascii="Times New Roman" w:eastAsia="Times New Roman" w:hAnsi="Times New Roman" w:cs="Times New Roman"/>
          <w:sz w:val="24"/>
          <w:szCs w:val="24"/>
        </w:rPr>
        <w:t>Land rights</w:t>
      </w:r>
    </w:p>
    <w:p w14:paraId="697885A4" w14:textId="77777777" w:rsidR="00F92D8F" w:rsidRDefault="00F92D8F" w:rsidP="00F92D8F">
      <w:pPr>
        <w:spacing w:line="240" w:lineRule="auto"/>
        <w:ind w:left="720"/>
      </w:pPr>
      <w:r>
        <w:rPr>
          <w:rFonts w:ascii="Times New Roman" w:eastAsia="Times New Roman" w:hAnsi="Times New Roman" w:cs="Times New Roman"/>
          <w:sz w:val="24"/>
          <w:szCs w:val="24"/>
        </w:rPr>
        <w:t>Agriculture Employment and Time Use</w:t>
      </w:r>
    </w:p>
    <w:p w14:paraId="4FABCB02" w14:textId="77777777" w:rsidR="00F92D8F" w:rsidRDefault="00F92D8F" w:rsidP="00F92D8F">
      <w:pPr>
        <w:spacing w:line="240" w:lineRule="auto"/>
        <w:ind w:left="720"/>
      </w:pPr>
      <w:r>
        <w:rPr>
          <w:rFonts w:ascii="Times New Roman" w:eastAsia="Times New Roman" w:hAnsi="Times New Roman" w:cs="Times New Roman"/>
          <w:sz w:val="24"/>
          <w:szCs w:val="24"/>
        </w:rPr>
        <w:t>Empowering Men and Youth</w:t>
      </w:r>
    </w:p>
    <w:p w14:paraId="0C97E1D3" w14:textId="77777777" w:rsidR="00F92D8F" w:rsidRDefault="00F92D8F" w:rsidP="00F92D8F">
      <w:pPr>
        <w:spacing w:line="240" w:lineRule="auto"/>
      </w:pPr>
      <w:r>
        <w:rPr>
          <w:rFonts w:ascii="Times New Roman" w:eastAsia="Times New Roman" w:hAnsi="Times New Roman" w:cs="Times New Roman"/>
          <w:sz w:val="24"/>
          <w:szCs w:val="24"/>
        </w:rPr>
        <w:t xml:space="preserve">Special Objective: HIV/AIDS Epidemic Control </w:t>
      </w:r>
    </w:p>
    <w:p w14:paraId="39BF03D1" w14:textId="77777777" w:rsidR="00F92D8F" w:rsidRDefault="00F92D8F" w:rsidP="00F92D8F">
      <w:pPr>
        <w:spacing w:line="240" w:lineRule="auto"/>
        <w:ind w:left="720"/>
      </w:pPr>
      <w:r>
        <w:rPr>
          <w:rFonts w:ascii="Times New Roman" w:eastAsia="Times New Roman" w:hAnsi="Times New Roman" w:cs="Times New Roman"/>
          <w:sz w:val="24"/>
          <w:szCs w:val="24"/>
        </w:rPr>
        <w:t>Gender and Prevalence</w:t>
      </w:r>
    </w:p>
    <w:p w14:paraId="70022A30" w14:textId="77777777" w:rsidR="00F92D8F" w:rsidRDefault="00F92D8F" w:rsidP="00F92D8F">
      <w:pPr>
        <w:spacing w:line="240" w:lineRule="auto"/>
        <w:ind w:left="720"/>
      </w:pPr>
      <w:r>
        <w:rPr>
          <w:rFonts w:ascii="Times New Roman" w:eastAsia="Times New Roman" w:hAnsi="Times New Roman" w:cs="Times New Roman"/>
          <w:sz w:val="24"/>
          <w:szCs w:val="24"/>
        </w:rPr>
        <w:tab/>
        <w:t>Men who have sex with men</w:t>
      </w:r>
    </w:p>
    <w:p w14:paraId="1E19554C" w14:textId="77777777" w:rsidR="00F92D8F" w:rsidRDefault="00F92D8F" w:rsidP="00F92D8F">
      <w:pPr>
        <w:spacing w:line="240" w:lineRule="auto"/>
        <w:ind w:left="720"/>
      </w:pPr>
      <w:r>
        <w:rPr>
          <w:rFonts w:ascii="Times New Roman" w:eastAsia="Times New Roman" w:hAnsi="Times New Roman" w:cs="Times New Roman"/>
          <w:sz w:val="24"/>
          <w:szCs w:val="24"/>
        </w:rPr>
        <w:tab/>
        <w:t xml:space="preserve">Women and Girls </w:t>
      </w:r>
    </w:p>
    <w:p w14:paraId="4CEA00C7" w14:textId="77777777" w:rsidR="00F92D8F" w:rsidRDefault="00F92D8F" w:rsidP="00F92D8F">
      <w:pPr>
        <w:spacing w:line="240" w:lineRule="auto"/>
        <w:ind w:left="720"/>
      </w:pPr>
      <w:r>
        <w:rPr>
          <w:rFonts w:ascii="Times New Roman" w:eastAsia="Times New Roman" w:hAnsi="Times New Roman" w:cs="Times New Roman"/>
          <w:sz w:val="24"/>
          <w:szCs w:val="24"/>
        </w:rPr>
        <w:t>Gender and Treatment Access</w:t>
      </w:r>
    </w:p>
    <w:p w14:paraId="482CA6A9" w14:textId="77777777" w:rsidR="00F92D8F" w:rsidRDefault="00F92D8F" w:rsidP="00F92D8F">
      <w:pPr>
        <w:spacing w:line="240" w:lineRule="auto"/>
        <w:ind w:left="720"/>
      </w:pPr>
      <w:r>
        <w:rPr>
          <w:rFonts w:ascii="Times New Roman" w:eastAsia="Times New Roman" w:hAnsi="Times New Roman" w:cs="Times New Roman"/>
          <w:sz w:val="24"/>
          <w:szCs w:val="24"/>
        </w:rPr>
        <w:t xml:space="preserve">Data Gaps, Operational Learning Agenda, and Considerations for Design </w:t>
      </w:r>
    </w:p>
    <w:p w14:paraId="74028F76" w14:textId="77777777" w:rsidR="00F92D8F" w:rsidRDefault="00F92D8F" w:rsidP="00F92D8F">
      <w:pPr>
        <w:spacing w:line="240" w:lineRule="auto"/>
      </w:pPr>
      <w:r>
        <w:rPr>
          <w:rFonts w:ascii="Times New Roman" w:eastAsia="Times New Roman" w:hAnsi="Times New Roman" w:cs="Times New Roman"/>
          <w:sz w:val="24"/>
          <w:szCs w:val="24"/>
        </w:rPr>
        <w:t xml:space="preserve">Recommendations for USAID/Uganda </w:t>
      </w:r>
    </w:p>
    <w:p w14:paraId="21469B8E" w14:textId="77777777" w:rsidR="00F92D8F" w:rsidRDefault="00F92D8F">
      <w:r>
        <w:lastRenderedPageBreak/>
        <w:br w:type="page"/>
      </w:r>
    </w:p>
    <w:p w14:paraId="67711A84" w14:textId="0CD4481E" w:rsidR="00F92D8F" w:rsidRDefault="00F92D8F" w:rsidP="00F92D8F">
      <w:pPr>
        <w:spacing w:line="240" w:lineRule="auto"/>
      </w:pPr>
      <w:r>
        <w:rPr>
          <w:rFonts w:ascii="Times New Roman" w:eastAsia="Times New Roman" w:hAnsi="Times New Roman" w:cs="Times New Roman"/>
          <w:b/>
          <w:sz w:val="24"/>
          <w:szCs w:val="24"/>
        </w:rPr>
        <w:lastRenderedPageBreak/>
        <w:t xml:space="preserve">Background and Introduction </w:t>
      </w:r>
    </w:p>
    <w:p w14:paraId="7913344F" w14:textId="77777777" w:rsidR="00F92D8F" w:rsidRDefault="00F92D8F" w:rsidP="00F92D8F">
      <w:r>
        <w:rPr>
          <w:rFonts w:ascii="Times New Roman" w:eastAsia="Times New Roman" w:hAnsi="Times New Roman" w:cs="Times New Roman"/>
          <w:sz w:val="24"/>
          <w:szCs w:val="24"/>
        </w:rPr>
        <w:t>Any analysis of social roles and identities in Uganda must first acknowledge the diversity of the country and historical variation that shape the experiences of all Ugandans differently. This analysis makes reference to Uganda and Ugandans; however, these terms obscure the variation among more than 37 million citizens.  The definition and role of men, women, people with disabilities, as well as ethnic and sexual minorities vary across Uganda. Community dynamics in urban areas differ from those in rural Uganda. Age matters, as young people confront different roles and expectations and have differing needs from their elders. Tribal, religious, and other identities shape the understanding of a person’s place in a community. Roles of men and women differ between kingdoms, chiefdoms, and smaller clans. Religious identity further shapes these social dynamics. Conflicts, including the insurgency of the Lord’s Resistance Army and the cross-border violence in the Karamoja region, have also left lasting legacies that change social identities, region to region.</w:t>
      </w:r>
    </w:p>
    <w:p w14:paraId="70CAAC4A" w14:textId="77777777" w:rsidR="00F92D8F" w:rsidRDefault="00F92D8F" w:rsidP="00F92D8F">
      <w:r>
        <w:rPr>
          <w:rFonts w:ascii="Times New Roman" w:eastAsia="Times New Roman" w:hAnsi="Times New Roman" w:cs="Times New Roman"/>
          <w:sz w:val="24"/>
          <w:szCs w:val="24"/>
        </w:rPr>
        <w:t>Since independence in 1962 tribal affiliations, traditions and religious identities have been shifting.  The majority of Ugandans, or roughly eighty-four per cent, identify as Christian. Catholic and Protestant denominations are approximately equal in size. Twelve per cent of Ugandans are Muslims</w:t>
      </w:r>
      <w:r>
        <w:rPr>
          <w:rStyle w:val="FootnoteReference"/>
          <w:rFonts w:ascii="Times New Roman" w:eastAsia="Times New Roman" w:hAnsi="Times New Roman" w:cs="Times New Roman"/>
          <w:sz w:val="24"/>
          <w:szCs w:val="24"/>
        </w:rPr>
        <w:footnoteReference w:id="1"/>
      </w:r>
      <w:r>
        <w:rPr>
          <w:rFonts w:ascii="Times New Roman" w:eastAsia="Times New Roman" w:hAnsi="Times New Roman" w:cs="Times New Roman"/>
          <w:sz w:val="24"/>
          <w:szCs w:val="24"/>
        </w:rPr>
        <w:t xml:space="preserve">. The remainder of the population claims no religion or a minority faith. Some tribes exist with formal structures to preserve social norms whilst others were abolished at independence and have no such structures.  </w:t>
      </w:r>
    </w:p>
    <w:p w14:paraId="06B42EA5" w14:textId="77CC421E" w:rsidR="00F92D8F" w:rsidRDefault="00F92D8F" w:rsidP="00F92D8F">
      <w:r>
        <w:rPr>
          <w:rFonts w:ascii="Times New Roman" w:eastAsia="Times New Roman" w:hAnsi="Times New Roman" w:cs="Times New Roman"/>
          <w:sz w:val="24"/>
          <w:szCs w:val="24"/>
        </w:rPr>
        <w:t xml:space="preserve">Colonialism and Christianity have shaped many of Uganda’s cultures and shifted pre-colonial norms among the communities of the modern state. Scholars and activists cite pre-colonial gender and sexuality variations across East Africa, which did not conform to the modern-day binary interpretations of sex and gender. The representation of sex and gender in pre-colonial East Africa is debated in the literature; however, there is consensus that Western influences reinforced, if not introduced, binary interpretations of gender and sex. </w:t>
      </w:r>
      <w:r w:rsidR="00345229">
        <w:rPr>
          <w:rFonts w:ascii="Times New Roman" w:eastAsia="Times New Roman" w:hAnsi="Times New Roman" w:cs="Times New Roman"/>
          <w:sz w:val="24"/>
          <w:szCs w:val="24"/>
        </w:rPr>
        <w:t>Homosexuality is an example of non-binary gender expression that colonial powers vilified and re-cast from a common practice among the Baganda and other groups</w:t>
      </w:r>
      <w:r w:rsidR="00345229">
        <w:rPr>
          <w:rStyle w:val="FootnoteReference"/>
          <w:rFonts w:ascii="Times New Roman" w:eastAsia="Times New Roman" w:hAnsi="Times New Roman" w:cs="Times New Roman"/>
          <w:sz w:val="24"/>
          <w:szCs w:val="24"/>
        </w:rPr>
        <w:footnoteReference w:id="2"/>
      </w:r>
      <w:r w:rsidR="003452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 his review of homosexuality in sub-Saharan Africa, Murray remarks that “Especially where Western influences (notably Christian and Marxist) have been pervasive, there is now a belief that homosexuality is a decadent, bourgeois Western innovation forced upon colonial Africa by white men, or alternately by Islamic slave traders.”</w:t>
      </w:r>
      <w:r>
        <w:rPr>
          <w:rStyle w:val="FootnoteReference"/>
          <w:rFonts w:ascii="Times New Roman" w:eastAsia="Times New Roman" w:hAnsi="Times New Roman" w:cs="Times New Roman"/>
          <w:sz w:val="24"/>
          <w:szCs w:val="24"/>
        </w:rPr>
        <w:footnoteReference w:id="3"/>
      </w:r>
      <w:r>
        <w:rPr>
          <w:rFonts w:ascii="Times New Roman" w:eastAsia="Times New Roman" w:hAnsi="Times New Roman" w:cs="Times New Roman"/>
          <w:sz w:val="24"/>
          <w:szCs w:val="24"/>
        </w:rPr>
        <w:t xml:space="preserve">  </w:t>
      </w:r>
    </w:p>
    <w:p w14:paraId="496E2271" w14:textId="4FB0540D" w:rsidR="00F92D8F" w:rsidRPr="006B6A92" w:rsidRDefault="00F92D8F" w:rsidP="006F2A5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Rigid binary interpretations of gender roles constitute a barrier for Uganda to deliver inclusive development. Sex and gender are rarely understood as separate characteristics and biology is largely a determinant of individual destiny. Sex, gender and sexuality are frequently understood as binary, sequential and biologically determined. In Uganda, gender is mostly defined as </w:t>
      </w:r>
      <w:r>
        <w:rPr>
          <w:rFonts w:ascii="Times New Roman" w:eastAsia="Times New Roman" w:hAnsi="Times New Roman" w:cs="Times New Roman"/>
          <w:sz w:val="24"/>
          <w:szCs w:val="24"/>
        </w:rPr>
        <w:lastRenderedPageBreak/>
        <w:t>synonymous with sex and heterosexuality is compulsory</w:t>
      </w:r>
      <w:r w:rsidR="00ED5564">
        <w:rPr>
          <w:rFonts w:ascii="Times New Roman" w:eastAsia="Times New Roman" w:hAnsi="Times New Roman" w:cs="Times New Roman"/>
          <w:sz w:val="24"/>
          <w:szCs w:val="24"/>
        </w:rPr>
        <w:t xml:space="preserve"> – meaning that homosexual acts are criminalized under Section 145 of the Ugandan Penal Code</w:t>
      </w:r>
      <w:r w:rsidR="00484F89">
        <w:rPr>
          <w:rStyle w:val="FootnoteReference"/>
          <w:rFonts w:ascii="Times New Roman" w:eastAsia="Times New Roman" w:hAnsi="Times New Roman" w:cs="Times New Roman"/>
          <w:sz w:val="24"/>
          <w:szCs w:val="24"/>
        </w:rPr>
        <w:footnoteReference w:id="4"/>
      </w:r>
      <w:r>
        <w:rPr>
          <w:rFonts w:ascii="Times New Roman" w:eastAsia="Times New Roman" w:hAnsi="Times New Roman" w:cs="Times New Roman"/>
          <w:sz w:val="24"/>
          <w:szCs w:val="24"/>
        </w:rPr>
        <w:t>.</w:t>
      </w:r>
      <w:r w:rsidR="00ED5564">
        <w:rPr>
          <w:rFonts w:ascii="Times New Roman" w:eastAsia="Times New Roman" w:hAnsi="Times New Roman" w:cs="Times New Roman"/>
          <w:sz w:val="24"/>
          <w:szCs w:val="24"/>
        </w:rPr>
        <w:t xml:space="preserve"> Ugandan legislation – especially the Anti-Pornography Act</w:t>
      </w:r>
      <w:r w:rsidR="006B6A92">
        <w:rPr>
          <w:rFonts w:ascii="Times New Roman" w:eastAsia="Times New Roman" w:hAnsi="Times New Roman" w:cs="Times New Roman"/>
          <w:sz w:val="24"/>
          <w:szCs w:val="24"/>
        </w:rPr>
        <w:t xml:space="preserve"> – has restricted</w:t>
      </w:r>
      <w:r w:rsidR="00ED5564">
        <w:rPr>
          <w:rFonts w:ascii="Times New Roman" w:eastAsia="Times New Roman" w:hAnsi="Times New Roman" w:cs="Times New Roman"/>
          <w:sz w:val="24"/>
          <w:szCs w:val="24"/>
        </w:rPr>
        <w:t xml:space="preserve"> gendered expressions of identity</w:t>
      </w:r>
      <w:r w:rsidR="006B6A92">
        <w:rPr>
          <w:rFonts w:ascii="Times New Roman" w:eastAsia="Times New Roman" w:hAnsi="Times New Roman" w:cs="Times New Roman"/>
          <w:sz w:val="24"/>
          <w:szCs w:val="24"/>
        </w:rPr>
        <w:t xml:space="preserve">. </w:t>
      </w:r>
      <w:r w:rsidR="006F2A5A">
        <w:rPr>
          <w:rFonts w:ascii="Times New Roman" w:eastAsia="Times New Roman" w:hAnsi="Times New Roman" w:cs="Times New Roman"/>
          <w:sz w:val="24"/>
          <w:szCs w:val="24"/>
        </w:rPr>
        <w:t>T</w:t>
      </w:r>
      <w:r w:rsidR="006B6A92">
        <w:rPr>
          <w:rFonts w:ascii="Times New Roman" w:eastAsia="Times New Roman" w:hAnsi="Times New Roman" w:cs="Times New Roman"/>
          <w:sz w:val="24"/>
          <w:szCs w:val="24"/>
        </w:rPr>
        <w:t>his act bans material defined as “</w:t>
      </w:r>
      <w:r w:rsidR="006B6A92" w:rsidRPr="006B6A92">
        <w:rPr>
          <w:rFonts w:ascii="Times New Roman" w:eastAsia="Times New Roman" w:hAnsi="Times New Roman" w:cs="Times New Roman"/>
          <w:sz w:val="24"/>
          <w:szCs w:val="24"/>
        </w:rPr>
        <w:t xml:space="preserve">any representation through publication, exhibition, </w:t>
      </w:r>
      <w:r w:rsidR="006B6A92">
        <w:rPr>
          <w:rFonts w:ascii="Times New Roman" w:eastAsia="Times New Roman" w:hAnsi="Times New Roman" w:cs="Times New Roman"/>
          <w:sz w:val="24"/>
          <w:szCs w:val="24"/>
        </w:rPr>
        <w:t xml:space="preserve">cinematography, indecent show, </w:t>
      </w:r>
      <w:r w:rsidR="006B6A92" w:rsidRPr="006B6A92">
        <w:rPr>
          <w:rFonts w:ascii="Times New Roman" w:eastAsia="Times New Roman" w:hAnsi="Times New Roman" w:cs="Times New Roman"/>
          <w:sz w:val="24"/>
          <w:szCs w:val="24"/>
        </w:rPr>
        <w:t>information technology or by whatever means, of a perso</w:t>
      </w:r>
      <w:r w:rsidR="006B6A92">
        <w:rPr>
          <w:rFonts w:ascii="Times New Roman" w:eastAsia="Times New Roman" w:hAnsi="Times New Roman" w:cs="Times New Roman"/>
          <w:sz w:val="24"/>
          <w:szCs w:val="24"/>
        </w:rPr>
        <w:t xml:space="preserve">n engaged in real or stimulated </w:t>
      </w:r>
      <w:r w:rsidR="006B6A92" w:rsidRPr="006B6A92">
        <w:rPr>
          <w:rFonts w:ascii="Times New Roman" w:eastAsia="Times New Roman" w:hAnsi="Times New Roman" w:cs="Times New Roman"/>
          <w:sz w:val="24"/>
          <w:szCs w:val="24"/>
        </w:rPr>
        <w:t>explicit sexual activities or any representation of the sexual pa</w:t>
      </w:r>
      <w:r w:rsidR="006B6A92">
        <w:rPr>
          <w:rFonts w:ascii="Times New Roman" w:eastAsia="Times New Roman" w:hAnsi="Times New Roman" w:cs="Times New Roman"/>
          <w:sz w:val="24"/>
          <w:szCs w:val="24"/>
        </w:rPr>
        <w:t xml:space="preserve">rts of a person for primarily </w:t>
      </w:r>
      <w:r w:rsidR="006B6A92" w:rsidRPr="006B6A92">
        <w:rPr>
          <w:rFonts w:ascii="Times New Roman" w:eastAsia="Times New Roman" w:hAnsi="Times New Roman" w:cs="Times New Roman"/>
          <w:sz w:val="24"/>
          <w:szCs w:val="24"/>
        </w:rPr>
        <w:t>sexual excitement</w:t>
      </w:r>
      <w:r w:rsidR="006B6A92">
        <w:rPr>
          <w:rStyle w:val="FootnoteReference"/>
          <w:rFonts w:ascii="Times New Roman" w:eastAsia="Times New Roman" w:hAnsi="Times New Roman" w:cs="Times New Roman"/>
          <w:sz w:val="24"/>
          <w:szCs w:val="24"/>
        </w:rPr>
        <w:footnoteReference w:id="5"/>
      </w:r>
      <w:r w:rsidR="006B6A92">
        <w:rPr>
          <w:rFonts w:ascii="Times New Roman" w:eastAsia="Times New Roman" w:hAnsi="Times New Roman" w:cs="Times New Roman"/>
          <w:sz w:val="24"/>
          <w:szCs w:val="24"/>
        </w:rPr>
        <w:t>.”</w:t>
      </w:r>
      <w:r w:rsidR="006F2A5A">
        <w:rPr>
          <w:rFonts w:ascii="Times New Roman" w:eastAsia="Times New Roman" w:hAnsi="Times New Roman" w:cs="Times New Roman"/>
          <w:sz w:val="24"/>
          <w:szCs w:val="24"/>
        </w:rPr>
        <w:t xml:space="preserve"> In practice, the Act has resulted in vilification of women who are perceived to be wearing provocative clothing. Amnesty International summaries the phenomenon as “</w:t>
      </w:r>
      <w:r w:rsidR="00345229">
        <w:rPr>
          <w:rFonts w:ascii="Times New Roman" w:eastAsia="Times New Roman" w:hAnsi="Times New Roman" w:cs="Times New Roman"/>
          <w:sz w:val="24"/>
          <w:szCs w:val="24"/>
        </w:rPr>
        <w:t>Contribute</w:t>
      </w:r>
      <w:r w:rsidR="006F2A5A">
        <w:rPr>
          <w:rFonts w:ascii="Times New Roman" w:eastAsia="Times New Roman" w:hAnsi="Times New Roman" w:cs="Times New Roman"/>
          <w:sz w:val="24"/>
          <w:szCs w:val="24"/>
        </w:rPr>
        <w:t>[ing]</w:t>
      </w:r>
      <w:r w:rsidR="006F2A5A" w:rsidRPr="006F2A5A">
        <w:rPr>
          <w:rFonts w:ascii="Times New Roman" w:eastAsia="Times New Roman" w:hAnsi="Times New Roman" w:cs="Times New Roman"/>
          <w:sz w:val="24"/>
          <w:szCs w:val="24"/>
        </w:rPr>
        <w:t xml:space="preserve"> to a climate of impunity for p</w:t>
      </w:r>
      <w:r w:rsidR="006F2A5A">
        <w:rPr>
          <w:rFonts w:ascii="Times New Roman" w:eastAsia="Times New Roman" w:hAnsi="Times New Roman" w:cs="Times New Roman"/>
          <w:sz w:val="24"/>
          <w:szCs w:val="24"/>
        </w:rPr>
        <w:t>erpetrators of violence agains</w:t>
      </w:r>
      <w:r w:rsidR="00407B30">
        <w:rPr>
          <w:rFonts w:ascii="Times New Roman" w:eastAsia="Times New Roman" w:hAnsi="Times New Roman" w:cs="Times New Roman"/>
          <w:sz w:val="24"/>
          <w:szCs w:val="24"/>
        </w:rPr>
        <w:t>t</w:t>
      </w:r>
      <w:r w:rsidR="006F2A5A">
        <w:rPr>
          <w:rFonts w:ascii="Times New Roman" w:eastAsia="Times New Roman" w:hAnsi="Times New Roman" w:cs="Times New Roman"/>
          <w:sz w:val="24"/>
          <w:szCs w:val="24"/>
        </w:rPr>
        <w:t xml:space="preserve"> </w:t>
      </w:r>
      <w:r w:rsidR="006F2A5A" w:rsidRPr="006F2A5A">
        <w:rPr>
          <w:rFonts w:ascii="Times New Roman" w:eastAsia="Times New Roman" w:hAnsi="Times New Roman" w:cs="Times New Roman"/>
          <w:sz w:val="24"/>
          <w:szCs w:val="24"/>
        </w:rPr>
        <w:t>women who are deemed to have transgressed traditional ge</w:t>
      </w:r>
      <w:r w:rsidR="006F2A5A">
        <w:rPr>
          <w:rFonts w:ascii="Times New Roman" w:eastAsia="Times New Roman" w:hAnsi="Times New Roman" w:cs="Times New Roman"/>
          <w:sz w:val="24"/>
          <w:szCs w:val="24"/>
        </w:rPr>
        <w:t xml:space="preserve">nder norms, related to dress </w:t>
      </w:r>
      <w:r w:rsidR="00407B30">
        <w:rPr>
          <w:rFonts w:ascii="Times New Roman" w:eastAsia="Times New Roman" w:hAnsi="Times New Roman" w:cs="Times New Roman"/>
          <w:sz w:val="24"/>
          <w:szCs w:val="24"/>
        </w:rPr>
        <w:t>otherwise…</w:t>
      </w:r>
      <w:r w:rsidR="00407B30">
        <w:rPr>
          <w:rStyle w:val="FootnoteReference"/>
          <w:rFonts w:ascii="Times New Roman" w:eastAsia="Times New Roman" w:hAnsi="Times New Roman" w:cs="Times New Roman"/>
          <w:sz w:val="24"/>
          <w:szCs w:val="24"/>
        </w:rPr>
        <w:footnoteReference w:id="6"/>
      </w:r>
      <w:r w:rsidR="00407B30">
        <w:rPr>
          <w:rFonts w:ascii="Times New Roman" w:eastAsia="Times New Roman" w:hAnsi="Times New Roman" w:cs="Times New Roman"/>
          <w:sz w:val="24"/>
          <w:szCs w:val="24"/>
        </w:rPr>
        <w:t>”</w:t>
      </w:r>
      <w:r w:rsidR="00ED556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From birth, social expectations and opportunities for female children are different </w:t>
      </w:r>
      <w:r w:rsidR="00345229">
        <w:rPr>
          <w:rFonts w:ascii="Times New Roman" w:eastAsia="Times New Roman" w:hAnsi="Times New Roman" w:cs="Times New Roman"/>
          <w:sz w:val="24"/>
          <w:szCs w:val="24"/>
        </w:rPr>
        <w:t>from</w:t>
      </w:r>
      <w:r>
        <w:rPr>
          <w:rFonts w:ascii="Times New Roman" w:eastAsia="Times New Roman" w:hAnsi="Times New Roman" w:cs="Times New Roman"/>
          <w:sz w:val="24"/>
          <w:szCs w:val="24"/>
        </w:rPr>
        <w:t xml:space="preserve"> the opportunities and expectations of male children. Binary social norms often handicap female citizens’ household negotiation power, leadership opportunities and independence. The rigidity of the binary and patriarchal structures reinforces harmful interpretations of masculinity, including physical violence</w:t>
      </w:r>
      <w:r w:rsidR="00484F89">
        <w:rPr>
          <w:rStyle w:val="FootnoteReference"/>
          <w:rFonts w:ascii="Times New Roman" w:eastAsia="Times New Roman" w:hAnsi="Times New Roman" w:cs="Times New Roman"/>
          <w:sz w:val="24"/>
          <w:szCs w:val="24"/>
        </w:rPr>
        <w:footnoteReference w:id="7"/>
      </w:r>
      <w:r>
        <w:rPr>
          <w:rFonts w:ascii="Times New Roman" w:eastAsia="Times New Roman" w:hAnsi="Times New Roman" w:cs="Times New Roman"/>
          <w:sz w:val="24"/>
          <w:szCs w:val="24"/>
        </w:rPr>
        <w:t xml:space="preserve">. </w:t>
      </w:r>
    </w:p>
    <w:p w14:paraId="212C333A" w14:textId="45FC116D" w:rsidR="00F92D8F" w:rsidRDefault="00F92D8F" w:rsidP="00F92D8F">
      <w:r>
        <w:rPr>
          <w:rFonts w:ascii="Times New Roman" w:eastAsia="Times New Roman" w:hAnsi="Times New Roman" w:cs="Times New Roman"/>
          <w:sz w:val="24"/>
          <w:szCs w:val="24"/>
        </w:rPr>
        <w:t>In many cases, as an individual’s behavior deviates from the rigidly defined traditional gender role, the more likely a person is to experience reactions ranging from skepticism to violence. An individual’s inability to act outside of gender norms limits personal freedom and infringes upon dignity. Inflexible attitudes and practices toward gender and sex are barriers to achievement of the USAID/Uganda Country Development Cooperation Strategy (CDCS). For instance, the rigid interpretation of a Ugandan woman’s role limits her ability to ne</w:t>
      </w:r>
      <w:r w:rsidR="008C1D14">
        <w:rPr>
          <w:rFonts w:ascii="Times New Roman" w:eastAsia="Times New Roman" w:hAnsi="Times New Roman" w:cs="Times New Roman"/>
          <w:sz w:val="24"/>
          <w:szCs w:val="24"/>
        </w:rPr>
        <w:t xml:space="preserve">gotiate within a household and </w:t>
      </w:r>
      <w:r>
        <w:rPr>
          <w:rFonts w:ascii="Times New Roman" w:eastAsia="Times New Roman" w:hAnsi="Times New Roman" w:cs="Times New Roman"/>
          <w:sz w:val="24"/>
          <w:szCs w:val="24"/>
        </w:rPr>
        <w:t xml:space="preserve">is a barrier to household resilience and family health. The strict alignment of sex, gender, and oppositional desire place openly gay Ugandans on the fringes of society where they are unable to access healthcare, education, and participate in civic life and remain vulnerable to the HIV/AIDS epidemic.   </w:t>
      </w:r>
    </w:p>
    <w:p w14:paraId="37B5FA4F" w14:textId="77777777" w:rsidR="00F92D8F" w:rsidRDefault="00F92D8F" w:rsidP="00F92D8F">
      <w:r>
        <w:rPr>
          <w:rFonts w:ascii="Times New Roman" w:eastAsia="Times New Roman" w:hAnsi="Times New Roman" w:cs="Times New Roman"/>
          <w:sz w:val="24"/>
          <w:szCs w:val="24"/>
        </w:rPr>
        <w:t xml:space="preserve">Rigidly defined gender roles and disempowerment of women contribute to the rapidly growing population and the inability of Uganda’s country systems to absorb the growing population. Uganda is among the fastest growing and youngest populations in the world.  The often cited “youth bulge” in Uganda’s population demographic presents both an opportunity and a challenge in delivering on USAID/Uganda’s strategic goal of supporting the country’s systems to deliver sustainable and inclusive development for Uganda’s citizens. Empowering women and removing barriers to equal participation for Ugandans without regard to gender identity, disability status, or other modes of individual identification is an operational principle of the USAID/Uganda strategy. </w:t>
      </w:r>
    </w:p>
    <w:p w14:paraId="38345642" w14:textId="03A04F46" w:rsidR="00F92D8F" w:rsidRDefault="00F92D8F" w:rsidP="00F92D8F">
      <w:r>
        <w:rPr>
          <w:rFonts w:ascii="Times New Roman" w:eastAsia="Times New Roman" w:hAnsi="Times New Roman" w:cs="Times New Roman"/>
          <w:sz w:val="24"/>
          <w:szCs w:val="24"/>
        </w:rPr>
        <w:lastRenderedPageBreak/>
        <w:t>This analysis is the beginning of a discussion that must continue through project and activity design, implementation of programs, monitoring and evaluation, budgeting, and future strategic planning. This analysis identifies broad trends in participation and barriers to equality. This analysis is not sufficient for understanding community and household dynamics in each community with which USAID/Uganda works. The most important recommendation herein is directed toward USAID/Uganda staff and partners for the future. Using this document as a starting point, development practitioners must consider the unique features of each system, community, or household in which USAID/Uganda programs shall work and to consider them in the context of each development objective.  Social inclusion must inform each stage in the project design cycle.</w:t>
      </w:r>
      <w:r>
        <w:rPr>
          <w:rFonts w:ascii="Times New Roman" w:eastAsia="Times New Roman" w:hAnsi="Times New Roman" w:cs="Times New Roman"/>
          <w:i/>
          <w:sz w:val="24"/>
          <w:szCs w:val="24"/>
        </w:rPr>
        <w:t xml:space="preserve">  </w:t>
      </w:r>
    </w:p>
    <w:p w14:paraId="4ADDED47" w14:textId="77777777" w:rsidR="00F92D8F" w:rsidRDefault="00F92D8F" w:rsidP="00F92D8F">
      <w:r>
        <w:rPr>
          <w:rFonts w:ascii="Times New Roman" w:eastAsia="Times New Roman" w:hAnsi="Times New Roman" w:cs="Times New Roman"/>
          <w:sz w:val="24"/>
          <w:szCs w:val="24"/>
        </w:rPr>
        <w:t>The USAID/Uganda strategy must commit to understanding the causes and purveyors of the norms that hinder achievement of the Development Objectives (DOs). USAID must ensure that projects and activities “do no harm” and do not reinforce limiting constructions of gender, disability, ethnicity, or other modes of identification. U.S. foreign assistance programs must examine how traditional gender roles limit equal participation for all citizens and seek to address these barriers to equality.</w:t>
      </w:r>
    </w:p>
    <w:p w14:paraId="3EE4ABB0" w14:textId="0A8D88B0" w:rsidR="00F92D8F" w:rsidRDefault="00F92D8F" w:rsidP="00F92D8F">
      <w:pPr>
        <w:widowControl w:val="0"/>
      </w:pPr>
      <w:r>
        <w:rPr>
          <w:rFonts w:ascii="Times New Roman" w:eastAsia="Times New Roman" w:hAnsi="Times New Roman" w:cs="Times New Roman"/>
          <w:sz w:val="24"/>
          <w:szCs w:val="24"/>
        </w:rPr>
        <w:t xml:space="preserve">This analysis is structured to mirror the draft Results Framework in the USAID/Uganda 2016 – 2021 Country Development Co-operation Strategy (CDCS). Each of the development objectives articulated in the strategy will require investments from multiple technical sectors. The intent of the strategy is to achieve a long-term goal through integrated development interventions. This strategy departs from the first CDCS in which </w:t>
      </w:r>
      <w:r w:rsidR="00345229">
        <w:rPr>
          <w:rFonts w:ascii="Times New Roman" w:eastAsia="Times New Roman" w:hAnsi="Times New Roman" w:cs="Times New Roman"/>
          <w:sz w:val="24"/>
          <w:szCs w:val="24"/>
        </w:rPr>
        <w:t>health,</w:t>
      </w:r>
      <w:r>
        <w:rPr>
          <w:rFonts w:ascii="Times New Roman" w:eastAsia="Times New Roman" w:hAnsi="Times New Roman" w:cs="Times New Roman"/>
          <w:sz w:val="24"/>
          <w:szCs w:val="24"/>
        </w:rPr>
        <w:t xml:space="preserve"> education, agriculture, environment, economic growth, and governance were </w:t>
      </w:r>
      <w:r w:rsidR="00345229">
        <w:rPr>
          <w:rFonts w:ascii="Times New Roman" w:eastAsia="Times New Roman" w:hAnsi="Times New Roman" w:cs="Times New Roman"/>
          <w:sz w:val="24"/>
          <w:szCs w:val="24"/>
        </w:rPr>
        <w:t xml:space="preserve">separate </w:t>
      </w:r>
      <w:r>
        <w:rPr>
          <w:rFonts w:ascii="Times New Roman" w:eastAsia="Times New Roman" w:hAnsi="Times New Roman" w:cs="Times New Roman"/>
          <w:sz w:val="24"/>
          <w:szCs w:val="24"/>
        </w:rPr>
        <w:t xml:space="preserve">intermediate results contributing to the Mission’s development objectives and overall goals. This analysis is intended to identify how Ugandan norms around gender and other social identities affect its systems, demographic changes, household resilience, and the HIV/AIDS epidemic. Each section of this document will describe the social dynamics that are relevant to each objective, set an operational learning agenda for USAID/Uganda’s work under each objective, recognize where there are gaps in data, and make recommendations for analysis and action at subsequent phases of the USAID program cycle.  </w:t>
      </w:r>
    </w:p>
    <w:p w14:paraId="12ACA759" w14:textId="380DD692" w:rsidR="00F92D8F" w:rsidRDefault="00F92D8F" w:rsidP="005F79E1">
      <w:r>
        <w:br w:type="page"/>
      </w:r>
    </w:p>
    <w:p w14:paraId="049CC5BF" w14:textId="77777777" w:rsidR="00F92D8F" w:rsidRDefault="00F92D8F" w:rsidP="00F92D8F">
      <w:r>
        <w:rPr>
          <w:rFonts w:ascii="Times New Roman" w:eastAsia="Times New Roman" w:hAnsi="Times New Roman" w:cs="Times New Roman"/>
          <w:b/>
          <w:sz w:val="24"/>
          <w:szCs w:val="24"/>
        </w:rPr>
        <w:lastRenderedPageBreak/>
        <w:t>Development Object 1 (DO1): Systems</w:t>
      </w:r>
    </w:p>
    <w:p w14:paraId="0D5ADDA6" w14:textId="77777777" w:rsidR="00F92D8F" w:rsidRDefault="00F92D8F" w:rsidP="00F92D8F">
      <w:r>
        <w:rPr>
          <w:rFonts w:ascii="Times New Roman" w:eastAsia="Times New Roman" w:hAnsi="Times New Roman" w:cs="Times New Roman"/>
          <w:sz w:val="24"/>
          <w:szCs w:val="24"/>
        </w:rPr>
        <w:t>USAID/Uganda’s long-term strategic development objective is to ensure that Ugandan systems deliver sustainable development for all of the country’s citizens. The USAID/Uganda strategy draws on the definition of local systems put forth in the 2014 USAID document “Local Systems: A Framework for Supporting Sustained Development”. Local systems refers to those interconnected sets of actors—governments, civil society, the private sector, universities, individual citizens and others—that jointly produce a particular development outcome. The “local” in a local system refers to actors in a partner country. As these actors jointly produce an outcome, they are “local” to it. And as development outcomes may occur at many levels, local systems can be national, provincial or community-wide in scope.</w:t>
      </w:r>
    </w:p>
    <w:p w14:paraId="71F5D1B0" w14:textId="77777777" w:rsidR="00F92D8F" w:rsidRDefault="00F92D8F" w:rsidP="00F92D8F">
      <w:r>
        <w:rPr>
          <w:rFonts w:ascii="Times New Roman" w:eastAsia="Times New Roman" w:hAnsi="Times New Roman" w:cs="Times New Roman"/>
          <w:sz w:val="24"/>
          <w:szCs w:val="24"/>
        </w:rPr>
        <w:t xml:space="preserve">Effective systems require representation </w:t>
      </w:r>
      <w:r>
        <w:rPr>
          <w:rFonts w:ascii="Times New Roman" w:eastAsia="Times New Roman" w:hAnsi="Times New Roman" w:cs="Times New Roman"/>
          <w:i/>
          <w:sz w:val="24"/>
          <w:szCs w:val="24"/>
        </w:rPr>
        <w:t xml:space="preserve">by </w:t>
      </w:r>
      <w:r>
        <w:rPr>
          <w:rFonts w:ascii="Times New Roman" w:eastAsia="Times New Roman" w:hAnsi="Times New Roman" w:cs="Times New Roman"/>
          <w:sz w:val="24"/>
          <w:szCs w:val="24"/>
        </w:rPr>
        <w:t>and</w:t>
      </w:r>
      <w:r>
        <w:rPr>
          <w:rFonts w:ascii="Times New Roman" w:eastAsia="Times New Roman" w:hAnsi="Times New Roman" w:cs="Times New Roman"/>
          <w:i/>
          <w:sz w:val="24"/>
          <w:szCs w:val="24"/>
        </w:rPr>
        <w:t xml:space="preserve"> for </w:t>
      </w:r>
      <w:r>
        <w:rPr>
          <w:rFonts w:ascii="Times New Roman" w:eastAsia="Times New Roman" w:hAnsi="Times New Roman" w:cs="Times New Roman"/>
          <w:sz w:val="24"/>
          <w:szCs w:val="24"/>
        </w:rPr>
        <w:t xml:space="preserve">citizens – to include sex, gender, geographic region, age, disability status, etc. This section examines the extent to which Ugandan citizens can participate equally in some - not all - of the systems that USAID/Uganda will support. This section also identifies the extent to which Uganda’s laws enable or even mandate inclusion. USAID/Uganda’s CDCS aspires to support country systems that meet the needs of all citizens, not only males and other majority groups.  </w:t>
      </w:r>
    </w:p>
    <w:p w14:paraId="7E7A4977" w14:textId="77777777" w:rsidR="00F92D8F" w:rsidRDefault="00F92D8F" w:rsidP="00F92D8F">
      <w:r>
        <w:rPr>
          <w:rFonts w:ascii="Times New Roman" w:eastAsia="Times New Roman" w:hAnsi="Times New Roman" w:cs="Times New Roman"/>
          <w:sz w:val="24"/>
          <w:szCs w:val="24"/>
        </w:rPr>
        <w:t>This analysis begins with a survey of women and other groups’ participation in Uganda’s governance in the national, sub-national, and traditional systems. Diverse participation in Uganda’s country systems does not necessarily render these systems able to meet the needs of the citizens that they serve. USAID’s desktop study “Women’s Leadership as a Route to Greater Empowerment” distinguishes between descriptive representation and substantive representation.  That distinction is useful for this analysis because “attending to both types of representation is essential for achieving broader political empowerment, ensuring women’s participation in political deliberations while establishing gender equality as a goal of all public policy.</w:t>
      </w:r>
      <w:r>
        <w:rPr>
          <w:rFonts w:ascii="Times New Roman" w:eastAsia="Times New Roman" w:hAnsi="Times New Roman" w:cs="Times New Roman"/>
          <w:sz w:val="24"/>
          <w:szCs w:val="24"/>
          <w:vertAlign w:val="superscript"/>
        </w:rPr>
        <w:footnoteReference w:id="8"/>
      </w:r>
      <w:r>
        <w:rPr>
          <w:rFonts w:ascii="Times New Roman" w:eastAsia="Times New Roman" w:hAnsi="Times New Roman" w:cs="Times New Roman"/>
          <w:sz w:val="24"/>
          <w:szCs w:val="24"/>
        </w:rPr>
        <w:t>”</w:t>
      </w:r>
    </w:p>
    <w:p w14:paraId="3461563D" w14:textId="77777777" w:rsidR="00F92D8F" w:rsidRDefault="00F92D8F" w:rsidP="00F92D8F">
      <w:r>
        <w:rPr>
          <w:rFonts w:ascii="Times New Roman" w:eastAsia="Times New Roman" w:hAnsi="Times New Roman" w:cs="Times New Roman"/>
          <w:sz w:val="24"/>
          <w:szCs w:val="24"/>
          <w:u w:val="single"/>
        </w:rPr>
        <w:t>Descriptive National-Level Representation</w:t>
      </w:r>
    </w:p>
    <w:p w14:paraId="15362D51" w14:textId="77777777" w:rsidR="00F92D8F" w:rsidRDefault="00F92D8F" w:rsidP="00F92D8F">
      <w:r>
        <w:rPr>
          <w:rFonts w:ascii="Times New Roman" w:eastAsia="Times New Roman" w:hAnsi="Times New Roman" w:cs="Times New Roman"/>
          <w:sz w:val="24"/>
          <w:szCs w:val="24"/>
        </w:rPr>
        <w:t xml:space="preserve">Ugandan leadership under the National Resistance Movement (NRM) and 1995 Constitution increased diversity in the Ugandan parliament. The trend toward more equal representation has continued over the past 30 years. Under the leadership of Yoweri Museveni’s NRM, the majority party has vocally supported greater inclusivity of women in national government. This was a departure from the previous periods of oppressive governance under Milton Obote and Idi Amin and the earlier colonial period in which men dominated governance and the economy. In spite of the gains over the past three decades, Ugandan women, youth, and people with disabilities remain in the minority. Socio-cultural norms and gender roles still privilege male and majority participation in civic spaces.  </w:t>
      </w:r>
    </w:p>
    <w:p w14:paraId="5A753705" w14:textId="73062276" w:rsidR="00F92D8F" w:rsidRDefault="00F92D8F" w:rsidP="00F92D8F">
      <w:r>
        <w:rPr>
          <w:rFonts w:ascii="Times New Roman" w:eastAsia="Times New Roman" w:hAnsi="Times New Roman" w:cs="Times New Roman"/>
          <w:sz w:val="24"/>
          <w:szCs w:val="24"/>
        </w:rPr>
        <w:lastRenderedPageBreak/>
        <w:t>The affirmative action policies of the 1995 Ugandan Constitution made provisions for ensuring more inclusive national-level representation in Parliament. Article 78(1) includes explicit reference to inclusion of (at least) one female representative from every district and representatives of the army, youth, workers, persons with disabilities, and “other groups as Parliament may determine”.  In 2015, women make up more than a third of the Ninth Ugandan Parliament. There are five or fewer youth representatives, representatives with disabilities, and workers’ representatives. Seven out of thirty total Ugandan Cabinet members are women. While women’s representation is still not proportional to the population, the proportion of women in government has risen over the past ten years. In 2005 women made up 24.6 per cent of Parliament. In 2009 that number rose to 32 per cent and in 2015 it is 35 per cent</w:t>
      </w:r>
      <w:r>
        <w:rPr>
          <w:rFonts w:ascii="Times New Roman" w:eastAsia="Times New Roman" w:hAnsi="Times New Roman" w:cs="Times New Roman"/>
          <w:sz w:val="24"/>
          <w:szCs w:val="24"/>
          <w:vertAlign w:val="superscript"/>
        </w:rPr>
        <w:footnoteReference w:id="9"/>
      </w:r>
      <w:r>
        <w:rPr>
          <w:rFonts w:ascii="Times New Roman" w:eastAsia="Times New Roman" w:hAnsi="Times New Roman" w:cs="Times New Roman"/>
          <w:sz w:val="24"/>
          <w:szCs w:val="24"/>
        </w:rPr>
        <w:t xml:space="preserve">. </w:t>
      </w:r>
      <w:r w:rsidR="00345229">
        <w:rPr>
          <w:rFonts w:ascii="Times New Roman" w:eastAsia="Times New Roman" w:hAnsi="Times New Roman" w:cs="Times New Roman"/>
          <w:sz w:val="24"/>
          <w:szCs w:val="24"/>
        </w:rPr>
        <w:t>The proportion of women in ministerial-level positions increased from 23 per cent in 2009 to 32 per cent in 2014</w:t>
      </w:r>
      <w:r w:rsidR="00345229">
        <w:rPr>
          <w:rFonts w:ascii="Times New Roman" w:eastAsia="Times New Roman" w:hAnsi="Times New Roman" w:cs="Times New Roman"/>
          <w:sz w:val="24"/>
          <w:szCs w:val="24"/>
          <w:vertAlign w:val="superscript"/>
        </w:rPr>
        <w:footnoteReference w:id="10"/>
      </w:r>
      <w:r w:rsidR="003452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Uganda Women’s Parliamentary Association, in place since before the 1995 Constitutional provisions, seeks to “engender the Legislative process, create awareness campaigns and encouraging lobbying as well as advocacy, networking, resource mobilization and information dissemination”.  There is no consensus on the extent to which substantive representation of women has improved as a result of improved descriptive representation. </w:t>
      </w:r>
    </w:p>
    <w:p w14:paraId="5DCC964D" w14:textId="77777777" w:rsidR="00F92D8F" w:rsidRDefault="00F92D8F" w:rsidP="00F92D8F">
      <w:r>
        <w:rPr>
          <w:rFonts w:ascii="Times New Roman" w:eastAsia="Times New Roman" w:hAnsi="Times New Roman" w:cs="Times New Roman"/>
          <w:sz w:val="24"/>
          <w:szCs w:val="24"/>
        </w:rPr>
        <w:t xml:space="preserve">The multilateral Gender Development Partners Group in Uganda is an interface between donors, including USAID, and the Uganda Women’s Parliamentary Association. USAID/Uganda’s participation in this group in the past has been irregular. In order to build stronger connections to the Uganda Women’s Parliamentary Association and support their goals, USAID should continue to participate in the Gender Development Partners Group and actively contribute to the multi-donor effort to liaise with women in the national government. </w:t>
      </w:r>
    </w:p>
    <w:p w14:paraId="0CAEFFDD" w14:textId="77777777" w:rsidR="00F92D8F" w:rsidRDefault="00F92D8F" w:rsidP="00F92D8F">
      <w:r>
        <w:rPr>
          <w:noProof/>
        </w:rPr>
        <w:drawing>
          <wp:inline distT="114300" distB="114300" distL="114300" distR="114300" wp14:anchorId="6B597ECA" wp14:editId="6361FBC6">
            <wp:extent cx="5943600" cy="1028700"/>
            <wp:effectExtent l="0" t="0" r="0" b="0"/>
            <wp:docPr id="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9"/>
                    <a:srcRect/>
                    <a:stretch>
                      <a:fillRect/>
                    </a:stretch>
                  </pic:blipFill>
                  <pic:spPr>
                    <a:xfrm>
                      <a:off x="0" y="0"/>
                      <a:ext cx="5943600" cy="1028700"/>
                    </a:xfrm>
                    <a:prstGeom prst="rect">
                      <a:avLst/>
                    </a:prstGeom>
                    <a:ln/>
                  </pic:spPr>
                </pic:pic>
              </a:graphicData>
            </a:graphic>
          </wp:inline>
        </w:drawing>
      </w:r>
      <w:r>
        <w:rPr>
          <w:rFonts w:ascii="Times New Roman" w:eastAsia="Times New Roman" w:hAnsi="Times New Roman" w:cs="Times New Roman"/>
          <w:sz w:val="16"/>
          <w:szCs w:val="16"/>
        </w:rPr>
        <w:t>2014 World Economic Forum Global Gender Gap Report</w:t>
      </w:r>
    </w:p>
    <w:p w14:paraId="309A6660" w14:textId="77777777" w:rsidR="00F92D8F" w:rsidRDefault="00F92D8F" w:rsidP="00F92D8F">
      <w:r>
        <w:rPr>
          <w:rFonts w:ascii="Times New Roman" w:eastAsia="Times New Roman" w:hAnsi="Times New Roman" w:cs="Times New Roman"/>
          <w:sz w:val="24"/>
          <w:szCs w:val="24"/>
        </w:rPr>
        <w:t>Civil society groups in Uganda have also prioritized greater participation in national-level decision-making processes.  In spite of gains in national-level representation, CSOs argue that political party leaders are still mostly men</w:t>
      </w:r>
      <w:r>
        <w:rPr>
          <w:rFonts w:ascii="Times New Roman" w:eastAsia="Times New Roman" w:hAnsi="Times New Roman" w:cs="Times New Roman"/>
          <w:sz w:val="24"/>
          <w:szCs w:val="24"/>
          <w:vertAlign w:val="superscript"/>
        </w:rPr>
        <w:footnoteReference w:id="11"/>
      </w:r>
      <w:r>
        <w:rPr>
          <w:rFonts w:ascii="Times New Roman" w:eastAsia="Times New Roman" w:hAnsi="Times New Roman" w:cs="Times New Roman"/>
          <w:sz w:val="24"/>
          <w:szCs w:val="24"/>
        </w:rPr>
        <w:t xml:space="preserve">. In 2015, Ugandan women’s rights organizations collaborated to create a vision document entitled “Unfinished Business: Women’s Manifesto 2016 - 2021.”  This document outlines the five priority areas in which women’s rights groups wish to see progress.  The document is directed toward elected Ugandan leaders; however, donors are another key audience. The Manifesto sets forth the demand for equal participation of </w:t>
      </w:r>
      <w:r>
        <w:rPr>
          <w:rFonts w:ascii="Times New Roman" w:eastAsia="Times New Roman" w:hAnsi="Times New Roman" w:cs="Times New Roman"/>
          <w:sz w:val="24"/>
          <w:szCs w:val="24"/>
        </w:rPr>
        <w:lastRenderedPageBreak/>
        <w:t xml:space="preserve">men and women at all levels of government. Participation includes increasing the number and efficacy of elected women and increasing voter turnout and citizen participation among women. </w:t>
      </w:r>
    </w:p>
    <w:p w14:paraId="2E564758" w14:textId="77777777" w:rsidR="00F92D8F" w:rsidRDefault="00F92D8F" w:rsidP="00F92D8F">
      <w:r>
        <w:rPr>
          <w:rFonts w:ascii="Times New Roman" w:eastAsia="Times New Roman" w:hAnsi="Times New Roman" w:cs="Times New Roman"/>
          <w:sz w:val="24"/>
          <w:szCs w:val="24"/>
          <w:u w:val="single"/>
        </w:rPr>
        <w:t xml:space="preserve">Descriptive Subnational Representation </w:t>
      </w:r>
    </w:p>
    <w:p w14:paraId="3EFBC5F9" w14:textId="574DF339" w:rsidR="00F92D8F" w:rsidRDefault="00F92D8F" w:rsidP="00F92D8F">
      <w:r>
        <w:rPr>
          <w:rFonts w:ascii="Times New Roman" w:eastAsia="Times New Roman" w:hAnsi="Times New Roman" w:cs="Times New Roman"/>
          <w:sz w:val="24"/>
          <w:szCs w:val="24"/>
        </w:rPr>
        <w:t xml:space="preserve">The NRM government has emphasized decentralized government since 1986. Five tiers make up Uganda’s subnational government system of local </w:t>
      </w:r>
      <w:r w:rsidR="00345229">
        <w:rPr>
          <w:rFonts w:ascii="Times New Roman" w:eastAsia="Times New Roman" w:hAnsi="Times New Roman" w:cs="Times New Roman"/>
          <w:sz w:val="24"/>
          <w:szCs w:val="24"/>
        </w:rPr>
        <w:t>councils (</w:t>
      </w:r>
      <w:r>
        <w:rPr>
          <w:rFonts w:ascii="Times New Roman" w:eastAsia="Times New Roman" w:hAnsi="Times New Roman" w:cs="Times New Roman"/>
          <w:sz w:val="24"/>
          <w:szCs w:val="24"/>
        </w:rPr>
        <w:t xml:space="preserve">LCs). The tiers are Village (LCI), Parish (LCII), Sub-county (LCIII), County (LCIV), </w:t>
      </w:r>
      <w:r w:rsidR="00345229">
        <w:rPr>
          <w:rFonts w:ascii="Times New Roman" w:eastAsia="Times New Roman" w:hAnsi="Times New Roman" w:cs="Times New Roman"/>
          <w:sz w:val="24"/>
          <w:szCs w:val="24"/>
        </w:rPr>
        <w:t>and District</w:t>
      </w:r>
      <w:r>
        <w:rPr>
          <w:rFonts w:ascii="Times New Roman" w:eastAsia="Times New Roman" w:hAnsi="Times New Roman" w:cs="Times New Roman"/>
          <w:sz w:val="24"/>
          <w:szCs w:val="24"/>
        </w:rPr>
        <w:t xml:space="preserve"> (LCV)</w:t>
      </w:r>
      <w:r>
        <w:rPr>
          <w:rFonts w:ascii="Times New Roman" w:eastAsia="Times New Roman" w:hAnsi="Times New Roman" w:cs="Times New Roman"/>
          <w:sz w:val="24"/>
          <w:szCs w:val="24"/>
          <w:vertAlign w:val="superscript"/>
        </w:rPr>
        <w:footnoteReference w:id="12"/>
      </w:r>
      <w:r>
        <w:rPr>
          <w:rFonts w:ascii="Times New Roman" w:eastAsia="Times New Roman" w:hAnsi="Times New Roman" w:cs="Times New Roman"/>
          <w:sz w:val="24"/>
          <w:szCs w:val="24"/>
        </w:rPr>
        <w:t>. Uganda’s Local Government Act of 1997 provides for inclusive representation across the sub-national tiers. The NRM has supported decentralization for reasons including more effective service-delivery, greater accountability. Decentralized government also buttresses the national-level government with a greater local-levels presence than the centralized pre-independence regimes.</w:t>
      </w:r>
    </w:p>
    <w:p w14:paraId="5BE6B47A" w14:textId="77777777" w:rsidR="00F92D8F" w:rsidRDefault="00F92D8F" w:rsidP="00F92D8F">
      <w:r>
        <w:rPr>
          <w:rFonts w:ascii="Times New Roman" w:eastAsia="Times New Roman" w:hAnsi="Times New Roman" w:cs="Times New Roman"/>
          <w:sz w:val="24"/>
          <w:szCs w:val="24"/>
        </w:rPr>
        <w:t>Under the Act, local councils and lower local government councils must reserve seats for one male and one female youth representative, one male and one female with disabilities and at one-third of the council shall be women. The Act aims to increase inclusivity, but leadership positions in subnational government remains dominated by men. In rural Uganda the affirmative action measures apply only at the LCIII and LCV levels where elections are regular</w:t>
      </w:r>
      <w:r>
        <w:rPr>
          <w:rFonts w:ascii="Times New Roman" w:eastAsia="Times New Roman" w:hAnsi="Times New Roman" w:cs="Times New Roman"/>
          <w:sz w:val="24"/>
          <w:szCs w:val="24"/>
          <w:vertAlign w:val="superscript"/>
        </w:rPr>
        <w:footnoteReference w:id="13"/>
      </w:r>
      <w:r>
        <w:rPr>
          <w:rFonts w:ascii="Times New Roman" w:eastAsia="Times New Roman" w:hAnsi="Times New Roman" w:cs="Times New Roman"/>
          <w:sz w:val="24"/>
          <w:szCs w:val="24"/>
        </w:rPr>
        <w:t xml:space="preserve">. In 2011 women chaired only 1.7 per cent of districts (LCV level).  </w:t>
      </w:r>
    </w:p>
    <w:p w14:paraId="3CA6900D" w14:textId="77777777" w:rsidR="00F92D8F" w:rsidRDefault="00F92D8F" w:rsidP="00F92D8F">
      <w:r>
        <w:rPr>
          <w:noProof/>
        </w:rPr>
        <w:drawing>
          <wp:inline distT="114300" distB="114300" distL="114300" distR="114300" wp14:anchorId="4104C674" wp14:editId="6F3E1CB7">
            <wp:extent cx="5943600" cy="1295400"/>
            <wp:effectExtent l="0" t="0" r="0" b="0"/>
            <wp:docPr id="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0"/>
                    <a:srcRect/>
                    <a:stretch>
                      <a:fillRect/>
                    </a:stretch>
                  </pic:blipFill>
                  <pic:spPr>
                    <a:xfrm>
                      <a:off x="0" y="0"/>
                      <a:ext cx="5943600" cy="1295400"/>
                    </a:xfrm>
                    <a:prstGeom prst="rect">
                      <a:avLst/>
                    </a:prstGeom>
                    <a:ln/>
                  </pic:spPr>
                </pic:pic>
              </a:graphicData>
            </a:graphic>
          </wp:inline>
        </w:drawing>
      </w:r>
      <w:r>
        <w:rPr>
          <w:rFonts w:ascii="Times New Roman" w:eastAsia="Times New Roman" w:hAnsi="Times New Roman" w:cs="Times New Roman"/>
          <w:sz w:val="16"/>
          <w:szCs w:val="16"/>
        </w:rPr>
        <w:t xml:space="preserve">2014 World Economic Forum Global Gender Gap Report </w:t>
      </w:r>
    </w:p>
    <w:p w14:paraId="5CF1137E" w14:textId="77777777" w:rsidR="00F92D8F" w:rsidRDefault="00F92D8F" w:rsidP="00F92D8F">
      <w:r>
        <w:rPr>
          <w:rFonts w:ascii="Times New Roman" w:eastAsia="Times New Roman" w:hAnsi="Times New Roman" w:cs="Times New Roman"/>
          <w:sz w:val="24"/>
          <w:szCs w:val="24"/>
        </w:rPr>
        <w:t>Data about inclusive participation in the private sector are less available than data about inclusivity in governance. Labor force data; however, can provide insights into women and youth participation. The Uganda Bureau of Statistics (UBOS) provided data from 2013 that that a third of paid employees were women</w:t>
      </w:r>
      <w:r>
        <w:rPr>
          <w:rFonts w:ascii="Times New Roman" w:eastAsia="Times New Roman" w:hAnsi="Times New Roman" w:cs="Times New Roman"/>
          <w:sz w:val="24"/>
          <w:szCs w:val="24"/>
          <w:vertAlign w:val="superscript"/>
        </w:rPr>
        <w:footnoteReference w:id="14"/>
      </w:r>
      <w:r>
        <w:rPr>
          <w:rFonts w:ascii="Times New Roman" w:eastAsia="Times New Roman" w:hAnsi="Times New Roman" w:cs="Times New Roman"/>
          <w:sz w:val="24"/>
          <w:szCs w:val="24"/>
        </w:rPr>
        <w:t>. Working women; however, still bear a disproportionate burden of unpaid labor. UBOS data show that working women spend four times the amount of time in “non-economic activities” than working men</w:t>
      </w:r>
      <w:r>
        <w:rPr>
          <w:rFonts w:ascii="Times New Roman" w:eastAsia="Times New Roman" w:hAnsi="Times New Roman" w:cs="Times New Roman"/>
          <w:sz w:val="24"/>
          <w:szCs w:val="24"/>
          <w:vertAlign w:val="superscript"/>
        </w:rPr>
        <w:footnoteReference w:id="15"/>
      </w:r>
      <w:r>
        <w:rPr>
          <w:rFonts w:ascii="Times New Roman" w:eastAsia="Times New Roman" w:hAnsi="Times New Roman" w:cs="Times New Roman"/>
          <w:sz w:val="24"/>
          <w:szCs w:val="24"/>
        </w:rPr>
        <w:t xml:space="preserve">. This data points to the persistent limitations of social constructions of gender. </w:t>
      </w:r>
    </w:p>
    <w:p w14:paraId="2785C1A2" w14:textId="77777777" w:rsidR="00F92D8F" w:rsidRDefault="00F92D8F" w:rsidP="00F92D8F">
      <w:r>
        <w:rPr>
          <w:rFonts w:ascii="Times New Roman" w:eastAsia="Times New Roman" w:hAnsi="Times New Roman" w:cs="Times New Roman"/>
          <w:sz w:val="24"/>
          <w:szCs w:val="24"/>
        </w:rPr>
        <w:t xml:space="preserve">Uganda’s kingdoms are nationally recognized and exist in parallel to other structures. They are most often separated along geographic, linguistic, and cultural lines. Although there were more than four historical kingdoms within Uganda prior to independence, all were outlawed during the </w:t>
      </w:r>
      <w:r>
        <w:rPr>
          <w:rFonts w:ascii="Times New Roman" w:eastAsia="Times New Roman" w:hAnsi="Times New Roman" w:cs="Times New Roman"/>
          <w:sz w:val="24"/>
          <w:szCs w:val="24"/>
        </w:rPr>
        <w:lastRenderedPageBreak/>
        <w:t xml:space="preserve">first Obote administration in the 1960s. When the National Resistance Movement regained power in 1993, some, but not all traditional kingdoms were restored. The Buganda Kingdom in Central Uganda is the largest in Uganda. Within the Buganda Kingdom five women serve among 24 Buganda cabinet ministers in the Buganda Parliament. There is one woman among the 18 Massaza Chiefs of the Baganda Kingdom. In the Busoga, Toro, and Bunyoro-Kitara kingdoms and the clans that comprise these kingdoms, data is more difficult to gather; however, key informants agree broadly that women are a small minority in leadership. </w:t>
      </w:r>
    </w:p>
    <w:p w14:paraId="51623D2A" w14:textId="77777777" w:rsidR="00F92D8F" w:rsidRDefault="00F92D8F" w:rsidP="00F92D8F">
      <w:r>
        <w:rPr>
          <w:rFonts w:ascii="Times New Roman" w:eastAsia="Times New Roman" w:hAnsi="Times New Roman" w:cs="Times New Roman"/>
          <w:sz w:val="24"/>
          <w:szCs w:val="24"/>
        </w:rPr>
        <w:t xml:space="preserve">USAID/Uganda will not target monarchies, but it is a useful gage of women’s leadership in traditional fora without mandatory minimums for women, youth, or disabled people’s participation.  </w:t>
      </w:r>
    </w:p>
    <w:p w14:paraId="40D161E1" w14:textId="77777777" w:rsidR="00F92D8F" w:rsidRDefault="00F92D8F" w:rsidP="00F92D8F">
      <w:r>
        <w:rPr>
          <w:rFonts w:ascii="Times New Roman" w:eastAsia="Times New Roman" w:hAnsi="Times New Roman" w:cs="Times New Roman"/>
          <w:sz w:val="24"/>
          <w:szCs w:val="24"/>
        </w:rPr>
        <w:t xml:space="preserve">The legal framework for inclusive participation is encouraging, but cultural norms, poverty, and household dynamics still make it difficult for Ugandan women and minorities’ to participate in governance. In 2015, reports of violence against female political candidates in the run-up to the 2016 elections points to </w:t>
      </w:r>
      <w:r>
        <w:rPr>
          <w:rFonts w:ascii="Times New Roman" w:eastAsia="Times New Roman" w:hAnsi="Times New Roman" w:cs="Times New Roman"/>
          <w:i/>
          <w:sz w:val="24"/>
          <w:szCs w:val="24"/>
        </w:rPr>
        <w:t>de facto</w:t>
      </w:r>
      <w:r>
        <w:rPr>
          <w:rFonts w:ascii="Times New Roman" w:eastAsia="Times New Roman" w:hAnsi="Times New Roman" w:cs="Times New Roman"/>
          <w:sz w:val="24"/>
          <w:szCs w:val="24"/>
        </w:rPr>
        <w:t xml:space="preserve"> discrimination against women leaders</w:t>
      </w:r>
      <w:r>
        <w:rPr>
          <w:rFonts w:ascii="Times New Roman" w:eastAsia="Times New Roman" w:hAnsi="Times New Roman" w:cs="Times New Roman"/>
          <w:sz w:val="24"/>
          <w:szCs w:val="24"/>
          <w:vertAlign w:val="superscript"/>
        </w:rPr>
        <w:footnoteReference w:id="16"/>
      </w:r>
      <w:r>
        <w:rPr>
          <w:rFonts w:ascii="Times New Roman" w:eastAsia="Times New Roman" w:hAnsi="Times New Roman" w:cs="Times New Roman"/>
          <w:sz w:val="24"/>
          <w:szCs w:val="24"/>
        </w:rPr>
        <w:t>. Compared to men, women are less literate, earn less than men in the formal economy, and bear the majority of responsibility for child-rearing and unpaid work. People with disabilities and sexual minorities face even stronger social stigma and barriers to participation. The struggle for marginalized citizens to participate in education and employment requires their time and effort to overcome physical, cultural, and other barriers to participation. As such, Ugandans with disabilities or non-normative gender identities often have less time and fewer resources than other citizens to mobilize and avail themselves of legal protections. Perceptions of corruption and apathy further discourage many Ugandans from participation and leadership within national and sub-national government structures. Stereotypical perception of women and stigmatized views of many such Ugandans may also prevent more inclusive representation in governance</w:t>
      </w:r>
      <w:r>
        <w:rPr>
          <w:rFonts w:ascii="Times New Roman" w:eastAsia="Times New Roman" w:hAnsi="Times New Roman" w:cs="Times New Roman"/>
          <w:sz w:val="24"/>
          <w:szCs w:val="24"/>
          <w:vertAlign w:val="superscript"/>
        </w:rPr>
        <w:footnoteReference w:id="17"/>
      </w:r>
      <w:r>
        <w:rPr>
          <w:rFonts w:ascii="Times New Roman" w:eastAsia="Times New Roman" w:hAnsi="Times New Roman" w:cs="Times New Roman"/>
          <w:sz w:val="24"/>
          <w:szCs w:val="24"/>
        </w:rPr>
        <w:t xml:space="preserve">.  </w:t>
      </w:r>
    </w:p>
    <w:p w14:paraId="3BA4C49D" w14:textId="77777777" w:rsidR="00F92D8F" w:rsidRDefault="00F92D8F" w:rsidP="00F92D8F">
      <w:r>
        <w:rPr>
          <w:rFonts w:ascii="Times New Roman" w:eastAsia="Times New Roman" w:hAnsi="Times New Roman" w:cs="Times New Roman"/>
          <w:sz w:val="24"/>
          <w:szCs w:val="24"/>
          <w:u w:val="single"/>
        </w:rPr>
        <w:t xml:space="preserve">Substantive Representation and Legal Protections </w:t>
      </w:r>
    </w:p>
    <w:p w14:paraId="3B1786A3" w14:textId="77777777" w:rsidR="00F92D8F" w:rsidRDefault="00F92D8F" w:rsidP="00F92D8F">
      <w:r>
        <w:rPr>
          <w:rFonts w:ascii="Times New Roman" w:eastAsia="Times New Roman" w:hAnsi="Times New Roman" w:cs="Times New Roman"/>
          <w:sz w:val="24"/>
          <w:szCs w:val="24"/>
        </w:rPr>
        <w:t xml:space="preserve">Female representation at the national-level in Uganda is higher than world averages; however, it is unclear whether efforts to make the Parliament more inclusive of women, people with disabilities, and others have made a difference in policies, planning, and implementation that serve the needs of all citizens.  </w:t>
      </w:r>
    </w:p>
    <w:p w14:paraId="1094FF9F" w14:textId="77777777" w:rsidR="00F92D8F" w:rsidRDefault="00F92D8F" w:rsidP="00F92D8F">
      <w:r>
        <w:rPr>
          <w:rFonts w:ascii="Times New Roman" w:eastAsia="Times New Roman" w:hAnsi="Times New Roman" w:cs="Times New Roman"/>
          <w:sz w:val="24"/>
          <w:szCs w:val="24"/>
        </w:rPr>
        <w:t xml:space="preserve">The first National Development Plan (NDP) listed negative attitudes toward gender equality as well as harmful traditional practices and perceptions as binding constraints on economic and social development. The implementation of the NDP did not result in improved resource allocation to the Ministry of Gender, Labour, and Social Development. Legislation including the 2010 Domestic Violence Law is representative of the poor implementation of laws aimed at </w:t>
      </w:r>
      <w:r>
        <w:rPr>
          <w:rFonts w:ascii="Times New Roman" w:eastAsia="Times New Roman" w:hAnsi="Times New Roman" w:cs="Times New Roman"/>
          <w:sz w:val="24"/>
          <w:szCs w:val="24"/>
        </w:rPr>
        <w:lastRenderedPageBreak/>
        <w:t xml:space="preserve">reducing gender gaps and empowering citizens. Patriarchal laws on marriage and divorce remain in effect. The Ministry of Gender, Labor, and Social Development has the mandate to lead Uganda’s efforts to achieve gender equality yet that ministry receives only one per cent of the national budget. The Women’s Manifesto also seeks a minimum of five per cent per year of the national budget for this Ministry. </w:t>
      </w:r>
    </w:p>
    <w:p w14:paraId="3F1F3986" w14:textId="77777777" w:rsidR="00F92D8F" w:rsidRDefault="00F92D8F" w:rsidP="00F92D8F">
      <w:r>
        <w:rPr>
          <w:rFonts w:ascii="Times New Roman" w:eastAsia="Times New Roman" w:hAnsi="Times New Roman" w:cs="Times New Roman"/>
          <w:sz w:val="24"/>
          <w:szCs w:val="24"/>
        </w:rPr>
        <w:t>Inequalities persist between men and women in Ugandan law. The Divorce Act Chapter 249.4 highlights such inequalities. A husband may petition for divorce “on the ground that since the solemnization of marriage, his wife has been guilty of adultery.” The grounds for a woman to obtain a divorce are more onerous and adultery alone does not suffice. A woman may petition for divorce “on the ground that since the solemnization of the marriage her husband has changed his profession of Christianity for the profession of some other religion, and gone through a form of marriage with another woman; or has been guilty of— (i) incestuous adultery; (ii) bigamy with adultery; (iii) marriage with another woman with adultery; (iv) rape, sodomy or bestiality; (v) adultery coupled with cruelty; or (vi) adultery coupled with desertion, without reasonable excuse for two years or upwards.”</w:t>
      </w:r>
    </w:p>
    <w:p w14:paraId="2BEE9D73" w14:textId="77777777" w:rsidR="00F92D8F" w:rsidRDefault="00F92D8F" w:rsidP="00F92D8F">
      <w:r>
        <w:rPr>
          <w:rFonts w:ascii="Times New Roman" w:eastAsia="Times New Roman" w:hAnsi="Times New Roman" w:cs="Times New Roman"/>
          <w:sz w:val="24"/>
          <w:szCs w:val="24"/>
        </w:rPr>
        <w:t>Parliament has considered revisions to this law in various forms since 2003. The Ugandan Parliament considered the Domestic Relations Bill in different iterations in 2003, 2009, and 2013.  The Bill would have reformed laws related to divorce, inheritance and land rights, and polygamy; however, different iterations of the bills have not passed. Women’s rights advocates welcomed the 2015 Supreme Court decision that banned the repayment of bride price to a husband from a wife seeking divorce. Repayment of bride price upon divorce, the petitioners argued, deterred women from seeking divorces. The court acknowledged that the practice of repayment limited women’s rights by equating a woman to property, but stopped short of declaring the practice of paying bride price as unconstitutional</w:t>
      </w:r>
      <w:r>
        <w:rPr>
          <w:rFonts w:ascii="Times New Roman" w:eastAsia="Times New Roman" w:hAnsi="Times New Roman" w:cs="Times New Roman"/>
          <w:sz w:val="24"/>
          <w:szCs w:val="24"/>
          <w:vertAlign w:val="superscript"/>
        </w:rPr>
        <w:footnoteReference w:id="18"/>
      </w:r>
      <w:r>
        <w:rPr>
          <w:rFonts w:ascii="Times New Roman" w:eastAsia="Times New Roman" w:hAnsi="Times New Roman" w:cs="Times New Roman"/>
          <w:sz w:val="24"/>
          <w:szCs w:val="24"/>
        </w:rPr>
        <w:t xml:space="preserve">.  </w:t>
      </w:r>
    </w:p>
    <w:p w14:paraId="7C1B2176" w14:textId="77777777" w:rsidR="00F92D8F" w:rsidRDefault="00F92D8F" w:rsidP="00F92D8F">
      <w:r>
        <w:rPr>
          <w:rFonts w:ascii="Times New Roman" w:eastAsia="Times New Roman" w:hAnsi="Times New Roman" w:cs="Times New Roman"/>
          <w:sz w:val="24"/>
          <w:szCs w:val="24"/>
        </w:rPr>
        <w:t>Ugandan law provides protections for women under the 2010 Domestic Violence Act. The Act includes criminal penalties for perpetration of violence. It defines domestic violence beyond intimate partner violence and includes violent acts perpetrated by different members of the household than only spouses. The Act also articulates the duties of police, practitioners, and magistrates.  In spite of the legal framework, citizens and members of the judiciary have limited awareness of the Act’s content and requirements. Advocates report that implementation of the provisions of the Act are insufficient</w:t>
      </w:r>
      <w:r>
        <w:rPr>
          <w:rFonts w:ascii="Times New Roman" w:eastAsia="Times New Roman" w:hAnsi="Times New Roman" w:cs="Times New Roman"/>
          <w:sz w:val="24"/>
          <w:szCs w:val="24"/>
          <w:vertAlign w:val="superscript"/>
        </w:rPr>
        <w:footnoteReference w:id="19"/>
      </w:r>
      <w:r>
        <w:rPr>
          <w:rFonts w:ascii="Times New Roman" w:eastAsia="Times New Roman" w:hAnsi="Times New Roman" w:cs="Times New Roman"/>
          <w:sz w:val="24"/>
          <w:szCs w:val="24"/>
        </w:rPr>
        <w:t xml:space="preserve">.  </w:t>
      </w:r>
    </w:p>
    <w:p w14:paraId="37DFA028" w14:textId="77777777" w:rsidR="00F92D8F" w:rsidRDefault="00F92D8F" w:rsidP="00F92D8F">
      <w:r>
        <w:rPr>
          <w:rFonts w:ascii="Times New Roman" w:eastAsia="Times New Roman" w:hAnsi="Times New Roman" w:cs="Times New Roman"/>
          <w:sz w:val="24"/>
          <w:szCs w:val="24"/>
        </w:rPr>
        <w:t xml:space="preserve">The Ugandan penal code assigns punishments for rape and sexual harassment of minors. Under the law known as the “law against defilement,” sex acts with a person under the age of 18 are punishable with life imprisonment. The law provides for the death penalty for parents who sexually assault their children, perpetrators who assault children under the age of 14, perpetration </w:t>
      </w:r>
      <w:r>
        <w:rPr>
          <w:rFonts w:ascii="Times New Roman" w:eastAsia="Times New Roman" w:hAnsi="Times New Roman" w:cs="Times New Roman"/>
          <w:sz w:val="24"/>
          <w:szCs w:val="24"/>
        </w:rPr>
        <w:lastRenderedPageBreak/>
        <w:t>of abuses against people with disabilities, and perpetrators who are HIV positive</w:t>
      </w:r>
      <w:r>
        <w:rPr>
          <w:rFonts w:ascii="Times New Roman" w:eastAsia="Times New Roman" w:hAnsi="Times New Roman" w:cs="Times New Roman"/>
          <w:sz w:val="24"/>
          <w:szCs w:val="24"/>
          <w:vertAlign w:val="superscript"/>
        </w:rPr>
        <w:footnoteReference w:id="20"/>
      </w:r>
      <w:r>
        <w:rPr>
          <w:rFonts w:ascii="Times New Roman" w:eastAsia="Times New Roman" w:hAnsi="Times New Roman" w:cs="Times New Roman"/>
          <w:sz w:val="24"/>
          <w:szCs w:val="24"/>
        </w:rPr>
        <w:t xml:space="preserve">. According to the 2011 Demographic and Health Survey, 64 per cent of Ugandan women reported first having sexual intercourse before the age of 18.  The gap between the law and real experience of Ugandan women is further evidence of the gap between law and implementation. </w:t>
      </w:r>
    </w:p>
    <w:p w14:paraId="190FF4C7" w14:textId="77777777" w:rsidR="00F92D8F" w:rsidRDefault="00F92D8F" w:rsidP="00F92D8F">
      <w:r>
        <w:rPr>
          <w:rFonts w:ascii="Times New Roman" w:eastAsia="Times New Roman" w:hAnsi="Times New Roman" w:cs="Times New Roman"/>
          <w:sz w:val="24"/>
          <w:szCs w:val="24"/>
        </w:rPr>
        <w:t xml:space="preserve">Ugandan law also explicitly prohibits female genital mutilation (FGM) and provides penalties for practitioners, legal guardians who procure the service for children, and makes citizens with knowledge of FGM crimes accountable for reporting them to law enforcement. </w:t>
      </w:r>
    </w:p>
    <w:p w14:paraId="142E2C65" w14:textId="77777777" w:rsidR="00F92D8F" w:rsidRDefault="00F92D8F" w:rsidP="00F92D8F">
      <w:r>
        <w:rPr>
          <w:rFonts w:ascii="Times New Roman" w:eastAsia="Times New Roman" w:hAnsi="Times New Roman" w:cs="Times New Roman"/>
          <w:sz w:val="24"/>
          <w:szCs w:val="24"/>
        </w:rPr>
        <w:t xml:space="preserve">Ugandan law provides protections to people with disabilities through the 2006 Persons with Disabilities Act. The Act does not generally distinguish between men and women; however it includes a provision for women with disabilities guaranteeing reproductive health services. As with other Ugandan laws and policies, implementation of the rights and provision of the Act are weak, including provisions for accessibility throughout the country to public facilities and public transportation. </w:t>
      </w:r>
    </w:p>
    <w:p w14:paraId="4A69D7B6" w14:textId="6478AAB8" w:rsidR="00F92D8F" w:rsidRDefault="00F92D8F" w:rsidP="00F92D8F">
      <w:r>
        <w:rPr>
          <w:rFonts w:ascii="Times New Roman" w:eastAsia="Times New Roman" w:hAnsi="Times New Roman" w:cs="Times New Roman"/>
          <w:sz w:val="24"/>
          <w:szCs w:val="24"/>
        </w:rPr>
        <w:t>Although the 2013 Anti-Homosexuality Act (AHA) was nullified it is demonstrates the weak substantive representation of sexual minorities in national policy and broad rejection of non-binary gender expression. The AHA included provisions for life in prison for homosexual acts and proposed a ban on the “promotion of homosexuality.” International pressure, including vocal opposition from the United States Mission in Uganda, contributed to the ultimate demise of the act; however, public sentiment in Uganda has been overwhelmingly against expression of non-normative gender identity to include homosexuality. A 2013 Pew poll showed that 96 per cent of Ugandans responded “no” to the question: Should society accept homosexuality?”</w:t>
      </w:r>
      <w:r>
        <w:rPr>
          <w:rFonts w:ascii="Times New Roman" w:eastAsia="Times New Roman" w:hAnsi="Times New Roman" w:cs="Times New Roman"/>
          <w:sz w:val="24"/>
          <w:szCs w:val="24"/>
          <w:vertAlign w:val="superscript"/>
        </w:rPr>
        <w:footnoteReference w:id="21"/>
      </w:r>
      <w:r>
        <w:rPr>
          <w:rFonts w:ascii="Times New Roman" w:eastAsia="Times New Roman" w:hAnsi="Times New Roman" w:cs="Times New Roman"/>
          <w:sz w:val="24"/>
          <w:szCs w:val="24"/>
          <w:vertAlign w:val="superscript"/>
        </w:rPr>
        <w:t xml:space="preserve"> </w:t>
      </w:r>
    </w:p>
    <w:p w14:paraId="598543B9" w14:textId="77777777" w:rsidR="00F92D8F" w:rsidRDefault="00F92D8F" w:rsidP="00F92D8F">
      <w:r>
        <w:rPr>
          <w:rFonts w:ascii="Times New Roman" w:eastAsia="Times New Roman" w:hAnsi="Times New Roman" w:cs="Times New Roman"/>
          <w:sz w:val="24"/>
          <w:szCs w:val="24"/>
        </w:rPr>
        <w:t xml:space="preserve">While changing laws or ensuring their implementation is beyond the remit of USAID/Uganda; advocacy for greater citizen involvement in democratic processes and stronger governance of national systems may support greater demand for government accountability. The USAID/Uganda results framework places special emphasis on transformational leadership development. It is imperative that women, youth, and minority groups not only be targeted for leadership development; but also that all emerging leaders, including men, understand inclusivity.  </w:t>
      </w:r>
    </w:p>
    <w:p w14:paraId="6883EB8B" w14:textId="77777777" w:rsidR="00F92D8F" w:rsidRDefault="00F92D8F" w:rsidP="00F92D8F">
      <w:r>
        <w:rPr>
          <w:rFonts w:ascii="Times New Roman" w:eastAsia="Times New Roman" w:hAnsi="Times New Roman" w:cs="Times New Roman"/>
          <w:sz w:val="24"/>
          <w:szCs w:val="24"/>
          <w:u w:val="single"/>
        </w:rPr>
        <w:t>Data Gaps, Operational Learning Agenda, and Considerations for Design</w:t>
      </w:r>
    </w:p>
    <w:p w14:paraId="27F01D72" w14:textId="77777777" w:rsidR="00F92D8F" w:rsidRDefault="00F92D8F" w:rsidP="00F92D8F">
      <w:r>
        <w:rPr>
          <w:rFonts w:ascii="Times New Roman" w:eastAsia="Times New Roman" w:hAnsi="Times New Roman" w:cs="Times New Roman"/>
          <w:sz w:val="24"/>
          <w:szCs w:val="24"/>
        </w:rPr>
        <w:t xml:space="preserve">Data about demographics and participation within the private sector is more limited than data about the public sector. There is limited data about the role of women in household decision-making and leadership within traditional structures across the country. As USAID/Uganda pursues development objectives within specific geographies, inclusive development analyses should assess the dynamics within particular geographies and systems. Representation in formal </w:t>
      </w:r>
      <w:r>
        <w:rPr>
          <w:rFonts w:ascii="Times New Roman" w:eastAsia="Times New Roman" w:hAnsi="Times New Roman" w:cs="Times New Roman"/>
          <w:sz w:val="24"/>
          <w:szCs w:val="24"/>
        </w:rPr>
        <w:lastRenderedPageBreak/>
        <w:t xml:space="preserve">governance structures is subject to law and tracked in numbers; however, social dynamics outside of these institutions are barriers to participation. In order to achieve improved representation </w:t>
      </w:r>
      <w:r>
        <w:rPr>
          <w:rFonts w:ascii="Times New Roman" w:eastAsia="Times New Roman" w:hAnsi="Times New Roman" w:cs="Times New Roman"/>
          <w:i/>
          <w:sz w:val="24"/>
          <w:szCs w:val="24"/>
        </w:rPr>
        <w:t>by and for</w:t>
      </w:r>
      <w:r>
        <w:rPr>
          <w:rFonts w:ascii="Times New Roman" w:eastAsia="Times New Roman" w:hAnsi="Times New Roman" w:cs="Times New Roman"/>
          <w:sz w:val="24"/>
          <w:szCs w:val="24"/>
        </w:rPr>
        <w:t xml:space="preserve"> all Ugandans, USAID must understand and address to the informal barriers to participation within the context of specific systems in focus areas.  </w:t>
      </w:r>
    </w:p>
    <w:p w14:paraId="41A6721C" w14:textId="77777777" w:rsidR="00F92D8F" w:rsidRDefault="00F92D8F" w:rsidP="00F92D8F">
      <w:r>
        <w:rPr>
          <w:rFonts w:ascii="Times New Roman" w:eastAsia="Times New Roman" w:hAnsi="Times New Roman" w:cs="Times New Roman"/>
          <w:sz w:val="24"/>
          <w:szCs w:val="24"/>
        </w:rPr>
        <w:t xml:space="preserve">Subsequent project designs must consider descriptive representation as well as substantive representation in strengthening country-level systems. USAID/Uganda must examine the selected country systems targeted for interventions in the next period the CDCS for both their inclusion of women and other minorities in their decision making structures and the ability of those selected country systems to deliver their mandates for all citizens regardless of gender. Projects should consider explicit targets for expanding inclusivity in country systems.  Projects should also seek to link leaders and system administrators to the constituencies to which they are accountable – including women and minority groups. Leadership and communications skills, both in systems and in civil society, are critical for ensuring that minority voices are heard in select country systems.  Similarly, engagement of men and majority groups to promote the value of inclusivity is necessary.  </w:t>
      </w:r>
    </w:p>
    <w:p w14:paraId="297471E4" w14:textId="77777777" w:rsidR="00F92D8F" w:rsidRDefault="00F92D8F" w:rsidP="00F92D8F">
      <w:r>
        <w:rPr>
          <w:rFonts w:ascii="Times New Roman" w:eastAsia="Times New Roman" w:hAnsi="Times New Roman" w:cs="Times New Roman"/>
          <w:sz w:val="24"/>
          <w:szCs w:val="24"/>
        </w:rPr>
        <w:t xml:space="preserve"> Some key questions for project designs within this development objective include: </w:t>
      </w:r>
    </w:p>
    <w:p w14:paraId="734209DF" w14:textId="77777777" w:rsidR="00F92D8F" w:rsidRDefault="00F92D8F" w:rsidP="00F92D8F">
      <w:pPr>
        <w:numPr>
          <w:ilvl w:val="0"/>
          <w:numId w:val="6"/>
        </w:numPr>
        <w:ind w:hanging="360"/>
        <w:contextualSpacing/>
        <w:rPr>
          <w:sz w:val="24"/>
          <w:szCs w:val="24"/>
        </w:rPr>
      </w:pPr>
      <w:r>
        <w:rPr>
          <w:rFonts w:ascii="Times New Roman" w:eastAsia="Times New Roman" w:hAnsi="Times New Roman" w:cs="Times New Roman"/>
          <w:sz w:val="24"/>
          <w:szCs w:val="24"/>
        </w:rPr>
        <w:t>To what extent are women and minority groups involved in administration of selected country systems?</w:t>
      </w:r>
    </w:p>
    <w:p w14:paraId="4781AC3E" w14:textId="77777777" w:rsidR="00F92D8F" w:rsidRDefault="00F92D8F" w:rsidP="00F92D8F">
      <w:pPr>
        <w:numPr>
          <w:ilvl w:val="0"/>
          <w:numId w:val="6"/>
        </w:numPr>
        <w:ind w:hanging="360"/>
        <w:contextualSpacing/>
        <w:rPr>
          <w:sz w:val="24"/>
          <w:szCs w:val="24"/>
        </w:rPr>
      </w:pPr>
      <w:r>
        <w:rPr>
          <w:rFonts w:ascii="Times New Roman" w:eastAsia="Times New Roman" w:hAnsi="Times New Roman" w:cs="Times New Roman"/>
          <w:sz w:val="24"/>
          <w:szCs w:val="24"/>
        </w:rPr>
        <w:t xml:space="preserve">To what extent do women and minority groups lead decision-making in selected country systems? </w:t>
      </w:r>
    </w:p>
    <w:p w14:paraId="54B9A6A8" w14:textId="77777777" w:rsidR="00F92D8F" w:rsidRDefault="00F92D8F" w:rsidP="00F92D8F">
      <w:pPr>
        <w:numPr>
          <w:ilvl w:val="0"/>
          <w:numId w:val="6"/>
        </w:numPr>
        <w:ind w:hanging="360"/>
        <w:contextualSpacing/>
        <w:rPr>
          <w:sz w:val="24"/>
          <w:szCs w:val="24"/>
        </w:rPr>
      </w:pPr>
      <w:r>
        <w:rPr>
          <w:rFonts w:ascii="Times New Roman" w:eastAsia="Times New Roman" w:hAnsi="Times New Roman" w:cs="Times New Roman"/>
          <w:sz w:val="24"/>
          <w:szCs w:val="24"/>
        </w:rPr>
        <w:t xml:space="preserve">What barriers exist to women and minority groups participating in and leading selected country systems? </w:t>
      </w:r>
    </w:p>
    <w:p w14:paraId="713B5697" w14:textId="77777777" w:rsidR="00F92D8F" w:rsidRDefault="00F92D8F" w:rsidP="00F92D8F">
      <w:pPr>
        <w:numPr>
          <w:ilvl w:val="0"/>
          <w:numId w:val="6"/>
        </w:numPr>
        <w:ind w:hanging="360"/>
        <w:contextualSpacing/>
        <w:rPr>
          <w:sz w:val="24"/>
          <w:szCs w:val="24"/>
        </w:rPr>
      </w:pPr>
      <w:r>
        <w:rPr>
          <w:rFonts w:ascii="Times New Roman" w:eastAsia="Times New Roman" w:hAnsi="Times New Roman" w:cs="Times New Roman"/>
          <w:sz w:val="24"/>
          <w:szCs w:val="24"/>
        </w:rPr>
        <w:t xml:space="preserve">How do the needs of women and minority groups differ from those of men and other majority groups in the context of a selected country system? </w:t>
      </w:r>
    </w:p>
    <w:p w14:paraId="0C75DDB6" w14:textId="77777777" w:rsidR="00F92D8F" w:rsidRDefault="00F92D8F" w:rsidP="00F92D8F">
      <w:pPr>
        <w:numPr>
          <w:ilvl w:val="0"/>
          <w:numId w:val="6"/>
        </w:numPr>
        <w:ind w:hanging="360"/>
        <w:contextualSpacing/>
        <w:rPr>
          <w:sz w:val="24"/>
          <w:szCs w:val="24"/>
        </w:rPr>
      </w:pPr>
      <w:r>
        <w:rPr>
          <w:rFonts w:ascii="Times New Roman" w:eastAsia="Times New Roman" w:hAnsi="Times New Roman" w:cs="Times New Roman"/>
          <w:sz w:val="24"/>
          <w:szCs w:val="24"/>
        </w:rPr>
        <w:t>To what extent do selected country systems meet the needs of women and minority groups?</w:t>
      </w:r>
    </w:p>
    <w:p w14:paraId="20C75687" w14:textId="77777777" w:rsidR="00F92D8F" w:rsidRDefault="00F92D8F" w:rsidP="00F92D8F">
      <w:pPr>
        <w:numPr>
          <w:ilvl w:val="0"/>
          <w:numId w:val="6"/>
        </w:numPr>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To what extent to the selected country systems reinforce traditional roles of men and women?</w:t>
      </w:r>
    </w:p>
    <w:p w14:paraId="1A4F307E" w14:textId="77777777" w:rsidR="00F92D8F" w:rsidRDefault="00F92D8F" w:rsidP="00F92D8F"/>
    <w:p w14:paraId="50EC9D18" w14:textId="05ED63FA" w:rsidR="00F92D8F" w:rsidRDefault="00F92D8F" w:rsidP="00F92D8F">
      <w:r>
        <w:br w:type="page"/>
      </w:r>
      <w:r>
        <w:rPr>
          <w:rFonts w:ascii="Times New Roman" w:eastAsia="Times New Roman" w:hAnsi="Times New Roman" w:cs="Times New Roman"/>
          <w:b/>
          <w:sz w:val="24"/>
          <w:szCs w:val="24"/>
        </w:rPr>
        <w:lastRenderedPageBreak/>
        <w:t>DO2: Demographics</w:t>
      </w:r>
    </w:p>
    <w:p w14:paraId="20538095" w14:textId="63989F67" w:rsidR="00F92D8F" w:rsidRDefault="00F92D8F" w:rsidP="00F92D8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Uganda’s population growth rate is the ninth highest in world and, on average, each woman bears about six children</w:t>
      </w:r>
      <w:r>
        <w:rPr>
          <w:rFonts w:ascii="Times New Roman" w:eastAsia="Times New Roman" w:hAnsi="Times New Roman" w:cs="Times New Roman"/>
          <w:sz w:val="24"/>
          <w:szCs w:val="24"/>
          <w:vertAlign w:val="superscript"/>
        </w:rPr>
        <w:footnoteReference w:id="22"/>
      </w:r>
      <w:r>
        <w:rPr>
          <w:rFonts w:ascii="Times New Roman" w:eastAsia="Times New Roman" w:hAnsi="Times New Roman" w:cs="Times New Roman"/>
          <w:sz w:val="24"/>
          <w:szCs w:val="24"/>
        </w:rPr>
        <w:t>.  Uganda’s population growth rate also exceeds that of other East African countries</w:t>
      </w:r>
      <w:r>
        <w:rPr>
          <w:rFonts w:ascii="Times New Roman" w:eastAsia="Times New Roman" w:hAnsi="Times New Roman" w:cs="Times New Roman"/>
          <w:sz w:val="24"/>
          <w:szCs w:val="24"/>
          <w:vertAlign w:val="superscript"/>
        </w:rPr>
        <w:footnoteReference w:id="23"/>
      </w:r>
      <w:r>
        <w:rPr>
          <w:rFonts w:ascii="Times New Roman" w:eastAsia="Times New Roman" w:hAnsi="Times New Roman" w:cs="Times New Roman"/>
          <w:sz w:val="24"/>
          <w:szCs w:val="24"/>
        </w:rPr>
        <w:t>. The rapid population growth is already stressing the capacity of its national systems. Uganda’s economy is not able to provide gainful employment for working age adults.</w:t>
      </w:r>
      <w:r w:rsidR="00484F89">
        <w:rPr>
          <w:rStyle w:val="FootnoteReference"/>
          <w:rFonts w:ascii="Times New Roman" w:eastAsia="Times New Roman" w:hAnsi="Times New Roman" w:cs="Times New Roman"/>
          <w:sz w:val="24"/>
          <w:szCs w:val="24"/>
        </w:rPr>
        <w:footnoteReference w:id="24"/>
      </w:r>
      <w:r>
        <w:rPr>
          <w:rFonts w:ascii="Times New Roman" w:eastAsia="Times New Roman" w:hAnsi="Times New Roman" w:cs="Times New Roman"/>
          <w:sz w:val="24"/>
          <w:szCs w:val="24"/>
        </w:rPr>
        <w:t xml:space="preserve"> The health care system is mostly underwritten by donors and still unable to meet the needs of the current citizenry. Since 2010, the Ugandan government has taken on an increasing share of health expenditures vis-à-vis the private sector and donor partners.  The share has now exceeded fifteen per cent</w:t>
      </w:r>
      <w:r>
        <w:rPr>
          <w:rStyle w:val="FootnoteReference"/>
          <w:rFonts w:ascii="Times New Roman" w:eastAsia="Times New Roman" w:hAnsi="Times New Roman" w:cs="Times New Roman"/>
          <w:sz w:val="24"/>
          <w:szCs w:val="24"/>
        </w:rPr>
        <w:footnoteReference w:id="25"/>
      </w:r>
      <w:r>
        <w:rPr>
          <w:rFonts w:ascii="Times New Roman" w:eastAsia="Times New Roman" w:hAnsi="Times New Roman" w:cs="Times New Roman"/>
          <w:sz w:val="24"/>
          <w:szCs w:val="24"/>
        </w:rPr>
        <w:t xml:space="preserve">.  The trend toward greater public and private expenditures and less development partner/donor funding in the health sector points toward greater sustainability. The pace of the trend; however, is slower than the projected population growth, which points to an ongoing and important role for donors and continued advocacy for greater public and private health expenditures in order to achieve sustainability. </w:t>
      </w:r>
    </w:p>
    <w:p w14:paraId="3E7885F5" w14:textId="5B32176F" w:rsidR="00F92D8F" w:rsidRDefault="00F92D8F" w:rsidP="00F92D8F">
      <w:pPr>
        <w:widowControl w:val="0"/>
      </w:pPr>
      <w:r>
        <w:rPr>
          <w:rFonts w:ascii="Times New Roman" w:eastAsia="Times New Roman" w:hAnsi="Times New Roman" w:cs="Times New Roman"/>
          <w:sz w:val="24"/>
          <w:szCs w:val="24"/>
        </w:rPr>
        <w:t>Population growth is creating conflict over natural resources including rangeland and water as well as increasing human wildlife conflict</w:t>
      </w:r>
      <w:r w:rsidR="00484F89">
        <w:rPr>
          <w:rStyle w:val="FootnoteReference"/>
          <w:rFonts w:ascii="Times New Roman" w:eastAsia="Times New Roman" w:hAnsi="Times New Roman" w:cs="Times New Roman"/>
          <w:sz w:val="24"/>
          <w:szCs w:val="24"/>
        </w:rPr>
        <w:footnoteReference w:id="26"/>
      </w:r>
      <w:r>
        <w:rPr>
          <w:rFonts w:ascii="Times New Roman" w:eastAsia="Times New Roman" w:hAnsi="Times New Roman" w:cs="Times New Roman"/>
          <w:sz w:val="24"/>
          <w:szCs w:val="24"/>
        </w:rPr>
        <w:t>. By 2040 the population is expected to more than double. If Uganda is able to reduce its growth rate through improved family planning and maternal child health, it can realize the benefits of an overall demographic dividend. If the population grows unabated, Uganda’s finite natural resources and limited financial resources will be insufficient to meet basic human needs</w:t>
      </w:r>
      <w:r w:rsidR="006E7BA0">
        <w:rPr>
          <w:rStyle w:val="FootnoteReference"/>
          <w:rFonts w:ascii="Times New Roman" w:eastAsia="Times New Roman" w:hAnsi="Times New Roman" w:cs="Times New Roman"/>
          <w:sz w:val="24"/>
          <w:szCs w:val="24"/>
        </w:rPr>
        <w:footnoteReference w:id="27"/>
      </w:r>
      <w:r>
        <w:rPr>
          <w:rFonts w:ascii="Times New Roman" w:eastAsia="Times New Roman" w:hAnsi="Times New Roman" w:cs="Times New Roman"/>
          <w:sz w:val="24"/>
          <w:szCs w:val="24"/>
        </w:rPr>
        <w:t xml:space="preserve"> and the Government will be unable to realize the goals set forth in “Uganda Vision 2040”.  If women bear fewer children and, over time, the population of working age adults increases while the number of dependents decreases, Uganda can realize greater economic growth. Korea</w:t>
      </w:r>
      <w:r w:rsidR="00566B15">
        <w:rPr>
          <w:rStyle w:val="FootnoteReference"/>
          <w:rFonts w:ascii="Times New Roman" w:eastAsia="Times New Roman" w:hAnsi="Times New Roman" w:cs="Times New Roman"/>
          <w:sz w:val="24"/>
          <w:szCs w:val="24"/>
        </w:rPr>
        <w:footnoteReference w:id="28"/>
      </w:r>
      <w:r>
        <w:rPr>
          <w:rFonts w:ascii="Times New Roman" w:eastAsia="Times New Roman" w:hAnsi="Times New Roman" w:cs="Times New Roman"/>
          <w:sz w:val="24"/>
          <w:szCs w:val="24"/>
        </w:rPr>
        <w:t>, Thailand</w:t>
      </w:r>
      <w:r w:rsidR="006E7BA0">
        <w:rPr>
          <w:rStyle w:val="FootnoteReference"/>
          <w:rFonts w:ascii="Times New Roman" w:eastAsia="Times New Roman" w:hAnsi="Times New Roman" w:cs="Times New Roman"/>
          <w:sz w:val="24"/>
          <w:szCs w:val="24"/>
        </w:rPr>
        <w:footnoteReference w:id="29"/>
      </w:r>
      <w:r>
        <w:rPr>
          <w:rFonts w:ascii="Times New Roman" w:eastAsia="Times New Roman" w:hAnsi="Times New Roman" w:cs="Times New Roman"/>
          <w:sz w:val="24"/>
          <w:szCs w:val="24"/>
        </w:rPr>
        <w:t>, and India have seen similar demographic changes and economic growth. Consider the following data from India</w:t>
      </w:r>
      <w:r>
        <w:rPr>
          <w:rFonts w:ascii="Times New Roman" w:eastAsia="Times New Roman" w:hAnsi="Times New Roman" w:cs="Times New Roman"/>
          <w:sz w:val="24"/>
          <w:szCs w:val="24"/>
          <w:vertAlign w:val="superscript"/>
        </w:rPr>
        <w:footnoteReference w:id="30"/>
      </w:r>
      <w:r>
        <w:rPr>
          <w:rFonts w:ascii="Times New Roman" w:eastAsia="Times New Roman" w:hAnsi="Times New Roman" w:cs="Times New Roman"/>
          <w:sz w:val="24"/>
          <w:szCs w:val="24"/>
        </w:rPr>
        <w:t xml:space="preserve">: </w:t>
      </w:r>
    </w:p>
    <w:p w14:paraId="30B7D9D4" w14:textId="77777777" w:rsidR="00F92D8F" w:rsidRDefault="00F92D8F" w:rsidP="00F92D8F">
      <w:pPr>
        <w:widowControl w:val="0"/>
      </w:pPr>
    </w:p>
    <w:p w14:paraId="182C5AFB" w14:textId="77777777" w:rsidR="00F92D8F" w:rsidRDefault="00F92D8F" w:rsidP="00F92D8F">
      <w:pPr>
        <w:widowControl w:val="0"/>
      </w:pPr>
      <w:r>
        <w:rPr>
          <w:noProof/>
        </w:rPr>
        <w:lastRenderedPageBreak/>
        <w:drawing>
          <wp:inline distT="114300" distB="114300" distL="114300" distR="114300" wp14:anchorId="3CE08ABF" wp14:editId="0D379B61">
            <wp:extent cx="4972050" cy="2943225"/>
            <wp:effectExtent l="0" t="0" r="0" b="0"/>
            <wp:docPr id="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1"/>
                    <a:srcRect/>
                    <a:stretch>
                      <a:fillRect/>
                    </a:stretch>
                  </pic:blipFill>
                  <pic:spPr>
                    <a:xfrm>
                      <a:off x="0" y="0"/>
                      <a:ext cx="4972050" cy="2943225"/>
                    </a:xfrm>
                    <a:prstGeom prst="rect">
                      <a:avLst/>
                    </a:prstGeom>
                    <a:ln/>
                  </pic:spPr>
                </pic:pic>
              </a:graphicData>
            </a:graphic>
          </wp:inline>
        </w:drawing>
      </w:r>
    </w:p>
    <w:p w14:paraId="78AB152A" w14:textId="77777777" w:rsidR="00F92D8F" w:rsidRDefault="00F92D8F" w:rsidP="00F92D8F">
      <w:pPr>
        <w:widowControl w:val="0"/>
      </w:pPr>
      <w:r>
        <w:rPr>
          <w:rFonts w:ascii="Times New Roman" w:eastAsia="Times New Roman" w:hAnsi="Times New Roman" w:cs="Times New Roman"/>
          <w:sz w:val="24"/>
          <w:szCs w:val="24"/>
        </w:rPr>
        <w:t xml:space="preserve">Gender roles and the overall level of women’s empowerment are among the drivers of demographic change. Data from Uganda suggests an unmet need for family planning due to unequal household negotiation power, lack of control over income and other productive assets, and persistent social and cultural norms that perpetuate a rigid gender binary construction. More than 40 per cent of births were unplanned in 2011 according to the Uganda Demographic and Health Survey, pointing to potential gaps in contraception availability and use as well as unequal household-level negotiation between men and women, specifically around family planning. </w:t>
      </w:r>
    </w:p>
    <w:p w14:paraId="5657DF1F" w14:textId="77777777" w:rsidR="00F92D8F" w:rsidRDefault="00F92D8F" w:rsidP="00F92D8F">
      <w:r>
        <w:rPr>
          <w:rFonts w:ascii="Times New Roman" w:eastAsia="Times New Roman" w:hAnsi="Times New Roman" w:cs="Times New Roman"/>
          <w:sz w:val="24"/>
          <w:szCs w:val="24"/>
        </w:rPr>
        <w:t>Ugandan women have slightly less than 6 births per woman in 2015</w:t>
      </w:r>
      <w:r>
        <w:rPr>
          <w:rStyle w:val="FootnoteReference"/>
          <w:rFonts w:ascii="Times New Roman" w:eastAsia="Times New Roman" w:hAnsi="Times New Roman" w:cs="Times New Roman"/>
          <w:sz w:val="24"/>
          <w:szCs w:val="24"/>
        </w:rPr>
        <w:footnoteReference w:id="31"/>
      </w:r>
      <w:r>
        <w:rPr>
          <w:rFonts w:ascii="Times New Roman" w:eastAsia="Times New Roman" w:hAnsi="Times New Roman" w:cs="Times New Roman"/>
          <w:sz w:val="24"/>
          <w:szCs w:val="24"/>
        </w:rPr>
        <w:t>. The fertility rate has declined from just over 7 births per woman over the past 30 years; however, Uganda has the third highest crude birth rate in the world and the fifth highest fertility rate. Infant mortality in Uganda between 2011 and 2015 was high at 38 infant deaths per 1,000 live births</w:t>
      </w:r>
      <w:r>
        <w:rPr>
          <w:rFonts w:ascii="Times New Roman" w:eastAsia="Times New Roman" w:hAnsi="Times New Roman" w:cs="Times New Roman"/>
          <w:sz w:val="24"/>
          <w:szCs w:val="24"/>
          <w:vertAlign w:val="superscript"/>
        </w:rPr>
        <w:footnoteReference w:id="32"/>
      </w:r>
      <w:r>
        <w:rPr>
          <w:rFonts w:ascii="Times New Roman" w:eastAsia="Times New Roman" w:hAnsi="Times New Roman" w:cs="Times New Roman"/>
          <w:sz w:val="24"/>
          <w:szCs w:val="24"/>
        </w:rPr>
        <w:t>. Child mortality is also high with one in 11 children dying before their fifth birthday</w:t>
      </w:r>
      <w:r>
        <w:rPr>
          <w:rFonts w:ascii="Times New Roman" w:eastAsia="Times New Roman" w:hAnsi="Times New Roman" w:cs="Times New Roman"/>
          <w:sz w:val="24"/>
          <w:szCs w:val="24"/>
          <w:vertAlign w:val="superscript"/>
        </w:rPr>
        <w:footnoteReference w:id="33"/>
      </w:r>
      <w:r>
        <w:rPr>
          <w:rFonts w:ascii="Times New Roman" w:eastAsia="Times New Roman" w:hAnsi="Times New Roman" w:cs="Times New Roman"/>
          <w:sz w:val="24"/>
          <w:szCs w:val="24"/>
        </w:rPr>
        <w:t>. Maternal mortality, which is linked to child survival, was 438 deaths per 100,000 live births in 2011</w:t>
      </w:r>
      <w:r>
        <w:rPr>
          <w:rFonts w:ascii="Times New Roman" w:eastAsia="Times New Roman" w:hAnsi="Times New Roman" w:cs="Times New Roman"/>
          <w:sz w:val="24"/>
          <w:szCs w:val="24"/>
          <w:vertAlign w:val="superscript"/>
        </w:rPr>
        <w:footnoteReference w:id="34"/>
      </w:r>
      <w:r>
        <w:rPr>
          <w:rFonts w:ascii="Times New Roman" w:eastAsia="Times New Roman" w:hAnsi="Times New Roman" w:cs="Times New Roman"/>
          <w:sz w:val="24"/>
          <w:szCs w:val="24"/>
        </w:rPr>
        <w:t xml:space="preserve">. The higher rates of infant, maternal, and child death are related to the higher birth rates.  Conditions for economic growth are optimal when the size of the working-age population exceeds the size of the dependent population. Working age Ugandans entering the labor market with fewer dependents can invigorate the economy. Fertility and mortality must decline to achieve these conditions. If women have fewer children and maternal and childhood mortality declines, Uganda’s demographics will shift; however, reaping the benefits of the demographic dividend requires economic opportunity, improved contraception, and health seeking behaviors.  </w:t>
      </w:r>
    </w:p>
    <w:p w14:paraId="041793A3" w14:textId="1415112A" w:rsidR="00F92D8F" w:rsidRDefault="00F92D8F" w:rsidP="00F92D8F">
      <w:r>
        <w:rPr>
          <w:rFonts w:ascii="Times New Roman" w:eastAsia="Times New Roman" w:hAnsi="Times New Roman" w:cs="Times New Roman"/>
          <w:sz w:val="24"/>
          <w:szCs w:val="24"/>
        </w:rPr>
        <w:lastRenderedPageBreak/>
        <w:t>The Government of Uganda recognizes the link between female empowerment and improved health outcomes.  The National Gender Policy was written in 1997 and revised in 2007.  Uganda is a signatory to the precursor International Conference on Development and Population Uganda, which recognizes gender equality as the central issue for sexua</w:t>
      </w:r>
      <w:r w:rsidR="007E3732">
        <w:rPr>
          <w:rFonts w:ascii="Times New Roman" w:eastAsia="Times New Roman" w:hAnsi="Times New Roman" w:cs="Times New Roman"/>
          <w:sz w:val="24"/>
          <w:szCs w:val="24"/>
        </w:rPr>
        <w:t xml:space="preserve">l and reproductive health and </w:t>
      </w:r>
      <w:r>
        <w:rPr>
          <w:rFonts w:ascii="Times New Roman" w:eastAsia="Times New Roman" w:hAnsi="Times New Roman" w:cs="Times New Roman"/>
          <w:sz w:val="24"/>
          <w:szCs w:val="24"/>
        </w:rPr>
        <w:t xml:space="preserve">critical issues for broader infectious and chronic diseases. The National Development Policy, Vision 2040, and support for the Sustainable Development Goals all echo the national commitment to gender equality. USAID/Uganda must similarly place gender equality at the center of its work to achieve a demographic dividend for Uganda. In particular, USAID/Uganda interventions must make the explicit commitment to increasing access to resources and control of resources for women. USAID/Uganda must also commit to greater equality in household decision making dynamics. These changes will contribute to greater access to contraception, improved health outcomes, and economic opportunity - the necessary preconditions for realizing the potential of Uganda’s young and growing citizenry. </w:t>
      </w:r>
    </w:p>
    <w:p w14:paraId="178792DC" w14:textId="77777777" w:rsidR="00F92D8F" w:rsidRDefault="00F92D8F" w:rsidP="00F92D8F">
      <w:r>
        <w:rPr>
          <w:rFonts w:ascii="Times New Roman" w:eastAsia="Times New Roman" w:hAnsi="Times New Roman" w:cs="Times New Roman"/>
          <w:sz w:val="24"/>
          <w:szCs w:val="24"/>
          <w:u w:val="single"/>
        </w:rPr>
        <w:t>Meeting the Unmet Need for Contraception</w:t>
      </w:r>
    </w:p>
    <w:p w14:paraId="4719AFB4" w14:textId="7F21257D" w:rsidR="00F92D8F" w:rsidRDefault="00F92D8F" w:rsidP="00F92D8F">
      <w:r>
        <w:rPr>
          <w:rFonts w:ascii="Times New Roman" w:eastAsia="Times New Roman" w:hAnsi="Times New Roman" w:cs="Times New Roman"/>
          <w:sz w:val="24"/>
          <w:szCs w:val="24"/>
        </w:rPr>
        <w:t>During USAID community consultations as part of the country strategy formulation process, women generally expressed wanting their daughters to have fewer children they themselves have.  As one woman put it “so they can educate and feed them well!” Ugandan women, on average, give birth to nearly two children more than they want - 6.2 vs. 4.5 children per person. A Gut</w:t>
      </w:r>
      <w:r w:rsidR="005F79E1">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macher Institute analysis judges this difference as a sign of “just how difficult it is for women to meet their fertility desires.” Uganda has an unmet need for family planning and contraception that varies from 30 to 50 percent depending on the geographic area.  Unmet need refers to females who do not wish to become pregnant in the next two years, want to use modern contraception, and yet lack access to such methods. </w:t>
      </w:r>
    </w:p>
    <w:p w14:paraId="3F76658E" w14:textId="7E0FF47B" w:rsidR="00F92D8F" w:rsidRDefault="00F92D8F" w:rsidP="00F92D8F">
      <w:r>
        <w:rPr>
          <w:rFonts w:ascii="Times New Roman" w:eastAsia="Times New Roman" w:hAnsi="Times New Roman" w:cs="Times New Roman"/>
          <w:sz w:val="24"/>
          <w:szCs w:val="24"/>
        </w:rPr>
        <w:t>Patriarchal household power dynamics, insufficient control over income and assets for women and youth, and socio-cultural norms are barriers to accessing modern contraception. Ugandan law and policy supports expanded access to family planning and reproductive health; however, implementation of existing laws and adherence to policies is weak. The Uganda family planning policy allows for access to contraceptive services to every sexually active individual without regard to age. However, much of the demand remains unmet. The Government of Uganda signed the National Population Council Bill into law in 2014 establishing a body to oversee reproductive heal</w:t>
      </w:r>
      <w:r w:rsidR="00993968">
        <w:rPr>
          <w:rFonts w:ascii="Times New Roman" w:eastAsia="Times New Roman" w:hAnsi="Times New Roman" w:cs="Times New Roman"/>
          <w:sz w:val="24"/>
          <w:szCs w:val="24"/>
        </w:rPr>
        <w:t>th issues.</w:t>
      </w:r>
      <w:r>
        <w:rPr>
          <w:rFonts w:ascii="Times New Roman" w:eastAsia="Times New Roman" w:hAnsi="Times New Roman" w:cs="Times New Roman"/>
          <w:sz w:val="24"/>
          <w:szCs w:val="24"/>
        </w:rPr>
        <w:t xml:space="preserve"> Its full potential is yet to be realized one year after its inception. While condoms are widely available in public facilities and often for free, uptake of other forms of contraception remains low. Studies cite negative provider attitudes, distance to providers, and the need for spousal consent to access family planning methods as barriers to uptake of contraception. Spousal consent to family planning is further complicated by men’s general desire </w:t>
      </w:r>
      <w:r>
        <w:rPr>
          <w:rFonts w:ascii="Times New Roman" w:eastAsia="Times New Roman" w:hAnsi="Times New Roman" w:cs="Times New Roman"/>
          <w:sz w:val="24"/>
          <w:szCs w:val="24"/>
        </w:rPr>
        <w:lastRenderedPageBreak/>
        <w:t>to have more children than women. Men are also less likely than women to play an active role in “reproductive decision-making,</w:t>
      </w:r>
      <w:r>
        <w:rPr>
          <w:rFonts w:ascii="Times New Roman" w:eastAsia="Times New Roman" w:hAnsi="Times New Roman" w:cs="Times New Roman"/>
          <w:sz w:val="24"/>
          <w:szCs w:val="24"/>
          <w:vertAlign w:val="superscript"/>
        </w:rPr>
        <w:footnoteReference w:id="35"/>
      </w:r>
      <w:r>
        <w:rPr>
          <w:rFonts w:ascii="Times New Roman" w:eastAsia="Times New Roman" w:hAnsi="Times New Roman" w:cs="Times New Roman"/>
          <w:sz w:val="24"/>
          <w:szCs w:val="24"/>
        </w:rPr>
        <w:t xml:space="preserve">” or contraception negotiation. </w:t>
      </w:r>
    </w:p>
    <w:tbl>
      <w:tblPr>
        <w:tblW w:w="8730" w:type="dxa"/>
        <w:tblBorders>
          <w:top w:val="nil"/>
          <w:left w:val="nil"/>
          <w:bottom w:val="nil"/>
          <w:right w:val="nil"/>
          <w:insideH w:val="nil"/>
          <w:insideV w:val="nil"/>
        </w:tblBorders>
        <w:tblLayout w:type="fixed"/>
        <w:tblLook w:val="0600" w:firstRow="0" w:lastRow="0" w:firstColumn="0" w:lastColumn="0" w:noHBand="1" w:noVBand="1"/>
      </w:tblPr>
      <w:tblGrid>
        <w:gridCol w:w="6240"/>
        <w:gridCol w:w="1320"/>
        <w:gridCol w:w="1170"/>
      </w:tblGrid>
      <w:tr w:rsidR="00F92D8F" w14:paraId="4457EF8B" w14:textId="77777777" w:rsidTr="00250C9A">
        <w:tc>
          <w:tcPr>
            <w:tcW w:w="6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22D845" w14:textId="77777777" w:rsidR="00F92D8F" w:rsidRDefault="00F92D8F" w:rsidP="00250C9A">
            <w:pPr>
              <w:ind w:left="120"/>
            </w:pPr>
            <w:r>
              <w:rPr>
                <w:rFonts w:ascii="Times New Roman" w:eastAsia="Times New Roman" w:hAnsi="Times New Roman" w:cs="Times New Roman"/>
                <w:b/>
                <w:sz w:val="18"/>
                <w:szCs w:val="18"/>
              </w:rPr>
              <w:t>Family Planning Statistics (Demographic and Health Survey)</w:t>
            </w:r>
          </w:p>
        </w:tc>
        <w:tc>
          <w:tcPr>
            <w:tcW w:w="1320" w:type="dxa"/>
            <w:tcBorders>
              <w:top w:val="single" w:sz="8" w:space="0" w:color="000000"/>
              <w:bottom w:val="single" w:sz="8" w:space="0" w:color="000000"/>
              <w:right w:val="single" w:sz="8" w:space="0" w:color="000000"/>
            </w:tcBorders>
            <w:tcMar>
              <w:top w:w="100" w:type="dxa"/>
              <w:left w:w="120" w:type="dxa"/>
              <w:bottom w:w="100" w:type="dxa"/>
              <w:right w:w="120" w:type="dxa"/>
            </w:tcMar>
          </w:tcPr>
          <w:p w14:paraId="1FCFA72F" w14:textId="77777777" w:rsidR="00F92D8F" w:rsidRDefault="00F92D8F" w:rsidP="00250C9A">
            <w:pPr>
              <w:ind w:left="120"/>
            </w:pPr>
            <w:r>
              <w:rPr>
                <w:rFonts w:ascii="Times New Roman" w:eastAsia="Times New Roman" w:hAnsi="Times New Roman" w:cs="Times New Roman"/>
                <w:b/>
                <w:sz w:val="18"/>
                <w:szCs w:val="18"/>
              </w:rPr>
              <w:t>2006</w:t>
            </w:r>
          </w:p>
        </w:tc>
        <w:tc>
          <w:tcPr>
            <w:tcW w:w="1170" w:type="dxa"/>
            <w:tcBorders>
              <w:top w:val="single" w:sz="8" w:space="0" w:color="000000"/>
              <w:bottom w:val="single" w:sz="8" w:space="0" w:color="000000"/>
              <w:right w:val="single" w:sz="8" w:space="0" w:color="000000"/>
            </w:tcBorders>
            <w:tcMar>
              <w:top w:w="100" w:type="dxa"/>
              <w:left w:w="120" w:type="dxa"/>
              <w:bottom w:w="100" w:type="dxa"/>
              <w:right w:w="120" w:type="dxa"/>
            </w:tcMar>
          </w:tcPr>
          <w:p w14:paraId="7C4D80ED" w14:textId="77777777" w:rsidR="00F92D8F" w:rsidRDefault="00F92D8F" w:rsidP="00250C9A">
            <w:pPr>
              <w:ind w:left="120"/>
            </w:pPr>
            <w:r>
              <w:rPr>
                <w:rFonts w:ascii="Times New Roman" w:eastAsia="Times New Roman" w:hAnsi="Times New Roman" w:cs="Times New Roman"/>
                <w:b/>
                <w:sz w:val="18"/>
                <w:szCs w:val="18"/>
              </w:rPr>
              <w:t>2011</w:t>
            </w:r>
          </w:p>
        </w:tc>
      </w:tr>
      <w:tr w:rsidR="00F92D8F" w14:paraId="18A02380" w14:textId="77777777" w:rsidTr="00250C9A">
        <w:tc>
          <w:tcPr>
            <w:tcW w:w="624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C8D939D" w14:textId="77777777" w:rsidR="00F92D8F" w:rsidRDefault="00F92D8F" w:rsidP="00250C9A">
            <w:pPr>
              <w:ind w:left="120"/>
            </w:pPr>
            <w:r>
              <w:rPr>
                <w:rFonts w:ascii="Times New Roman" w:eastAsia="Times New Roman" w:hAnsi="Times New Roman" w:cs="Times New Roman"/>
                <w:sz w:val="18"/>
                <w:szCs w:val="18"/>
              </w:rPr>
              <w:t>Total Fertility Rate</w:t>
            </w:r>
          </w:p>
        </w:tc>
        <w:tc>
          <w:tcPr>
            <w:tcW w:w="1320" w:type="dxa"/>
            <w:tcBorders>
              <w:bottom w:val="single" w:sz="8" w:space="0" w:color="000000"/>
              <w:right w:val="single" w:sz="8" w:space="0" w:color="000000"/>
            </w:tcBorders>
            <w:tcMar>
              <w:top w:w="100" w:type="dxa"/>
              <w:left w:w="120" w:type="dxa"/>
              <w:bottom w:w="100" w:type="dxa"/>
              <w:right w:w="120" w:type="dxa"/>
            </w:tcMar>
          </w:tcPr>
          <w:p w14:paraId="5E64F25B" w14:textId="77777777" w:rsidR="00F92D8F" w:rsidRDefault="00F92D8F" w:rsidP="00250C9A">
            <w:pPr>
              <w:ind w:left="120"/>
            </w:pPr>
            <w:r>
              <w:rPr>
                <w:rFonts w:ascii="Times New Roman" w:eastAsia="Times New Roman" w:hAnsi="Times New Roman" w:cs="Times New Roman"/>
                <w:sz w:val="18"/>
                <w:szCs w:val="18"/>
              </w:rPr>
              <w:t>6.7%</w:t>
            </w:r>
          </w:p>
        </w:tc>
        <w:tc>
          <w:tcPr>
            <w:tcW w:w="1170" w:type="dxa"/>
            <w:tcBorders>
              <w:bottom w:val="single" w:sz="8" w:space="0" w:color="000000"/>
              <w:right w:val="single" w:sz="8" w:space="0" w:color="000000"/>
            </w:tcBorders>
            <w:tcMar>
              <w:top w:w="100" w:type="dxa"/>
              <w:left w:w="120" w:type="dxa"/>
              <w:bottom w:w="100" w:type="dxa"/>
              <w:right w:w="120" w:type="dxa"/>
            </w:tcMar>
          </w:tcPr>
          <w:p w14:paraId="61B284DE" w14:textId="77777777" w:rsidR="00F92D8F" w:rsidRDefault="00F92D8F" w:rsidP="00250C9A">
            <w:pPr>
              <w:ind w:left="120"/>
            </w:pPr>
            <w:r>
              <w:rPr>
                <w:rFonts w:ascii="Times New Roman" w:eastAsia="Times New Roman" w:hAnsi="Times New Roman" w:cs="Times New Roman"/>
                <w:sz w:val="18"/>
                <w:szCs w:val="18"/>
              </w:rPr>
              <w:t>6.2%</w:t>
            </w:r>
          </w:p>
        </w:tc>
      </w:tr>
      <w:tr w:rsidR="00F92D8F" w14:paraId="4932AA83" w14:textId="77777777" w:rsidTr="00250C9A">
        <w:tc>
          <w:tcPr>
            <w:tcW w:w="624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27E99B9" w14:textId="77777777" w:rsidR="00F92D8F" w:rsidRDefault="00F92D8F" w:rsidP="00250C9A">
            <w:pPr>
              <w:ind w:left="120"/>
            </w:pPr>
            <w:r>
              <w:rPr>
                <w:rFonts w:ascii="Times New Roman" w:eastAsia="Times New Roman" w:hAnsi="Times New Roman" w:cs="Times New Roman"/>
                <w:sz w:val="18"/>
                <w:szCs w:val="18"/>
              </w:rPr>
              <w:t>Contraceptive Prevalence Rate</w:t>
            </w:r>
          </w:p>
        </w:tc>
        <w:tc>
          <w:tcPr>
            <w:tcW w:w="1320" w:type="dxa"/>
            <w:tcBorders>
              <w:bottom w:val="single" w:sz="8" w:space="0" w:color="000000"/>
              <w:right w:val="single" w:sz="8" w:space="0" w:color="000000"/>
            </w:tcBorders>
            <w:tcMar>
              <w:top w:w="100" w:type="dxa"/>
              <w:left w:w="120" w:type="dxa"/>
              <w:bottom w:w="100" w:type="dxa"/>
              <w:right w:w="120" w:type="dxa"/>
            </w:tcMar>
          </w:tcPr>
          <w:p w14:paraId="5DDC3F33" w14:textId="77777777" w:rsidR="00F92D8F" w:rsidRDefault="00F92D8F" w:rsidP="00250C9A">
            <w:pPr>
              <w:ind w:left="120"/>
            </w:pPr>
            <w:r>
              <w:rPr>
                <w:rFonts w:ascii="Times New Roman" w:eastAsia="Times New Roman" w:hAnsi="Times New Roman" w:cs="Times New Roman"/>
                <w:sz w:val="18"/>
                <w:szCs w:val="18"/>
              </w:rPr>
              <w:t>23.7%</w:t>
            </w:r>
          </w:p>
        </w:tc>
        <w:tc>
          <w:tcPr>
            <w:tcW w:w="1170" w:type="dxa"/>
            <w:tcBorders>
              <w:bottom w:val="single" w:sz="8" w:space="0" w:color="000000"/>
              <w:right w:val="single" w:sz="8" w:space="0" w:color="000000"/>
            </w:tcBorders>
            <w:tcMar>
              <w:top w:w="100" w:type="dxa"/>
              <w:left w:w="120" w:type="dxa"/>
              <w:bottom w:w="100" w:type="dxa"/>
              <w:right w:w="120" w:type="dxa"/>
            </w:tcMar>
          </w:tcPr>
          <w:p w14:paraId="65715E11" w14:textId="77777777" w:rsidR="00F92D8F" w:rsidRDefault="00F92D8F" w:rsidP="00250C9A">
            <w:pPr>
              <w:ind w:left="120"/>
            </w:pPr>
            <w:r>
              <w:rPr>
                <w:rFonts w:ascii="Times New Roman" w:eastAsia="Times New Roman" w:hAnsi="Times New Roman" w:cs="Times New Roman"/>
                <w:sz w:val="18"/>
                <w:szCs w:val="18"/>
              </w:rPr>
              <w:t>30%</w:t>
            </w:r>
          </w:p>
        </w:tc>
      </w:tr>
      <w:tr w:rsidR="00F92D8F" w14:paraId="2524A139" w14:textId="77777777" w:rsidTr="00250C9A">
        <w:tc>
          <w:tcPr>
            <w:tcW w:w="624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7C4327D" w14:textId="77777777" w:rsidR="00F92D8F" w:rsidRDefault="00F92D8F" w:rsidP="00250C9A">
            <w:pPr>
              <w:ind w:left="120"/>
            </w:pPr>
            <w:r>
              <w:rPr>
                <w:rFonts w:ascii="Times New Roman" w:eastAsia="Times New Roman" w:hAnsi="Times New Roman" w:cs="Times New Roman"/>
                <w:sz w:val="18"/>
                <w:szCs w:val="18"/>
              </w:rPr>
              <w:t>Modern Contraceptive Prevalence Rate</w:t>
            </w:r>
          </w:p>
        </w:tc>
        <w:tc>
          <w:tcPr>
            <w:tcW w:w="1320" w:type="dxa"/>
            <w:tcBorders>
              <w:bottom w:val="single" w:sz="8" w:space="0" w:color="000000"/>
              <w:right w:val="single" w:sz="8" w:space="0" w:color="000000"/>
            </w:tcBorders>
            <w:tcMar>
              <w:top w:w="100" w:type="dxa"/>
              <w:left w:w="120" w:type="dxa"/>
              <w:bottom w:w="100" w:type="dxa"/>
              <w:right w:w="120" w:type="dxa"/>
            </w:tcMar>
          </w:tcPr>
          <w:p w14:paraId="7CD1C983" w14:textId="77777777" w:rsidR="00F92D8F" w:rsidRDefault="00F92D8F" w:rsidP="00250C9A">
            <w:pPr>
              <w:ind w:left="120"/>
            </w:pPr>
            <w:r>
              <w:rPr>
                <w:rFonts w:ascii="Times New Roman" w:eastAsia="Times New Roman" w:hAnsi="Times New Roman" w:cs="Times New Roman"/>
                <w:sz w:val="18"/>
                <w:szCs w:val="18"/>
              </w:rPr>
              <w:t>17.9%</w:t>
            </w:r>
          </w:p>
        </w:tc>
        <w:tc>
          <w:tcPr>
            <w:tcW w:w="1170" w:type="dxa"/>
            <w:tcBorders>
              <w:bottom w:val="single" w:sz="8" w:space="0" w:color="000000"/>
              <w:right w:val="single" w:sz="8" w:space="0" w:color="000000"/>
            </w:tcBorders>
            <w:tcMar>
              <w:top w:w="100" w:type="dxa"/>
              <w:left w:w="120" w:type="dxa"/>
              <w:bottom w:w="100" w:type="dxa"/>
              <w:right w:w="120" w:type="dxa"/>
            </w:tcMar>
          </w:tcPr>
          <w:p w14:paraId="172C9A35" w14:textId="77777777" w:rsidR="00F92D8F" w:rsidRDefault="00F92D8F" w:rsidP="00250C9A">
            <w:pPr>
              <w:ind w:left="120"/>
            </w:pPr>
            <w:r>
              <w:rPr>
                <w:rFonts w:ascii="Times New Roman" w:eastAsia="Times New Roman" w:hAnsi="Times New Roman" w:cs="Times New Roman"/>
                <w:sz w:val="18"/>
                <w:szCs w:val="18"/>
              </w:rPr>
              <w:t>26%</w:t>
            </w:r>
          </w:p>
        </w:tc>
      </w:tr>
      <w:tr w:rsidR="00F92D8F" w14:paraId="08AE6207" w14:textId="77777777" w:rsidTr="00250C9A">
        <w:tc>
          <w:tcPr>
            <w:tcW w:w="624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949C381" w14:textId="77777777" w:rsidR="00F92D8F" w:rsidRDefault="00F92D8F" w:rsidP="00250C9A">
            <w:pPr>
              <w:ind w:left="120"/>
            </w:pPr>
            <w:r>
              <w:rPr>
                <w:rFonts w:ascii="Times New Roman" w:eastAsia="Times New Roman" w:hAnsi="Times New Roman" w:cs="Times New Roman"/>
                <w:sz w:val="18"/>
                <w:szCs w:val="18"/>
              </w:rPr>
              <w:t>Mean ideal # of children (women)</w:t>
            </w:r>
          </w:p>
        </w:tc>
        <w:tc>
          <w:tcPr>
            <w:tcW w:w="1320" w:type="dxa"/>
            <w:tcBorders>
              <w:bottom w:val="single" w:sz="8" w:space="0" w:color="000000"/>
              <w:right w:val="single" w:sz="8" w:space="0" w:color="000000"/>
            </w:tcBorders>
            <w:tcMar>
              <w:top w:w="100" w:type="dxa"/>
              <w:left w:w="120" w:type="dxa"/>
              <w:bottom w:w="100" w:type="dxa"/>
              <w:right w:w="120" w:type="dxa"/>
            </w:tcMar>
          </w:tcPr>
          <w:p w14:paraId="6DDDDD63" w14:textId="77777777" w:rsidR="00F92D8F" w:rsidRDefault="00F92D8F" w:rsidP="00250C9A">
            <w:pPr>
              <w:ind w:left="120"/>
            </w:pPr>
            <w:r>
              <w:rPr>
                <w:rFonts w:ascii="Times New Roman" w:eastAsia="Times New Roman" w:hAnsi="Times New Roman" w:cs="Times New Roman"/>
                <w:sz w:val="18"/>
                <w:szCs w:val="18"/>
              </w:rPr>
              <w:t>5</w:t>
            </w:r>
          </w:p>
        </w:tc>
        <w:tc>
          <w:tcPr>
            <w:tcW w:w="1170" w:type="dxa"/>
            <w:tcBorders>
              <w:bottom w:val="single" w:sz="8" w:space="0" w:color="000000"/>
              <w:right w:val="single" w:sz="8" w:space="0" w:color="000000"/>
            </w:tcBorders>
            <w:tcMar>
              <w:top w:w="100" w:type="dxa"/>
              <w:left w:w="120" w:type="dxa"/>
              <w:bottom w:w="100" w:type="dxa"/>
              <w:right w:w="120" w:type="dxa"/>
            </w:tcMar>
          </w:tcPr>
          <w:p w14:paraId="738321A3" w14:textId="77777777" w:rsidR="00F92D8F" w:rsidRDefault="00F92D8F" w:rsidP="00250C9A">
            <w:pPr>
              <w:ind w:left="120"/>
            </w:pPr>
            <w:r>
              <w:rPr>
                <w:rFonts w:ascii="Times New Roman" w:eastAsia="Times New Roman" w:hAnsi="Times New Roman" w:cs="Times New Roman"/>
                <w:sz w:val="18"/>
                <w:szCs w:val="18"/>
              </w:rPr>
              <w:t>4.8</w:t>
            </w:r>
          </w:p>
        </w:tc>
      </w:tr>
      <w:tr w:rsidR="00F92D8F" w14:paraId="0B5853EF" w14:textId="77777777" w:rsidTr="00250C9A">
        <w:tc>
          <w:tcPr>
            <w:tcW w:w="624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4F36B1B" w14:textId="77777777" w:rsidR="00F92D8F" w:rsidRDefault="00F92D8F" w:rsidP="00250C9A">
            <w:pPr>
              <w:ind w:left="120"/>
            </w:pPr>
            <w:r>
              <w:rPr>
                <w:rFonts w:ascii="Times New Roman" w:eastAsia="Times New Roman" w:hAnsi="Times New Roman" w:cs="Times New Roman"/>
                <w:sz w:val="18"/>
                <w:szCs w:val="18"/>
              </w:rPr>
              <w:t>Mean ideal # of children (men)</w:t>
            </w:r>
          </w:p>
        </w:tc>
        <w:tc>
          <w:tcPr>
            <w:tcW w:w="1320" w:type="dxa"/>
            <w:tcBorders>
              <w:bottom w:val="single" w:sz="8" w:space="0" w:color="000000"/>
              <w:right w:val="single" w:sz="8" w:space="0" w:color="000000"/>
            </w:tcBorders>
            <w:tcMar>
              <w:top w:w="100" w:type="dxa"/>
              <w:left w:w="120" w:type="dxa"/>
              <w:bottom w:w="100" w:type="dxa"/>
              <w:right w:w="120" w:type="dxa"/>
            </w:tcMar>
          </w:tcPr>
          <w:p w14:paraId="2960A601" w14:textId="77777777" w:rsidR="00F92D8F" w:rsidRDefault="00F92D8F" w:rsidP="00250C9A">
            <w:pPr>
              <w:ind w:left="120"/>
            </w:pPr>
            <w:r>
              <w:rPr>
                <w:rFonts w:ascii="Times New Roman" w:eastAsia="Times New Roman" w:hAnsi="Times New Roman" w:cs="Times New Roman"/>
                <w:sz w:val="18"/>
                <w:szCs w:val="18"/>
              </w:rPr>
              <w:t>5.7</w:t>
            </w:r>
          </w:p>
        </w:tc>
        <w:tc>
          <w:tcPr>
            <w:tcW w:w="1170" w:type="dxa"/>
            <w:tcBorders>
              <w:bottom w:val="single" w:sz="8" w:space="0" w:color="000000"/>
              <w:right w:val="single" w:sz="8" w:space="0" w:color="000000"/>
            </w:tcBorders>
            <w:tcMar>
              <w:top w:w="100" w:type="dxa"/>
              <w:left w:w="120" w:type="dxa"/>
              <w:bottom w:w="100" w:type="dxa"/>
              <w:right w:w="120" w:type="dxa"/>
            </w:tcMar>
          </w:tcPr>
          <w:p w14:paraId="7BCD3ADE" w14:textId="77777777" w:rsidR="00F92D8F" w:rsidRDefault="00F92D8F" w:rsidP="00250C9A">
            <w:pPr>
              <w:ind w:left="120"/>
            </w:pPr>
            <w:r>
              <w:rPr>
                <w:rFonts w:ascii="Times New Roman" w:eastAsia="Times New Roman" w:hAnsi="Times New Roman" w:cs="Times New Roman"/>
                <w:sz w:val="18"/>
                <w:szCs w:val="18"/>
              </w:rPr>
              <w:t>5.7</w:t>
            </w:r>
          </w:p>
        </w:tc>
      </w:tr>
      <w:tr w:rsidR="00F92D8F" w14:paraId="24241D49" w14:textId="77777777" w:rsidTr="00250C9A">
        <w:tc>
          <w:tcPr>
            <w:tcW w:w="624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6989FE9" w14:textId="77777777" w:rsidR="00F92D8F" w:rsidRDefault="00F92D8F" w:rsidP="00250C9A">
            <w:pPr>
              <w:ind w:left="120"/>
            </w:pPr>
            <w:r>
              <w:rPr>
                <w:rFonts w:ascii="Times New Roman" w:eastAsia="Times New Roman" w:hAnsi="Times New Roman" w:cs="Times New Roman"/>
                <w:sz w:val="18"/>
                <w:szCs w:val="18"/>
              </w:rPr>
              <w:t>Women who want no more children</w:t>
            </w:r>
          </w:p>
        </w:tc>
        <w:tc>
          <w:tcPr>
            <w:tcW w:w="1320" w:type="dxa"/>
            <w:tcBorders>
              <w:bottom w:val="single" w:sz="8" w:space="0" w:color="000000"/>
              <w:right w:val="single" w:sz="8" w:space="0" w:color="000000"/>
            </w:tcBorders>
            <w:tcMar>
              <w:top w:w="100" w:type="dxa"/>
              <w:left w:w="120" w:type="dxa"/>
              <w:bottom w:w="100" w:type="dxa"/>
              <w:right w:w="120" w:type="dxa"/>
            </w:tcMar>
          </w:tcPr>
          <w:p w14:paraId="383B8E4E" w14:textId="77777777" w:rsidR="00F92D8F" w:rsidRDefault="00F92D8F" w:rsidP="00250C9A">
            <w:pPr>
              <w:ind w:left="120"/>
            </w:pPr>
            <w:r>
              <w:rPr>
                <w:rFonts w:ascii="Times New Roman" w:eastAsia="Times New Roman" w:hAnsi="Times New Roman" w:cs="Times New Roman"/>
                <w:sz w:val="18"/>
                <w:szCs w:val="18"/>
              </w:rPr>
              <w:t>41.1%</w:t>
            </w:r>
          </w:p>
        </w:tc>
        <w:tc>
          <w:tcPr>
            <w:tcW w:w="1170" w:type="dxa"/>
            <w:tcBorders>
              <w:bottom w:val="single" w:sz="8" w:space="0" w:color="000000"/>
              <w:right w:val="single" w:sz="8" w:space="0" w:color="000000"/>
            </w:tcBorders>
            <w:tcMar>
              <w:top w:w="100" w:type="dxa"/>
              <w:left w:w="120" w:type="dxa"/>
              <w:bottom w:w="100" w:type="dxa"/>
              <w:right w:w="120" w:type="dxa"/>
            </w:tcMar>
          </w:tcPr>
          <w:p w14:paraId="5FCF05F3" w14:textId="77777777" w:rsidR="00F92D8F" w:rsidRDefault="00F92D8F" w:rsidP="00250C9A">
            <w:pPr>
              <w:ind w:left="120"/>
            </w:pPr>
            <w:r>
              <w:rPr>
                <w:rFonts w:ascii="Times New Roman" w:eastAsia="Times New Roman" w:hAnsi="Times New Roman" w:cs="Times New Roman"/>
                <w:sz w:val="18"/>
                <w:szCs w:val="18"/>
              </w:rPr>
              <w:t>42.5%</w:t>
            </w:r>
          </w:p>
        </w:tc>
      </w:tr>
      <w:tr w:rsidR="00F92D8F" w14:paraId="7B845168" w14:textId="77777777" w:rsidTr="00250C9A">
        <w:tc>
          <w:tcPr>
            <w:tcW w:w="624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884437A" w14:textId="77777777" w:rsidR="00F92D8F" w:rsidRDefault="00F92D8F" w:rsidP="00250C9A">
            <w:pPr>
              <w:ind w:left="120"/>
            </w:pPr>
            <w:r>
              <w:rPr>
                <w:rFonts w:ascii="Times New Roman" w:eastAsia="Times New Roman" w:hAnsi="Times New Roman" w:cs="Times New Roman"/>
                <w:sz w:val="18"/>
                <w:szCs w:val="18"/>
              </w:rPr>
              <w:t>Unmet need for married women</w:t>
            </w:r>
          </w:p>
        </w:tc>
        <w:tc>
          <w:tcPr>
            <w:tcW w:w="1320" w:type="dxa"/>
            <w:tcBorders>
              <w:bottom w:val="single" w:sz="8" w:space="0" w:color="000000"/>
              <w:right w:val="single" w:sz="8" w:space="0" w:color="000000"/>
            </w:tcBorders>
            <w:tcMar>
              <w:top w:w="100" w:type="dxa"/>
              <w:left w:w="120" w:type="dxa"/>
              <w:bottom w:w="100" w:type="dxa"/>
              <w:right w:w="120" w:type="dxa"/>
            </w:tcMar>
          </w:tcPr>
          <w:p w14:paraId="251D5D83" w14:textId="77777777" w:rsidR="00F92D8F" w:rsidRDefault="00F92D8F" w:rsidP="00250C9A">
            <w:pPr>
              <w:ind w:left="120"/>
            </w:pPr>
            <w:r>
              <w:rPr>
                <w:rFonts w:ascii="Times New Roman" w:eastAsia="Times New Roman" w:hAnsi="Times New Roman" w:cs="Times New Roman"/>
                <w:sz w:val="18"/>
                <w:szCs w:val="18"/>
              </w:rPr>
              <w:t>38%</w:t>
            </w:r>
          </w:p>
        </w:tc>
        <w:tc>
          <w:tcPr>
            <w:tcW w:w="1170" w:type="dxa"/>
            <w:tcBorders>
              <w:bottom w:val="single" w:sz="8" w:space="0" w:color="000000"/>
              <w:right w:val="single" w:sz="8" w:space="0" w:color="000000"/>
            </w:tcBorders>
            <w:tcMar>
              <w:top w:w="100" w:type="dxa"/>
              <w:left w:w="120" w:type="dxa"/>
              <w:bottom w:w="100" w:type="dxa"/>
              <w:right w:w="120" w:type="dxa"/>
            </w:tcMar>
          </w:tcPr>
          <w:p w14:paraId="72993B49" w14:textId="77777777" w:rsidR="00F92D8F" w:rsidRDefault="00F92D8F" w:rsidP="00250C9A">
            <w:pPr>
              <w:ind w:left="120"/>
            </w:pPr>
            <w:r>
              <w:rPr>
                <w:rFonts w:ascii="Times New Roman" w:eastAsia="Times New Roman" w:hAnsi="Times New Roman" w:cs="Times New Roman"/>
                <w:sz w:val="18"/>
                <w:szCs w:val="18"/>
              </w:rPr>
              <w:t>34.3%</w:t>
            </w:r>
          </w:p>
        </w:tc>
      </w:tr>
      <w:tr w:rsidR="00F92D8F" w14:paraId="61CF9E25" w14:textId="77777777" w:rsidTr="00250C9A">
        <w:tc>
          <w:tcPr>
            <w:tcW w:w="624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E340695" w14:textId="77777777" w:rsidR="00F92D8F" w:rsidRDefault="00F92D8F" w:rsidP="00250C9A">
            <w:pPr>
              <w:ind w:left="120"/>
            </w:pPr>
            <w:r>
              <w:rPr>
                <w:rFonts w:ascii="Times New Roman" w:eastAsia="Times New Roman" w:hAnsi="Times New Roman" w:cs="Times New Roman"/>
                <w:sz w:val="18"/>
                <w:szCs w:val="18"/>
              </w:rPr>
              <w:t>Women who have given birth by 18</w:t>
            </w:r>
          </w:p>
        </w:tc>
        <w:tc>
          <w:tcPr>
            <w:tcW w:w="1320" w:type="dxa"/>
            <w:tcBorders>
              <w:bottom w:val="single" w:sz="8" w:space="0" w:color="000000"/>
              <w:right w:val="single" w:sz="8" w:space="0" w:color="000000"/>
            </w:tcBorders>
            <w:tcMar>
              <w:top w:w="100" w:type="dxa"/>
              <w:left w:w="120" w:type="dxa"/>
              <w:bottom w:w="100" w:type="dxa"/>
              <w:right w:w="120" w:type="dxa"/>
            </w:tcMar>
          </w:tcPr>
          <w:p w14:paraId="4CED4916" w14:textId="77777777" w:rsidR="00F92D8F" w:rsidRDefault="00F92D8F" w:rsidP="00250C9A">
            <w:pPr>
              <w:ind w:left="120"/>
            </w:pPr>
            <w:r>
              <w:rPr>
                <w:rFonts w:ascii="Times New Roman" w:eastAsia="Times New Roman" w:hAnsi="Times New Roman" w:cs="Times New Roman"/>
                <w:sz w:val="18"/>
                <w:szCs w:val="18"/>
              </w:rPr>
              <w:t>41.9%</w:t>
            </w:r>
          </w:p>
        </w:tc>
        <w:tc>
          <w:tcPr>
            <w:tcW w:w="1170" w:type="dxa"/>
            <w:tcBorders>
              <w:bottom w:val="single" w:sz="8" w:space="0" w:color="000000"/>
              <w:right w:val="single" w:sz="8" w:space="0" w:color="000000"/>
            </w:tcBorders>
            <w:tcMar>
              <w:top w:w="100" w:type="dxa"/>
              <w:left w:w="120" w:type="dxa"/>
              <w:bottom w:w="100" w:type="dxa"/>
              <w:right w:w="120" w:type="dxa"/>
            </w:tcMar>
          </w:tcPr>
          <w:p w14:paraId="4619AB5B" w14:textId="77777777" w:rsidR="00F92D8F" w:rsidRDefault="00F92D8F" w:rsidP="00250C9A">
            <w:pPr>
              <w:ind w:left="120"/>
            </w:pPr>
            <w:r>
              <w:rPr>
                <w:rFonts w:ascii="Times New Roman" w:eastAsia="Times New Roman" w:hAnsi="Times New Roman" w:cs="Times New Roman"/>
                <w:sz w:val="18"/>
                <w:szCs w:val="18"/>
              </w:rPr>
              <w:t>41.2%</w:t>
            </w:r>
          </w:p>
        </w:tc>
      </w:tr>
      <w:tr w:rsidR="00F92D8F" w14:paraId="49283C69" w14:textId="77777777" w:rsidTr="00250C9A">
        <w:tc>
          <w:tcPr>
            <w:tcW w:w="624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4F2D458" w14:textId="77777777" w:rsidR="00F92D8F" w:rsidRDefault="00F92D8F" w:rsidP="00250C9A">
            <w:pPr>
              <w:ind w:left="120"/>
            </w:pPr>
            <w:r>
              <w:rPr>
                <w:rFonts w:ascii="Times New Roman" w:eastAsia="Times New Roman" w:hAnsi="Times New Roman" w:cs="Times New Roman"/>
                <w:sz w:val="18"/>
                <w:szCs w:val="18"/>
              </w:rPr>
              <w:t>Women married by 15</w:t>
            </w:r>
          </w:p>
        </w:tc>
        <w:tc>
          <w:tcPr>
            <w:tcW w:w="1320" w:type="dxa"/>
            <w:tcBorders>
              <w:bottom w:val="single" w:sz="8" w:space="0" w:color="000000"/>
              <w:right w:val="single" w:sz="8" w:space="0" w:color="000000"/>
            </w:tcBorders>
            <w:tcMar>
              <w:top w:w="100" w:type="dxa"/>
              <w:left w:w="120" w:type="dxa"/>
              <w:bottom w:w="100" w:type="dxa"/>
              <w:right w:w="120" w:type="dxa"/>
            </w:tcMar>
          </w:tcPr>
          <w:p w14:paraId="22C92B2F" w14:textId="77777777" w:rsidR="00F92D8F" w:rsidRDefault="00F92D8F" w:rsidP="00250C9A">
            <w:pPr>
              <w:ind w:left="120"/>
            </w:pPr>
            <w:r>
              <w:rPr>
                <w:rFonts w:ascii="Times New Roman" w:eastAsia="Times New Roman" w:hAnsi="Times New Roman" w:cs="Times New Roman"/>
                <w:sz w:val="18"/>
                <w:szCs w:val="18"/>
              </w:rPr>
              <w:t>17.1%</w:t>
            </w:r>
          </w:p>
        </w:tc>
        <w:tc>
          <w:tcPr>
            <w:tcW w:w="1170" w:type="dxa"/>
            <w:tcBorders>
              <w:bottom w:val="single" w:sz="8" w:space="0" w:color="000000"/>
              <w:right w:val="single" w:sz="8" w:space="0" w:color="000000"/>
            </w:tcBorders>
            <w:tcMar>
              <w:top w:w="100" w:type="dxa"/>
              <w:left w:w="120" w:type="dxa"/>
              <w:bottom w:w="100" w:type="dxa"/>
              <w:right w:w="120" w:type="dxa"/>
            </w:tcMar>
          </w:tcPr>
          <w:p w14:paraId="1A8A5D41" w14:textId="77777777" w:rsidR="00F92D8F" w:rsidRDefault="00F92D8F" w:rsidP="00250C9A">
            <w:pPr>
              <w:ind w:left="120"/>
            </w:pPr>
            <w:r>
              <w:rPr>
                <w:rFonts w:ascii="Times New Roman" w:eastAsia="Times New Roman" w:hAnsi="Times New Roman" w:cs="Times New Roman"/>
                <w:sz w:val="18"/>
                <w:szCs w:val="18"/>
              </w:rPr>
              <w:t>18.4%</w:t>
            </w:r>
          </w:p>
        </w:tc>
      </w:tr>
      <w:tr w:rsidR="00F92D8F" w14:paraId="4D6510EA" w14:textId="77777777" w:rsidTr="00250C9A">
        <w:tc>
          <w:tcPr>
            <w:tcW w:w="624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7A27205" w14:textId="77777777" w:rsidR="00F92D8F" w:rsidRDefault="00F92D8F" w:rsidP="00250C9A">
            <w:pPr>
              <w:ind w:left="120"/>
            </w:pPr>
            <w:r>
              <w:rPr>
                <w:rFonts w:ascii="Times New Roman" w:eastAsia="Times New Roman" w:hAnsi="Times New Roman" w:cs="Times New Roman"/>
                <w:sz w:val="18"/>
                <w:szCs w:val="18"/>
              </w:rPr>
              <w:t>Women who have had sex by 15</w:t>
            </w:r>
          </w:p>
        </w:tc>
        <w:tc>
          <w:tcPr>
            <w:tcW w:w="1320" w:type="dxa"/>
            <w:tcBorders>
              <w:bottom w:val="single" w:sz="8" w:space="0" w:color="000000"/>
              <w:right w:val="single" w:sz="8" w:space="0" w:color="000000"/>
            </w:tcBorders>
            <w:tcMar>
              <w:top w:w="100" w:type="dxa"/>
              <w:left w:w="120" w:type="dxa"/>
              <w:bottom w:w="100" w:type="dxa"/>
              <w:right w:w="120" w:type="dxa"/>
            </w:tcMar>
          </w:tcPr>
          <w:p w14:paraId="1DFCF68C" w14:textId="77777777" w:rsidR="00F92D8F" w:rsidRDefault="00F92D8F" w:rsidP="00250C9A">
            <w:pPr>
              <w:ind w:left="120"/>
            </w:pPr>
            <w:r>
              <w:rPr>
                <w:rFonts w:ascii="Times New Roman" w:eastAsia="Times New Roman" w:hAnsi="Times New Roman" w:cs="Times New Roman"/>
                <w:sz w:val="18"/>
                <w:szCs w:val="18"/>
              </w:rPr>
              <w:t>25.7%</w:t>
            </w:r>
          </w:p>
        </w:tc>
        <w:tc>
          <w:tcPr>
            <w:tcW w:w="1170" w:type="dxa"/>
            <w:tcBorders>
              <w:bottom w:val="single" w:sz="8" w:space="0" w:color="000000"/>
              <w:right w:val="single" w:sz="8" w:space="0" w:color="000000"/>
            </w:tcBorders>
            <w:tcMar>
              <w:top w:w="100" w:type="dxa"/>
              <w:left w:w="120" w:type="dxa"/>
              <w:bottom w:w="100" w:type="dxa"/>
              <w:right w:w="120" w:type="dxa"/>
            </w:tcMar>
          </w:tcPr>
          <w:p w14:paraId="0C8B0C57" w14:textId="77777777" w:rsidR="00F92D8F" w:rsidRDefault="00F92D8F" w:rsidP="00250C9A">
            <w:pPr>
              <w:ind w:left="120"/>
            </w:pPr>
            <w:r>
              <w:rPr>
                <w:rFonts w:ascii="Times New Roman" w:eastAsia="Times New Roman" w:hAnsi="Times New Roman" w:cs="Times New Roman"/>
                <w:sz w:val="18"/>
                <w:szCs w:val="18"/>
              </w:rPr>
              <w:t>17.2%</w:t>
            </w:r>
          </w:p>
        </w:tc>
      </w:tr>
      <w:tr w:rsidR="00F92D8F" w14:paraId="4F99889F" w14:textId="77777777" w:rsidTr="00250C9A">
        <w:tc>
          <w:tcPr>
            <w:tcW w:w="624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946BA66" w14:textId="77777777" w:rsidR="00F92D8F" w:rsidRDefault="00F92D8F" w:rsidP="00250C9A">
            <w:pPr>
              <w:ind w:left="120"/>
            </w:pPr>
            <w:r>
              <w:rPr>
                <w:rFonts w:ascii="Times New Roman" w:eastAsia="Times New Roman" w:hAnsi="Times New Roman" w:cs="Times New Roman"/>
                <w:sz w:val="18"/>
                <w:szCs w:val="18"/>
              </w:rPr>
              <w:t>Men who have had sex by 15</w:t>
            </w:r>
          </w:p>
        </w:tc>
        <w:tc>
          <w:tcPr>
            <w:tcW w:w="1320" w:type="dxa"/>
            <w:tcBorders>
              <w:bottom w:val="single" w:sz="8" w:space="0" w:color="000000"/>
              <w:right w:val="single" w:sz="8" w:space="0" w:color="000000"/>
            </w:tcBorders>
            <w:tcMar>
              <w:top w:w="100" w:type="dxa"/>
              <w:left w:w="120" w:type="dxa"/>
              <w:bottom w:w="100" w:type="dxa"/>
              <w:right w:w="120" w:type="dxa"/>
            </w:tcMar>
          </w:tcPr>
          <w:p w14:paraId="6969A947" w14:textId="77777777" w:rsidR="00F92D8F" w:rsidRDefault="00F92D8F" w:rsidP="00250C9A">
            <w:pPr>
              <w:ind w:left="120"/>
            </w:pPr>
            <w:r>
              <w:rPr>
                <w:rFonts w:ascii="Times New Roman" w:eastAsia="Times New Roman" w:hAnsi="Times New Roman" w:cs="Times New Roman"/>
                <w:sz w:val="18"/>
                <w:szCs w:val="18"/>
              </w:rPr>
              <w:t>9.5%</w:t>
            </w:r>
          </w:p>
        </w:tc>
        <w:tc>
          <w:tcPr>
            <w:tcW w:w="1170" w:type="dxa"/>
            <w:tcBorders>
              <w:bottom w:val="single" w:sz="8" w:space="0" w:color="000000"/>
              <w:right w:val="single" w:sz="8" w:space="0" w:color="000000"/>
            </w:tcBorders>
            <w:tcMar>
              <w:top w:w="100" w:type="dxa"/>
              <w:left w:w="120" w:type="dxa"/>
              <w:bottom w:w="100" w:type="dxa"/>
              <w:right w:w="120" w:type="dxa"/>
            </w:tcMar>
          </w:tcPr>
          <w:p w14:paraId="158FFAE9" w14:textId="77777777" w:rsidR="00F92D8F" w:rsidRDefault="00F92D8F" w:rsidP="00250C9A">
            <w:pPr>
              <w:ind w:left="120"/>
            </w:pPr>
            <w:r>
              <w:rPr>
                <w:rFonts w:ascii="Times New Roman" w:eastAsia="Times New Roman" w:hAnsi="Times New Roman" w:cs="Times New Roman"/>
                <w:sz w:val="18"/>
                <w:szCs w:val="18"/>
              </w:rPr>
              <w:t>9.9%</w:t>
            </w:r>
          </w:p>
        </w:tc>
      </w:tr>
      <w:tr w:rsidR="00F92D8F" w14:paraId="4B886AAB" w14:textId="77777777" w:rsidTr="00250C9A">
        <w:tc>
          <w:tcPr>
            <w:tcW w:w="624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01B1CA5" w14:textId="77777777" w:rsidR="00F92D8F" w:rsidRDefault="00F92D8F" w:rsidP="00250C9A">
            <w:pPr>
              <w:ind w:left="120"/>
            </w:pPr>
            <w:r>
              <w:rPr>
                <w:rFonts w:ascii="Times New Roman" w:eastAsia="Times New Roman" w:hAnsi="Times New Roman" w:cs="Times New Roman"/>
                <w:sz w:val="18"/>
                <w:szCs w:val="18"/>
              </w:rPr>
              <w:t>Median age of first sex (women)</w:t>
            </w:r>
          </w:p>
        </w:tc>
        <w:tc>
          <w:tcPr>
            <w:tcW w:w="1320" w:type="dxa"/>
            <w:tcBorders>
              <w:bottom w:val="single" w:sz="8" w:space="0" w:color="000000"/>
              <w:right w:val="single" w:sz="8" w:space="0" w:color="000000"/>
            </w:tcBorders>
            <w:tcMar>
              <w:top w:w="100" w:type="dxa"/>
              <w:left w:w="120" w:type="dxa"/>
              <w:bottom w:w="100" w:type="dxa"/>
              <w:right w:w="120" w:type="dxa"/>
            </w:tcMar>
          </w:tcPr>
          <w:p w14:paraId="3B26BA76" w14:textId="77777777" w:rsidR="00F92D8F" w:rsidRDefault="00F92D8F" w:rsidP="00250C9A">
            <w:pPr>
              <w:ind w:left="120"/>
            </w:pPr>
            <w:r>
              <w:rPr>
                <w:rFonts w:ascii="Times New Roman" w:eastAsia="Times New Roman" w:hAnsi="Times New Roman" w:cs="Times New Roman"/>
                <w:sz w:val="18"/>
                <w:szCs w:val="18"/>
              </w:rPr>
              <w:t>16.4</w:t>
            </w:r>
          </w:p>
        </w:tc>
        <w:tc>
          <w:tcPr>
            <w:tcW w:w="1170" w:type="dxa"/>
            <w:tcBorders>
              <w:bottom w:val="single" w:sz="8" w:space="0" w:color="000000"/>
              <w:right w:val="single" w:sz="8" w:space="0" w:color="000000"/>
            </w:tcBorders>
            <w:tcMar>
              <w:top w:w="100" w:type="dxa"/>
              <w:left w:w="120" w:type="dxa"/>
              <w:bottom w:w="100" w:type="dxa"/>
              <w:right w:w="120" w:type="dxa"/>
            </w:tcMar>
          </w:tcPr>
          <w:p w14:paraId="57CC1682" w14:textId="77777777" w:rsidR="00F92D8F" w:rsidRDefault="00F92D8F" w:rsidP="00250C9A">
            <w:pPr>
              <w:ind w:left="120"/>
            </w:pPr>
            <w:r>
              <w:rPr>
                <w:rFonts w:ascii="Times New Roman" w:eastAsia="Times New Roman" w:hAnsi="Times New Roman" w:cs="Times New Roman"/>
                <w:sz w:val="18"/>
                <w:szCs w:val="18"/>
              </w:rPr>
              <w:t>17</w:t>
            </w:r>
          </w:p>
        </w:tc>
      </w:tr>
      <w:tr w:rsidR="00F92D8F" w14:paraId="4E94F7CF" w14:textId="77777777" w:rsidTr="00250C9A">
        <w:tc>
          <w:tcPr>
            <w:tcW w:w="624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B70FC1C" w14:textId="77777777" w:rsidR="00F92D8F" w:rsidRDefault="00F92D8F" w:rsidP="00250C9A">
            <w:pPr>
              <w:ind w:left="120"/>
            </w:pPr>
            <w:r>
              <w:rPr>
                <w:rFonts w:ascii="Times New Roman" w:eastAsia="Times New Roman" w:hAnsi="Times New Roman" w:cs="Times New Roman"/>
                <w:sz w:val="18"/>
                <w:szCs w:val="18"/>
              </w:rPr>
              <w:t>Median age of first sex (men)</w:t>
            </w:r>
          </w:p>
        </w:tc>
        <w:tc>
          <w:tcPr>
            <w:tcW w:w="1320" w:type="dxa"/>
            <w:tcBorders>
              <w:bottom w:val="single" w:sz="8" w:space="0" w:color="000000"/>
              <w:right w:val="single" w:sz="8" w:space="0" w:color="000000"/>
            </w:tcBorders>
            <w:tcMar>
              <w:top w:w="100" w:type="dxa"/>
              <w:left w:w="120" w:type="dxa"/>
              <w:bottom w:w="100" w:type="dxa"/>
              <w:right w:w="120" w:type="dxa"/>
            </w:tcMar>
          </w:tcPr>
          <w:p w14:paraId="48849DC8" w14:textId="77777777" w:rsidR="00F92D8F" w:rsidRDefault="00F92D8F" w:rsidP="00250C9A">
            <w:pPr>
              <w:ind w:left="120"/>
            </w:pPr>
            <w:r>
              <w:rPr>
                <w:rFonts w:ascii="Times New Roman" w:eastAsia="Times New Roman" w:hAnsi="Times New Roman" w:cs="Times New Roman"/>
                <w:sz w:val="18"/>
                <w:szCs w:val="18"/>
              </w:rPr>
              <w:t>18.8</w:t>
            </w:r>
          </w:p>
        </w:tc>
        <w:tc>
          <w:tcPr>
            <w:tcW w:w="1170" w:type="dxa"/>
            <w:tcBorders>
              <w:bottom w:val="single" w:sz="8" w:space="0" w:color="000000"/>
              <w:right w:val="single" w:sz="8" w:space="0" w:color="000000"/>
            </w:tcBorders>
            <w:tcMar>
              <w:top w:w="100" w:type="dxa"/>
              <w:left w:w="120" w:type="dxa"/>
              <w:bottom w:w="100" w:type="dxa"/>
              <w:right w:w="120" w:type="dxa"/>
            </w:tcMar>
          </w:tcPr>
          <w:p w14:paraId="22A5D2CE" w14:textId="77777777" w:rsidR="00F92D8F" w:rsidRDefault="00F92D8F" w:rsidP="00250C9A">
            <w:pPr>
              <w:ind w:left="120"/>
            </w:pPr>
            <w:r>
              <w:rPr>
                <w:rFonts w:ascii="Times New Roman" w:eastAsia="Times New Roman" w:hAnsi="Times New Roman" w:cs="Times New Roman"/>
                <w:sz w:val="18"/>
                <w:szCs w:val="18"/>
              </w:rPr>
              <w:t>18.1</w:t>
            </w:r>
          </w:p>
        </w:tc>
      </w:tr>
      <w:tr w:rsidR="00F92D8F" w14:paraId="5F151C81" w14:textId="77777777" w:rsidTr="00250C9A">
        <w:tc>
          <w:tcPr>
            <w:tcW w:w="624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3F3AB46" w14:textId="77777777" w:rsidR="00F92D8F" w:rsidRDefault="00F92D8F" w:rsidP="00250C9A">
            <w:pPr>
              <w:ind w:left="120"/>
            </w:pPr>
            <w:r>
              <w:rPr>
                <w:rFonts w:ascii="Times New Roman" w:eastAsia="Times New Roman" w:hAnsi="Times New Roman" w:cs="Times New Roman"/>
                <w:sz w:val="18"/>
                <w:szCs w:val="18"/>
              </w:rPr>
              <w:t>Young women (aged 15-24) using a condom at last sexual intercourse</w:t>
            </w:r>
          </w:p>
        </w:tc>
        <w:tc>
          <w:tcPr>
            <w:tcW w:w="1320" w:type="dxa"/>
            <w:tcBorders>
              <w:bottom w:val="single" w:sz="8" w:space="0" w:color="000000"/>
              <w:right w:val="single" w:sz="8" w:space="0" w:color="000000"/>
            </w:tcBorders>
            <w:tcMar>
              <w:top w:w="100" w:type="dxa"/>
              <w:left w:w="120" w:type="dxa"/>
              <w:bottom w:w="100" w:type="dxa"/>
              <w:right w:w="120" w:type="dxa"/>
            </w:tcMar>
          </w:tcPr>
          <w:p w14:paraId="75FE658F" w14:textId="77777777" w:rsidR="00F92D8F" w:rsidRDefault="00F92D8F" w:rsidP="00250C9A">
            <w:pPr>
              <w:ind w:left="120"/>
            </w:pPr>
            <w:r>
              <w:rPr>
                <w:rFonts w:ascii="Times New Roman" w:eastAsia="Times New Roman" w:hAnsi="Times New Roman" w:cs="Times New Roman"/>
                <w:sz w:val="18"/>
                <w:szCs w:val="18"/>
              </w:rPr>
              <w:t>24.8%</w:t>
            </w:r>
          </w:p>
        </w:tc>
        <w:tc>
          <w:tcPr>
            <w:tcW w:w="1170" w:type="dxa"/>
            <w:tcBorders>
              <w:bottom w:val="single" w:sz="8" w:space="0" w:color="000000"/>
              <w:right w:val="single" w:sz="8" w:space="0" w:color="000000"/>
            </w:tcBorders>
            <w:tcMar>
              <w:top w:w="100" w:type="dxa"/>
              <w:left w:w="120" w:type="dxa"/>
              <w:bottom w:w="100" w:type="dxa"/>
              <w:right w:w="120" w:type="dxa"/>
            </w:tcMar>
          </w:tcPr>
          <w:p w14:paraId="3B8B0394" w14:textId="77777777" w:rsidR="00F92D8F" w:rsidRDefault="00F92D8F" w:rsidP="00250C9A">
            <w:pPr>
              <w:ind w:left="120"/>
            </w:pPr>
            <w:r>
              <w:rPr>
                <w:rFonts w:ascii="Times New Roman" w:eastAsia="Times New Roman" w:hAnsi="Times New Roman" w:cs="Times New Roman"/>
                <w:sz w:val="18"/>
                <w:szCs w:val="18"/>
              </w:rPr>
              <w:t>26.8%</w:t>
            </w:r>
          </w:p>
        </w:tc>
      </w:tr>
      <w:tr w:rsidR="00F92D8F" w14:paraId="2F2B19E9" w14:textId="77777777" w:rsidTr="00250C9A">
        <w:tc>
          <w:tcPr>
            <w:tcW w:w="624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7F3759A" w14:textId="77777777" w:rsidR="00F92D8F" w:rsidRDefault="00F92D8F" w:rsidP="00250C9A">
            <w:pPr>
              <w:ind w:left="120"/>
            </w:pPr>
            <w:r>
              <w:rPr>
                <w:rFonts w:ascii="Times New Roman" w:eastAsia="Times New Roman" w:hAnsi="Times New Roman" w:cs="Times New Roman"/>
                <w:sz w:val="18"/>
                <w:szCs w:val="18"/>
              </w:rPr>
              <w:t>Young women (aged 15-24) using a condom in urban areas</w:t>
            </w:r>
          </w:p>
        </w:tc>
        <w:tc>
          <w:tcPr>
            <w:tcW w:w="1320" w:type="dxa"/>
            <w:tcBorders>
              <w:bottom w:val="single" w:sz="8" w:space="0" w:color="000000"/>
              <w:right w:val="single" w:sz="8" w:space="0" w:color="000000"/>
            </w:tcBorders>
            <w:tcMar>
              <w:top w:w="100" w:type="dxa"/>
              <w:left w:w="120" w:type="dxa"/>
              <w:bottom w:w="100" w:type="dxa"/>
              <w:right w:w="120" w:type="dxa"/>
            </w:tcMar>
          </w:tcPr>
          <w:p w14:paraId="61F36EA2" w14:textId="77777777" w:rsidR="00F92D8F" w:rsidRDefault="00F92D8F" w:rsidP="00250C9A">
            <w:pPr>
              <w:ind w:left="120"/>
            </w:pPr>
            <w:r>
              <w:rPr>
                <w:rFonts w:ascii="Times New Roman" w:eastAsia="Times New Roman" w:hAnsi="Times New Roman" w:cs="Times New Roman"/>
                <w:sz w:val="18"/>
                <w:szCs w:val="18"/>
              </w:rPr>
              <w:t>47.7%</w:t>
            </w:r>
          </w:p>
        </w:tc>
        <w:tc>
          <w:tcPr>
            <w:tcW w:w="1170" w:type="dxa"/>
            <w:tcBorders>
              <w:bottom w:val="single" w:sz="8" w:space="0" w:color="000000"/>
              <w:right w:val="single" w:sz="8" w:space="0" w:color="000000"/>
            </w:tcBorders>
            <w:tcMar>
              <w:top w:w="100" w:type="dxa"/>
              <w:left w:w="120" w:type="dxa"/>
              <w:bottom w:w="100" w:type="dxa"/>
              <w:right w:w="120" w:type="dxa"/>
            </w:tcMar>
          </w:tcPr>
          <w:p w14:paraId="52E826F3" w14:textId="77777777" w:rsidR="00F92D8F" w:rsidRDefault="00F92D8F" w:rsidP="00250C9A">
            <w:pPr>
              <w:ind w:left="120"/>
            </w:pPr>
            <w:r>
              <w:rPr>
                <w:rFonts w:ascii="Times New Roman" w:eastAsia="Times New Roman" w:hAnsi="Times New Roman" w:cs="Times New Roman"/>
                <w:sz w:val="18"/>
                <w:szCs w:val="18"/>
              </w:rPr>
              <w:t>23.4%</w:t>
            </w:r>
          </w:p>
        </w:tc>
      </w:tr>
      <w:tr w:rsidR="00F92D8F" w14:paraId="4ADFA991" w14:textId="77777777" w:rsidTr="00250C9A">
        <w:tc>
          <w:tcPr>
            <w:tcW w:w="624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38DCD1F" w14:textId="77777777" w:rsidR="00F92D8F" w:rsidRDefault="00F92D8F" w:rsidP="00250C9A">
            <w:pPr>
              <w:ind w:left="120"/>
            </w:pPr>
            <w:r>
              <w:rPr>
                <w:rFonts w:ascii="Times New Roman" w:eastAsia="Times New Roman" w:hAnsi="Times New Roman" w:cs="Times New Roman"/>
                <w:sz w:val="18"/>
                <w:szCs w:val="18"/>
              </w:rPr>
              <w:t>Young men using (15-24) using a condom</w:t>
            </w:r>
          </w:p>
        </w:tc>
        <w:tc>
          <w:tcPr>
            <w:tcW w:w="1320" w:type="dxa"/>
            <w:tcBorders>
              <w:bottom w:val="single" w:sz="8" w:space="0" w:color="000000"/>
              <w:right w:val="single" w:sz="8" w:space="0" w:color="000000"/>
            </w:tcBorders>
            <w:tcMar>
              <w:top w:w="100" w:type="dxa"/>
              <w:left w:w="120" w:type="dxa"/>
              <w:bottom w:w="100" w:type="dxa"/>
              <w:right w:w="120" w:type="dxa"/>
            </w:tcMar>
          </w:tcPr>
          <w:p w14:paraId="1202F110" w14:textId="77777777" w:rsidR="00F92D8F" w:rsidRDefault="00F92D8F" w:rsidP="00250C9A">
            <w:pPr>
              <w:ind w:left="120"/>
            </w:pPr>
            <w:r>
              <w:rPr>
                <w:rFonts w:ascii="Times New Roman" w:eastAsia="Times New Roman" w:hAnsi="Times New Roman" w:cs="Times New Roman"/>
                <w:sz w:val="18"/>
                <w:szCs w:val="18"/>
              </w:rPr>
              <w:t>37.1%</w:t>
            </w:r>
          </w:p>
        </w:tc>
        <w:tc>
          <w:tcPr>
            <w:tcW w:w="1170" w:type="dxa"/>
            <w:tcBorders>
              <w:bottom w:val="single" w:sz="8" w:space="0" w:color="000000"/>
              <w:right w:val="single" w:sz="8" w:space="0" w:color="000000"/>
            </w:tcBorders>
            <w:tcMar>
              <w:top w:w="100" w:type="dxa"/>
              <w:left w:w="120" w:type="dxa"/>
              <w:bottom w:w="100" w:type="dxa"/>
              <w:right w:w="120" w:type="dxa"/>
            </w:tcMar>
          </w:tcPr>
          <w:p w14:paraId="15E69B47" w14:textId="77777777" w:rsidR="00F92D8F" w:rsidRDefault="00F92D8F" w:rsidP="00250C9A">
            <w:pPr>
              <w:ind w:left="120"/>
            </w:pPr>
            <w:r>
              <w:rPr>
                <w:rFonts w:ascii="Times New Roman" w:eastAsia="Times New Roman" w:hAnsi="Times New Roman" w:cs="Times New Roman"/>
                <w:sz w:val="18"/>
                <w:szCs w:val="18"/>
              </w:rPr>
              <w:t>47.3%</w:t>
            </w:r>
          </w:p>
        </w:tc>
      </w:tr>
      <w:tr w:rsidR="00F92D8F" w14:paraId="4395DFC4" w14:textId="77777777" w:rsidTr="00250C9A">
        <w:tc>
          <w:tcPr>
            <w:tcW w:w="624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178F10D" w14:textId="77777777" w:rsidR="00F92D8F" w:rsidRDefault="00F92D8F" w:rsidP="00250C9A">
            <w:pPr>
              <w:ind w:left="120"/>
            </w:pPr>
            <w:r>
              <w:rPr>
                <w:rFonts w:ascii="Times New Roman" w:eastAsia="Times New Roman" w:hAnsi="Times New Roman" w:cs="Times New Roman"/>
                <w:sz w:val="18"/>
                <w:szCs w:val="18"/>
              </w:rPr>
              <w:t>Young men (aged 15-24) using a condom in urban areas</w:t>
            </w:r>
          </w:p>
        </w:tc>
        <w:tc>
          <w:tcPr>
            <w:tcW w:w="1320" w:type="dxa"/>
            <w:tcBorders>
              <w:bottom w:val="single" w:sz="8" w:space="0" w:color="000000"/>
              <w:right w:val="single" w:sz="8" w:space="0" w:color="000000"/>
            </w:tcBorders>
            <w:tcMar>
              <w:top w:w="100" w:type="dxa"/>
              <w:left w:w="120" w:type="dxa"/>
              <w:bottom w:w="100" w:type="dxa"/>
              <w:right w:w="120" w:type="dxa"/>
            </w:tcMar>
          </w:tcPr>
          <w:p w14:paraId="17C43D3E" w14:textId="77777777" w:rsidR="00F92D8F" w:rsidRDefault="00F92D8F" w:rsidP="00250C9A">
            <w:pPr>
              <w:ind w:left="120"/>
            </w:pPr>
            <w:r>
              <w:rPr>
                <w:rFonts w:ascii="Times New Roman" w:eastAsia="Times New Roman" w:hAnsi="Times New Roman" w:cs="Times New Roman"/>
                <w:sz w:val="18"/>
                <w:szCs w:val="18"/>
              </w:rPr>
              <w:t>35.7%</w:t>
            </w:r>
          </w:p>
        </w:tc>
        <w:tc>
          <w:tcPr>
            <w:tcW w:w="1170" w:type="dxa"/>
            <w:tcBorders>
              <w:bottom w:val="single" w:sz="8" w:space="0" w:color="000000"/>
              <w:right w:val="single" w:sz="8" w:space="0" w:color="000000"/>
            </w:tcBorders>
            <w:tcMar>
              <w:top w:w="100" w:type="dxa"/>
              <w:left w:w="120" w:type="dxa"/>
              <w:bottom w:w="100" w:type="dxa"/>
              <w:right w:w="120" w:type="dxa"/>
            </w:tcMar>
          </w:tcPr>
          <w:p w14:paraId="5E6E2BDF" w14:textId="77777777" w:rsidR="00F92D8F" w:rsidRDefault="00F92D8F" w:rsidP="00250C9A">
            <w:pPr>
              <w:ind w:left="120"/>
            </w:pPr>
            <w:r>
              <w:rPr>
                <w:rFonts w:ascii="Times New Roman" w:eastAsia="Times New Roman" w:hAnsi="Times New Roman" w:cs="Times New Roman"/>
                <w:sz w:val="18"/>
                <w:szCs w:val="18"/>
              </w:rPr>
              <w:t>58.7%</w:t>
            </w:r>
          </w:p>
        </w:tc>
      </w:tr>
    </w:tbl>
    <w:p w14:paraId="67B64AF3" w14:textId="77777777" w:rsidR="00F92D8F" w:rsidRDefault="00F92D8F" w:rsidP="00F92D8F">
      <w:r>
        <w:rPr>
          <w:rFonts w:ascii="Times New Roman" w:eastAsia="Times New Roman" w:hAnsi="Times New Roman" w:cs="Times New Roman"/>
          <w:sz w:val="24"/>
          <w:szCs w:val="24"/>
        </w:rPr>
        <w:lastRenderedPageBreak/>
        <w:t xml:space="preserve"> </w:t>
      </w:r>
    </w:p>
    <w:p w14:paraId="576649EE" w14:textId="6E240A30" w:rsidR="00F92D8F" w:rsidRDefault="00F92D8F" w:rsidP="00F92D8F">
      <w:r>
        <w:rPr>
          <w:rFonts w:ascii="Times New Roman" w:eastAsia="Times New Roman" w:hAnsi="Times New Roman" w:cs="Times New Roman"/>
          <w:sz w:val="24"/>
          <w:szCs w:val="24"/>
        </w:rPr>
        <w:t>Increasing women’s access to and control over resources will help meet the unmet demand for modern methods of family planning. Women’s economic empowerment is associated with contraceptive use. When women have control over their own income or equity in household decision making, they are more able to pay for the family planning and reproductive health services that they desire.  In Uganda, men both desire more children and have greater control over household resources</w:t>
      </w:r>
      <w:r w:rsidR="006E7BA0">
        <w:rPr>
          <w:rStyle w:val="FootnoteReference"/>
          <w:rFonts w:ascii="Times New Roman" w:eastAsia="Times New Roman" w:hAnsi="Times New Roman" w:cs="Times New Roman"/>
          <w:sz w:val="24"/>
          <w:szCs w:val="24"/>
        </w:rPr>
        <w:footnoteReference w:id="36"/>
      </w:r>
      <w:r>
        <w:rPr>
          <w:rFonts w:ascii="Times New Roman" w:eastAsia="Times New Roman" w:hAnsi="Times New Roman" w:cs="Times New Roman"/>
          <w:sz w:val="24"/>
          <w:szCs w:val="24"/>
        </w:rPr>
        <w:t>. The result is that many women are unable to direct household resources toward family planning either because resources are scarce, or because male partners do not agree with the decision to have smaller families. Young unmarried women who have unstable sources of income or rely upon their parents or elder family members for money are less likely to seek and obtain both money and consent for modern contraception. Focus group data shows that unofficial costs- including health workers soliciting bribes- is a financial barrier to accessing contraceptives</w:t>
      </w:r>
      <w:r>
        <w:rPr>
          <w:rFonts w:ascii="Times New Roman" w:eastAsia="Times New Roman" w:hAnsi="Times New Roman" w:cs="Times New Roman"/>
          <w:sz w:val="24"/>
          <w:szCs w:val="24"/>
          <w:vertAlign w:val="superscript"/>
        </w:rPr>
        <w:footnoteReference w:id="37"/>
      </w:r>
      <w:r>
        <w:rPr>
          <w:rFonts w:ascii="Times New Roman" w:eastAsia="Times New Roman" w:hAnsi="Times New Roman" w:cs="Times New Roman"/>
          <w:sz w:val="24"/>
          <w:szCs w:val="24"/>
        </w:rPr>
        <w:t xml:space="preserve">. Distance to health care clinics also requires greater time and transportation costs for Ugandans in accessing family planning. The additional financial burden of paying for transportation and losing productive time in either paid or unpaid labor compounds the cost of contraception.    </w:t>
      </w:r>
    </w:p>
    <w:p w14:paraId="0A2F20C2" w14:textId="24D148C3" w:rsidR="00F92D8F" w:rsidRDefault="00F92D8F" w:rsidP="00F92D8F">
      <w:r>
        <w:rPr>
          <w:rFonts w:ascii="Times New Roman" w:eastAsia="Times New Roman" w:hAnsi="Times New Roman" w:cs="Times New Roman"/>
          <w:sz w:val="24"/>
          <w:szCs w:val="24"/>
        </w:rPr>
        <w:t>Meeting the unmet need for family planning in Uganda requires greater equity in household decision-making. Most Ugandan women are not the sole decision maker about their own sexual and reproductive health. According to the Demographic and Health Survey, 23 percent of women reported being the sole decision maker about their own health care.  Nine percent of women reported their husbands being the decision makers about their health care. 37 percent reported making decisions jointly with their husband. These patterns highlight women’s limited ability to participate in decision making for important family planning and contraception use. These household power dynamics are reinforced by cultural norms. Norms about masculinity often position men as the heads of households. As the head of household, men may make unilateral decisions about themselves and their dependents contrary to the wishes of women and children.  The culture of male privilege impacts women who may desire fewer children than their husbands, but lack the agency and household power to realize their fertility desires</w:t>
      </w:r>
      <w:r w:rsidR="006E7BA0">
        <w:rPr>
          <w:rStyle w:val="FootnoteReference"/>
          <w:rFonts w:ascii="Times New Roman" w:eastAsia="Times New Roman" w:hAnsi="Times New Roman" w:cs="Times New Roman"/>
          <w:sz w:val="24"/>
          <w:szCs w:val="24"/>
        </w:rPr>
        <w:footnoteReference w:id="38"/>
      </w:r>
      <w:r>
        <w:rPr>
          <w:rFonts w:ascii="Times New Roman" w:eastAsia="Times New Roman" w:hAnsi="Times New Roman" w:cs="Times New Roman"/>
          <w:sz w:val="24"/>
          <w:szCs w:val="24"/>
        </w:rPr>
        <w:t xml:space="preserve">. Cultural norms also often dictate that women must secure a place in their partner’s household - whether monogamous or polygamous - by having children and by having male offspring. In some cases, large numbers of children are associated with positive notions of masculinity.  </w:t>
      </w:r>
    </w:p>
    <w:p w14:paraId="4D08582A" w14:textId="4BA70CFF" w:rsidR="00F92D8F" w:rsidRDefault="00F92D8F" w:rsidP="00F92D8F">
      <w:r>
        <w:rPr>
          <w:rFonts w:ascii="Times New Roman" w:eastAsia="Times New Roman" w:hAnsi="Times New Roman" w:cs="Times New Roman"/>
          <w:sz w:val="24"/>
          <w:szCs w:val="24"/>
        </w:rPr>
        <w:t xml:space="preserve">Engaging men and boys is necessary to meet the unmet need for modern contraception in Uganda.  Men often desire more children than women and inhibit their partners from seeking family planning and reproductive health care. The 2011 DHS shows that men do have knowledge about modern contraceptive methods; however, update of condoms and vasectomy is </w:t>
      </w:r>
      <w:r>
        <w:rPr>
          <w:rFonts w:ascii="Times New Roman" w:eastAsia="Times New Roman" w:hAnsi="Times New Roman" w:cs="Times New Roman"/>
          <w:sz w:val="24"/>
          <w:szCs w:val="24"/>
        </w:rPr>
        <w:lastRenderedPageBreak/>
        <w:t xml:space="preserve">limited. </w:t>
      </w:r>
      <w:r w:rsidR="00345229">
        <w:rPr>
          <w:rFonts w:ascii="Times New Roman" w:eastAsia="Times New Roman" w:hAnsi="Times New Roman" w:cs="Times New Roman"/>
          <w:sz w:val="24"/>
          <w:szCs w:val="24"/>
        </w:rPr>
        <w:t xml:space="preserve">Some men report that they feel unwelcome in family planning and reproductive health care settings. </w:t>
      </w:r>
      <w:r>
        <w:rPr>
          <w:rFonts w:ascii="Times New Roman" w:eastAsia="Times New Roman" w:hAnsi="Times New Roman" w:cs="Times New Roman"/>
          <w:sz w:val="24"/>
          <w:szCs w:val="24"/>
        </w:rPr>
        <w:t>Others lack the time to go to a health facility and receive information and contraception. Most Ugandan men believe that family planning is a women’s issue (Kabagenyi). And often contraception and family planning messages in Uganda are targeted to women. For example, prenatal care visits for pregnant women are an entry point for information about contraception and healthy timing and spacing of pregnancies. Men are often not present at pre-natal care visits and no similar entry points in male health care are targeted for family planning and reproductive health information</w:t>
      </w:r>
      <w:r w:rsidR="006E7BA0">
        <w:rPr>
          <w:rStyle w:val="FootnoteReference"/>
          <w:rFonts w:ascii="Times New Roman" w:eastAsia="Times New Roman" w:hAnsi="Times New Roman" w:cs="Times New Roman"/>
          <w:sz w:val="24"/>
          <w:szCs w:val="24"/>
        </w:rPr>
        <w:footnoteReference w:id="39"/>
      </w:r>
      <w:r>
        <w:rPr>
          <w:rFonts w:ascii="Times New Roman" w:eastAsia="Times New Roman" w:hAnsi="Times New Roman" w:cs="Times New Roman"/>
          <w:sz w:val="24"/>
          <w:szCs w:val="24"/>
        </w:rPr>
        <w:t>. Myths about contraception, including that women using contraception are more likely to have extramarital sexual relations, discourage men from supporting contraceptive uptake for female partners</w:t>
      </w:r>
      <w:r w:rsidR="00C86D9F">
        <w:rPr>
          <w:rStyle w:val="FootnoteReference"/>
          <w:rFonts w:ascii="Times New Roman" w:eastAsia="Times New Roman" w:hAnsi="Times New Roman" w:cs="Times New Roman"/>
          <w:sz w:val="24"/>
          <w:szCs w:val="24"/>
        </w:rPr>
        <w:footnoteReference w:id="40"/>
      </w:r>
      <w:r>
        <w:rPr>
          <w:rFonts w:ascii="Times New Roman" w:eastAsia="Times New Roman" w:hAnsi="Times New Roman" w:cs="Times New Roman"/>
          <w:sz w:val="24"/>
          <w:szCs w:val="24"/>
        </w:rPr>
        <w:t xml:space="preserve">.  </w:t>
      </w:r>
    </w:p>
    <w:p w14:paraId="542B2B1C" w14:textId="6CD54737" w:rsidR="00F92D8F" w:rsidRDefault="00F92D8F" w:rsidP="00F92D8F">
      <w:r>
        <w:rPr>
          <w:rFonts w:ascii="Times New Roman" w:eastAsia="Times New Roman" w:hAnsi="Times New Roman" w:cs="Times New Roman"/>
          <w:sz w:val="24"/>
          <w:szCs w:val="24"/>
        </w:rPr>
        <w:t xml:space="preserve">USAID has addressed these gaps in the past through both bilateral and centrally managed programs. The Gender Roles, Equality, and Transformation Project (GREAT) has worked to address gender inequalities since 2011 by engaging men and boys around ideas of masculinity. </w:t>
      </w:r>
      <w:r w:rsidR="00345229">
        <w:rPr>
          <w:rFonts w:ascii="Times New Roman" w:eastAsia="Times New Roman" w:hAnsi="Times New Roman" w:cs="Times New Roman"/>
          <w:sz w:val="24"/>
          <w:szCs w:val="24"/>
        </w:rPr>
        <w:t xml:space="preserve">The GREAT activity focused on Northern Uganda, where the legacy of conflict also shapes the identity of men and women. </w:t>
      </w:r>
      <w:r>
        <w:rPr>
          <w:rFonts w:ascii="Times New Roman" w:eastAsia="Times New Roman" w:hAnsi="Times New Roman" w:cs="Times New Roman"/>
          <w:sz w:val="24"/>
          <w:szCs w:val="24"/>
        </w:rPr>
        <w:t xml:space="preserve">Although the intervention is tailored for Northern Ugandan communities, the toolkits and community engagement materials may be useful for future USAID program designs and implementation.  The results of the program are encouraging to the extent that men and boys and community leaders have willingly engaged in dialogue. The results of the activity and its impact should be considered and reviewed upon its completion in 2015. </w:t>
      </w:r>
    </w:p>
    <w:p w14:paraId="1721A193" w14:textId="77777777" w:rsidR="00F92D8F" w:rsidRDefault="00F92D8F" w:rsidP="00F92D8F">
      <w:r>
        <w:rPr>
          <w:rFonts w:ascii="Times New Roman" w:eastAsia="Times New Roman" w:hAnsi="Times New Roman" w:cs="Times New Roman"/>
          <w:sz w:val="24"/>
          <w:szCs w:val="24"/>
        </w:rPr>
        <w:t xml:space="preserve">Similarly, USAID/Uganda has implemented the Long Term Family Planning Methods program during the course of the previous strategy. Data on the uptake of family planning methods and the preferences of men, women, and couples in Uganda can and should inform the future designs of integrated programming to address reproductive health and gender equity within households. </w:t>
      </w:r>
    </w:p>
    <w:p w14:paraId="00403410" w14:textId="77777777" w:rsidR="00F92D8F" w:rsidRDefault="00F92D8F" w:rsidP="00F92D8F">
      <w:r>
        <w:rPr>
          <w:rFonts w:ascii="Times New Roman" w:eastAsia="Times New Roman" w:hAnsi="Times New Roman" w:cs="Times New Roman"/>
          <w:sz w:val="24"/>
          <w:szCs w:val="24"/>
        </w:rPr>
        <w:t xml:space="preserve">Realizing the demographic dividend in Uganda requires reducing fertility and improving the health of the population. Reducing maternal mortality and gender-based violence are two explicit focus areas for improving overall health.  Beyond these focus areas, increasing access to resources, household-negotiation power, and combating harmful traditional practices and beliefs will enable better outcomes with respect to HIV/AIDS, malaria, nutrition, and water and sanitation for health. </w:t>
      </w:r>
    </w:p>
    <w:p w14:paraId="3A19EB02" w14:textId="77777777" w:rsidR="00F92D8F" w:rsidRDefault="00F92D8F" w:rsidP="00F92D8F">
      <w:r>
        <w:rPr>
          <w:rFonts w:ascii="Times New Roman" w:eastAsia="Times New Roman" w:hAnsi="Times New Roman" w:cs="Times New Roman"/>
          <w:sz w:val="24"/>
          <w:szCs w:val="24"/>
          <w:u w:val="single"/>
        </w:rPr>
        <w:t xml:space="preserve">Preventing and Combating Gender-Based Violence </w:t>
      </w:r>
    </w:p>
    <w:p w14:paraId="0F59711D" w14:textId="77777777" w:rsidR="00F92D8F" w:rsidRDefault="00F92D8F" w:rsidP="00F92D8F">
      <w:r>
        <w:rPr>
          <w:rFonts w:ascii="Times New Roman" w:eastAsia="Times New Roman" w:hAnsi="Times New Roman" w:cs="Times New Roman"/>
          <w:sz w:val="24"/>
          <w:szCs w:val="24"/>
        </w:rPr>
        <w:t xml:space="preserve">Gender-based violence in Uganda violates human rights and hinders both human and economic development. The Demographic and Health Survey from 2011 shows that 27.3 per cent of women experienced physical violence in the year prior to responding to the survey. Women under 24 years old reported more frequent incidents of violence than women of other ages. </w:t>
      </w:r>
      <w:r>
        <w:rPr>
          <w:rFonts w:ascii="Times New Roman" w:eastAsia="Times New Roman" w:hAnsi="Times New Roman" w:cs="Times New Roman"/>
          <w:sz w:val="24"/>
          <w:szCs w:val="24"/>
        </w:rPr>
        <w:lastRenderedPageBreak/>
        <w:t xml:space="preserve">Women aged 25 - 29 and 30 - 34 reported the highest percentages of sexual violence in the last 12 months. Overall, 16.6 per cent of women reported sexual violence. 59.1 per cent of women and 40.8 per cent of men believe a man is justified for beating his wife for at least one specific reason. Higher levels of education are correlated with lower belief that spousal abuse is ever justified.  </w:t>
      </w:r>
    </w:p>
    <w:p w14:paraId="75552F09" w14:textId="4B292215" w:rsidR="00F92D8F" w:rsidRDefault="00F92D8F" w:rsidP="00F92D8F">
      <w:r>
        <w:rPr>
          <w:rFonts w:ascii="Times New Roman" w:eastAsia="Times New Roman" w:hAnsi="Times New Roman" w:cs="Times New Roman"/>
          <w:sz w:val="24"/>
          <w:szCs w:val="24"/>
        </w:rPr>
        <w:t xml:space="preserve">As discussed in the analysis under Development Objective 1; </w:t>
      </w:r>
      <w:r w:rsidR="00345229">
        <w:rPr>
          <w:rFonts w:ascii="Times New Roman" w:eastAsia="Times New Roman" w:hAnsi="Times New Roman" w:cs="Times New Roman"/>
          <w:sz w:val="24"/>
          <w:szCs w:val="24"/>
        </w:rPr>
        <w:t xml:space="preserve">the </w:t>
      </w:r>
      <w:r w:rsidR="00345229">
        <w:rPr>
          <w:rFonts w:ascii="Times New Roman" w:eastAsia="Times New Roman" w:hAnsi="Times New Roman" w:cs="Times New Roman"/>
          <w:sz w:val="14"/>
          <w:szCs w:val="14"/>
        </w:rPr>
        <w:t>Domestic</w:t>
      </w:r>
      <w:r>
        <w:rPr>
          <w:rFonts w:ascii="Times New Roman" w:eastAsia="Times New Roman" w:hAnsi="Times New Roman" w:cs="Times New Roman"/>
          <w:sz w:val="24"/>
          <w:szCs w:val="24"/>
        </w:rPr>
        <w:t xml:space="preserve"> Violence Act and other laws provide a legal basis for protection; however, poor implementation continues to hinder the real impact of legislation. The Domestic Violence Act was instituted in 2010 and defines different types of violence that can occur in the private sphere but minimally covers sexual and physical violence. The law against defilement covers sexual and physical violence against children; however, the legal framework for protection of adult women against sexual violence could be strengthened to define and outlaw marital rape. Marital rape is a form of violence that is complicated by traditional norms and practices that cast women as property of men</w:t>
      </w:r>
      <w:r w:rsidR="007E3952">
        <w:rPr>
          <w:rStyle w:val="FootnoteReference"/>
          <w:rFonts w:ascii="Times New Roman" w:eastAsia="Times New Roman" w:hAnsi="Times New Roman" w:cs="Times New Roman"/>
          <w:sz w:val="24"/>
          <w:szCs w:val="24"/>
        </w:rPr>
        <w:footnoteReference w:id="41"/>
      </w:r>
      <w:r>
        <w:rPr>
          <w:rFonts w:ascii="Times New Roman" w:eastAsia="Times New Roman" w:hAnsi="Times New Roman" w:cs="Times New Roman"/>
          <w:sz w:val="24"/>
          <w:szCs w:val="24"/>
        </w:rPr>
        <w:t xml:space="preserve">. </w:t>
      </w:r>
    </w:p>
    <w:p w14:paraId="5FFA73BD" w14:textId="77777777" w:rsidR="00F92D8F" w:rsidRDefault="00F92D8F" w:rsidP="00F92D8F">
      <w:r>
        <w:rPr>
          <w:rFonts w:ascii="Times New Roman" w:eastAsia="Times New Roman" w:hAnsi="Times New Roman" w:cs="Times New Roman"/>
          <w:i/>
          <w:sz w:val="24"/>
          <w:szCs w:val="24"/>
        </w:rPr>
        <w:t xml:space="preserve">Early Marriage </w:t>
      </w:r>
    </w:p>
    <w:p w14:paraId="26370316" w14:textId="6141AAC1" w:rsidR="00F92D8F" w:rsidRDefault="00F92D8F" w:rsidP="00F92D8F">
      <w:r>
        <w:rPr>
          <w:rFonts w:ascii="Times New Roman" w:eastAsia="Times New Roman" w:hAnsi="Times New Roman" w:cs="Times New Roman"/>
          <w:sz w:val="24"/>
          <w:szCs w:val="24"/>
        </w:rPr>
        <w:t>Early marriage is an acute form of violence against girls. In Uganda, early marriage is a common reason that girls’ education is either interrupted or discontinued. According to the Demograp</w:t>
      </w:r>
      <w:r w:rsidR="0094672E">
        <w:rPr>
          <w:rFonts w:ascii="Times New Roman" w:eastAsia="Times New Roman" w:hAnsi="Times New Roman" w:cs="Times New Roman"/>
          <w:sz w:val="24"/>
          <w:szCs w:val="24"/>
        </w:rPr>
        <w:t>h</w:t>
      </w:r>
      <w:r>
        <w:rPr>
          <w:rFonts w:ascii="Times New Roman" w:eastAsia="Times New Roman" w:hAnsi="Times New Roman" w:cs="Times New Roman"/>
          <w:sz w:val="24"/>
          <w:szCs w:val="24"/>
        </w:rPr>
        <w:t>ic and Health Survey, of women now aged 20 to 49 years, 16.9 per cent of were married by 15 and 52.5 per cent were married by 18. In comparison, only 1.4 per cent of men were married before the age of 15 and 9.2 per cent were married by 18. Although 18 is the minimum age for marriage according to the Ugandan constitution, customary laws and practices contradict legal statute. The 1973 Customary Marriage Act sets the age of 16 years for girls and 18 years for men as minimums provided that the father, mother, or guardian consents. Cultural practices of bride price contribute to the notion that a bride is the property of a groom. Men generally pay bride price, or mask it as a gift, to a bride and her family, lending the impression of a financial transaction</w:t>
      </w:r>
      <w:r w:rsidR="007E3952">
        <w:rPr>
          <w:rStyle w:val="FootnoteReference"/>
          <w:rFonts w:ascii="Times New Roman" w:eastAsia="Times New Roman" w:hAnsi="Times New Roman" w:cs="Times New Roman"/>
          <w:sz w:val="24"/>
          <w:szCs w:val="24"/>
        </w:rPr>
        <w:footnoteReference w:id="42"/>
      </w:r>
      <w:r>
        <w:rPr>
          <w:rFonts w:ascii="Times New Roman" w:eastAsia="Times New Roman" w:hAnsi="Times New Roman" w:cs="Times New Roman"/>
          <w:sz w:val="24"/>
          <w:szCs w:val="24"/>
        </w:rPr>
        <w:t>. Though the court ruling described earlier in this document points to increasing judicial intolerance for the practice – the Ugandan legislature and judiciary have not outlawed the practice. The results of early marriage and the associated patriarchal norms affect nearly each area of focus in the USAID/Uganda country strategy. Child well-being, of course, is compromised by early marriage. Early childbearing also results in higher rates of maternal and child death</w:t>
      </w:r>
      <w:r w:rsidR="00D710A0">
        <w:rPr>
          <w:rStyle w:val="FootnoteReference"/>
          <w:rFonts w:ascii="Times New Roman" w:eastAsia="Times New Roman" w:hAnsi="Times New Roman" w:cs="Times New Roman"/>
          <w:sz w:val="24"/>
          <w:szCs w:val="24"/>
        </w:rPr>
        <w:footnoteReference w:id="43"/>
      </w:r>
      <w:r>
        <w:rPr>
          <w:rFonts w:ascii="Times New Roman" w:eastAsia="Times New Roman" w:hAnsi="Times New Roman" w:cs="Times New Roman"/>
          <w:sz w:val="24"/>
          <w:szCs w:val="24"/>
        </w:rPr>
        <w:t>. This form of violence may also contribute to the higher rates of HIV among adolescent girls as they are more likely than boys in the same age group to be exposed to the virus through marriage or abuse by older men</w:t>
      </w:r>
      <w:r w:rsidR="00D710A0">
        <w:rPr>
          <w:rStyle w:val="FootnoteReference"/>
          <w:rFonts w:ascii="Times New Roman" w:eastAsia="Times New Roman" w:hAnsi="Times New Roman" w:cs="Times New Roman"/>
          <w:sz w:val="24"/>
          <w:szCs w:val="24"/>
        </w:rPr>
        <w:footnoteReference w:id="44"/>
      </w:r>
      <w:r>
        <w:rPr>
          <w:rFonts w:ascii="Times New Roman" w:eastAsia="Times New Roman" w:hAnsi="Times New Roman" w:cs="Times New Roman"/>
          <w:sz w:val="24"/>
          <w:szCs w:val="24"/>
        </w:rPr>
        <w:t xml:space="preserve">. </w:t>
      </w:r>
    </w:p>
    <w:p w14:paraId="277E2C46" w14:textId="77777777" w:rsidR="00F92D8F" w:rsidRDefault="00F92D8F" w:rsidP="00F92D8F">
      <w:r>
        <w:rPr>
          <w:rFonts w:ascii="Times New Roman" w:eastAsia="Times New Roman" w:hAnsi="Times New Roman" w:cs="Times New Roman"/>
          <w:sz w:val="24"/>
          <w:szCs w:val="24"/>
        </w:rPr>
        <w:t xml:space="preserve">USAID/Uganda can and should draw from the USAID Vision for Action for Ending Child Marriage and Meeting the Needs of Married Children. The Vision for Action reinforces the </w:t>
      </w:r>
      <w:r>
        <w:rPr>
          <w:rFonts w:ascii="Times New Roman" w:eastAsia="Times New Roman" w:hAnsi="Times New Roman" w:cs="Times New Roman"/>
          <w:sz w:val="24"/>
          <w:szCs w:val="24"/>
        </w:rPr>
        <w:lastRenderedPageBreak/>
        <w:t xml:space="preserve">lessons learned by the GREAT program. Addressing early marriage requires community engagement and especially engagement of men and boys, fathers and brothers, to examine notions of masculinity and promote gender equity. Within the USAID/Uganda Development Objective 2 programming can reinforce a healthier population and support realization of the demographic dividend.  Similarly, Development Objective 1 can support these efforts by encouraging legislative reform to protect children against marriage and to reconcile the conflicts between the Ugandan Constitution and Customary Law. </w:t>
      </w:r>
    </w:p>
    <w:p w14:paraId="2E7545A2" w14:textId="77777777" w:rsidR="00F92D8F" w:rsidRDefault="00F92D8F" w:rsidP="00F92D8F">
      <w:r>
        <w:rPr>
          <w:rFonts w:ascii="Times New Roman" w:eastAsia="Times New Roman" w:hAnsi="Times New Roman" w:cs="Times New Roman"/>
          <w:i/>
          <w:sz w:val="24"/>
          <w:szCs w:val="24"/>
        </w:rPr>
        <w:t>Female Genital Mutilation</w:t>
      </w:r>
      <w:r>
        <w:rPr>
          <w:noProof/>
        </w:rPr>
        <w:drawing>
          <wp:anchor distT="114300" distB="114300" distL="114300" distR="114300" simplePos="0" relativeHeight="251659264" behindDoc="0" locked="0" layoutInCell="0" hidden="0" allowOverlap="0" wp14:anchorId="2950917C" wp14:editId="12EA1333">
            <wp:simplePos x="0" y="0"/>
            <wp:positionH relativeFrom="margin">
              <wp:posOffset>-114299</wp:posOffset>
            </wp:positionH>
            <wp:positionV relativeFrom="paragraph">
              <wp:posOffset>190500</wp:posOffset>
            </wp:positionV>
            <wp:extent cx="2176463" cy="2960358"/>
            <wp:effectExtent l="0" t="0" r="0" b="0"/>
            <wp:wrapSquare wrapText="bothSides" distT="114300" distB="114300" distL="114300" distR="114300"/>
            <wp:docPr id="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2"/>
                    <a:srcRect/>
                    <a:stretch>
                      <a:fillRect/>
                    </a:stretch>
                  </pic:blipFill>
                  <pic:spPr>
                    <a:xfrm>
                      <a:off x="0" y="0"/>
                      <a:ext cx="2176463" cy="2960358"/>
                    </a:xfrm>
                    <a:prstGeom prst="rect">
                      <a:avLst/>
                    </a:prstGeom>
                    <a:ln/>
                  </pic:spPr>
                </pic:pic>
              </a:graphicData>
            </a:graphic>
          </wp:anchor>
        </w:drawing>
      </w:r>
    </w:p>
    <w:p w14:paraId="63FD2746" w14:textId="77777777" w:rsidR="00F92D8F" w:rsidRDefault="00F92D8F" w:rsidP="00F92D8F">
      <w:r>
        <w:rPr>
          <w:rFonts w:ascii="Times New Roman" w:eastAsia="Times New Roman" w:hAnsi="Times New Roman" w:cs="Times New Roman"/>
          <w:sz w:val="24"/>
          <w:szCs w:val="24"/>
        </w:rPr>
        <w:t>Female Genital Mutilation (FGM) is also a form of violence against women and girls that demonstrates and reinforces gender inequities. FGM prevalence in Uganda is lower than in other African countries, although it has increased overall between 2006 when prevalence was 0.6 per cent among women nationwide and 2011 when prevalence rose to 1.5 per cent</w:t>
      </w:r>
      <w:r>
        <w:rPr>
          <w:rFonts w:ascii="Times New Roman" w:eastAsia="Times New Roman" w:hAnsi="Times New Roman" w:cs="Times New Roman"/>
          <w:sz w:val="24"/>
          <w:szCs w:val="24"/>
          <w:vertAlign w:val="superscript"/>
        </w:rPr>
        <w:footnoteReference w:id="45"/>
      </w:r>
      <w:r>
        <w:rPr>
          <w:rFonts w:ascii="Times New Roman" w:eastAsia="Times New Roman" w:hAnsi="Times New Roman" w:cs="Times New Roman"/>
          <w:sz w:val="24"/>
          <w:szCs w:val="24"/>
        </w:rPr>
        <w:t>. The nationwide figures obscure the fact that FGM is concentrated among communities of the most vulnerable to extreme poverty in Northern Uganda. In the Karamoja region, FGM is prevalent among approximately 90 per cent of women and girls in some communities</w:t>
      </w:r>
      <w:r>
        <w:rPr>
          <w:rFonts w:ascii="Times New Roman" w:eastAsia="Times New Roman" w:hAnsi="Times New Roman" w:cs="Times New Roman"/>
          <w:sz w:val="24"/>
          <w:szCs w:val="24"/>
          <w:vertAlign w:val="superscript"/>
        </w:rPr>
        <w:footnoteReference w:id="46"/>
      </w:r>
      <w:r>
        <w:rPr>
          <w:rFonts w:ascii="Times New Roman" w:eastAsia="Times New Roman" w:hAnsi="Times New Roman" w:cs="Times New Roman"/>
          <w:sz w:val="24"/>
          <w:szCs w:val="24"/>
        </w:rPr>
        <w:t>.  The same areas are home to illiteracy and alarming levels of maternal and child death. Although Ugandan law prohibits FGM, arrests and prosecutions under the law are hindered by the fact that FGM excision is frequently performed in Kenya outside of Ugandan jurisdiction. High turnover of officers and cultural barriers prevent police from seeking criminals and investigating these crimes. Health workers are also loath to report FGM and have sometimes solicited bribes from families in exchange for non-reporting</w:t>
      </w:r>
      <w:r>
        <w:rPr>
          <w:rFonts w:ascii="Times New Roman" w:eastAsia="Times New Roman" w:hAnsi="Times New Roman" w:cs="Times New Roman"/>
          <w:sz w:val="24"/>
          <w:szCs w:val="24"/>
          <w:vertAlign w:val="superscript"/>
        </w:rPr>
        <w:footnoteReference w:id="47"/>
      </w:r>
      <w:r>
        <w:rPr>
          <w:rFonts w:ascii="Times New Roman" w:eastAsia="Times New Roman" w:hAnsi="Times New Roman" w:cs="Times New Roman"/>
          <w:sz w:val="24"/>
          <w:szCs w:val="24"/>
        </w:rPr>
        <w:t xml:space="preserve">. </w:t>
      </w:r>
    </w:p>
    <w:p w14:paraId="01D896F4" w14:textId="77777777" w:rsidR="00F92D8F" w:rsidRDefault="00F92D8F" w:rsidP="00F92D8F">
      <w:r>
        <w:rPr>
          <w:rFonts w:ascii="Times New Roman" w:eastAsia="Times New Roman" w:hAnsi="Times New Roman" w:cs="Times New Roman"/>
          <w:sz w:val="24"/>
          <w:szCs w:val="24"/>
        </w:rPr>
        <w:t xml:space="preserve">The Karamoja region was a focus area of the Special Objective under the previous USAID/Uganda strategy. Given the extreme poverty and frequent humanitarian crises in the region, USAID/Uganda will continue to focus work in Karamoja. Increasing gender equality and promoting women’s empowerment in Karamoja can and should address the practice of FGM pursuant to the 2012 U.S. Strategy to Prevent and Respond to Gender-Based Violence Globally. Possible entry points include health programs that engage health practitioners, community-level interventions with both men and women, as well as education programs. </w:t>
      </w:r>
    </w:p>
    <w:p w14:paraId="6D23BF0B" w14:textId="77777777" w:rsidR="00F92D8F" w:rsidRDefault="00F92D8F" w:rsidP="00F92D8F">
      <w:r>
        <w:rPr>
          <w:rFonts w:ascii="Times New Roman" w:eastAsia="Times New Roman" w:hAnsi="Times New Roman" w:cs="Times New Roman"/>
          <w:i/>
          <w:sz w:val="24"/>
          <w:szCs w:val="24"/>
        </w:rPr>
        <w:t>Violence in Schools</w:t>
      </w:r>
    </w:p>
    <w:p w14:paraId="0F64EFE1" w14:textId="2D158EBE" w:rsidR="00F92D8F" w:rsidRDefault="00F92D8F" w:rsidP="00F92D8F">
      <w:r>
        <w:rPr>
          <w:rFonts w:ascii="Times New Roman" w:eastAsia="Times New Roman" w:hAnsi="Times New Roman" w:cs="Times New Roman"/>
          <w:sz w:val="24"/>
          <w:szCs w:val="24"/>
        </w:rPr>
        <w:lastRenderedPageBreak/>
        <w:t>School-based child violence is alarmingly high in Uganda. Physical abuse and corporal punishment is common with 74.3 per cent of children reporting experiences with this type of abuse. Sexual abuse is even more common with 77 per cent of children in Ugandan schools reporting experiences of sexual violence in schools</w:t>
      </w:r>
      <w:r>
        <w:rPr>
          <w:rFonts w:ascii="Times New Roman" w:eastAsia="Times New Roman" w:hAnsi="Times New Roman" w:cs="Times New Roman"/>
          <w:sz w:val="24"/>
          <w:szCs w:val="24"/>
          <w:vertAlign w:val="superscript"/>
        </w:rPr>
        <w:footnoteReference w:id="48"/>
      </w:r>
      <w:r>
        <w:rPr>
          <w:rFonts w:ascii="Times New Roman" w:eastAsia="Times New Roman" w:hAnsi="Times New Roman" w:cs="Times New Roman"/>
          <w:sz w:val="24"/>
          <w:szCs w:val="24"/>
        </w:rPr>
        <w:t>. Children identified teachers as the major perpetrators of these abuses. While girls in school are likely to experience sexual violence, girls out of school are 53 per cent more likely to be married. Girls who have never attended school are 50 per cent more likely to be sexually active than girls who have had some schooling</w:t>
      </w:r>
      <w:r w:rsidR="00E769EA">
        <w:rPr>
          <w:rStyle w:val="FootnoteReference"/>
          <w:rFonts w:ascii="Times New Roman" w:eastAsia="Times New Roman" w:hAnsi="Times New Roman" w:cs="Times New Roman"/>
          <w:sz w:val="24"/>
          <w:szCs w:val="24"/>
        </w:rPr>
        <w:footnoteReference w:id="49"/>
      </w:r>
      <w:r>
        <w:rPr>
          <w:rFonts w:ascii="Times New Roman" w:eastAsia="Times New Roman" w:hAnsi="Times New Roman" w:cs="Times New Roman"/>
          <w:sz w:val="24"/>
          <w:szCs w:val="24"/>
        </w:rPr>
        <w:t xml:space="preserve">. </w:t>
      </w:r>
    </w:p>
    <w:p w14:paraId="2E533DEA" w14:textId="77777777" w:rsidR="00F92D8F" w:rsidRDefault="00F92D8F" w:rsidP="00F92D8F">
      <w:r>
        <w:rPr>
          <w:rFonts w:ascii="Times New Roman" w:eastAsia="Times New Roman" w:hAnsi="Times New Roman" w:cs="Times New Roman"/>
          <w:sz w:val="24"/>
          <w:szCs w:val="24"/>
        </w:rPr>
        <w:t xml:space="preserve">USAID/Uganda has already laid the foundation of addressing the rights of the child throughout implementation of the next country strategy. USAID/Uganda has committed to supporting the rights of the child, including making schools safe and free from violence, through the Ugandan Child Forum, convened in 2015.  The forum marks the beginning of a long-term multilateral partnership aimed at reducing school violence, increasing child survival rates, and targeting age-appropriate developmental milestones for all children. </w:t>
      </w:r>
    </w:p>
    <w:p w14:paraId="4A7B162B" w14:textId="77777777" w:rsidR="00F92D8F" w:rsidRDefault="00F92D8F" w:rsidP="00F92D8F">
      <w:r>
        <w:rPr>
          <w:rFonts w:ascii="Times New Roman" w:eastAsia="Times New Roman" w:hAnsi="Times New Roman" w:cs="Times New Roman"/>
          <w:sz w:val="24"/>
          <w:szCs w:val="24"/>
        </w:rPr>
        <w:t>Future program and activity designs in health and education are well positioned to target school-based gender violence. Ongoing USAID/Uganda activities are collecting a knowledge and evidence-base from which future program should draw. The Literacy Achievement and Retention Activity (LARA), promotes a safe primary learning environment that includes improved classroom and school management and reduces incidents of school-related gender-based violence. The project hypothesis predicts that a reduction in SRGBV will increase learners’ retention as they will be able to focus on their lessons and feel secure in their environment, thereby improving their ability to learn to read. Future designs should consider the lessons learned and evidence generated by this program to reduce school-based violence.</w:t>
      </w:r>
    </w:p>
    <w:p w14:paraId="6F0E597E" w14:textId="77777777" w:rsidR="00F92D8F" w:rsidRDefault="00F92D8F" w:rsidP="00F92D8F">
      <w:r>
        <w:rPr>
          <w:rFonts w:ascii="Times New Roman" w:eastAsia="Times New Roman" w:hAnsi="Times New Roman" w:cs="Times New Roman"/>
          <w:i/>
          <w:sz w:val="24"/>
          <w:szCs w:val="24"/>
        </w:rPr>
        <w:t>Intimate Partner Violence in Post-Conflict Uganda</w:t>
      </w:r>
    </w:p>
    <w:p w14:paraId="148C29DE" w14:textId="46336571" w:rsidR="00F92D8F" w:rsidRDefault="00F92D8F" w:rsidP="00F92D8F">
      <w:r>
        <w:rPr>
          <w:rFonts w:ascii="Times New Roman" w:eastAsia="Times New Roman" w:hAnsi="Times New Roman" w:cs="Times New Roman"/>
          <w:sz w:val="24"/>
          <w:szCs w:val="24"/>
        </w:rPr>
        <w:t>Intimate partner violence is particularly acute in Northern Uganda. The legacy of conflict with the Lord’s Resistance Army (LRA) and cross-border conflicts among pastoralist communities on the Kenyan and South Sudanese borders have shaped the experiences of men and women and left a legacy of trauma that is tied to higher levels of intimate partner violence. Women and girls conscripted into the LRA as soldiers and wives of soldiers experience lifelong trauma. Similarly, men and boys involved in the conflict return to their families and communities with trauma and experiences of violence that carry over into domestic interaction</w:t>
      </w:r>
      <w:r>
        <w:rPr>
          <w:rFonts w:ascii="Times New Roman" w:eastAsia="Times New Roman" w:hAnsi="Times New Roman" w:cs="Times New Roman"/>
          <w:sz w:val="24"/>
          <w:szCs w:val="24"/>
          <w:vertAlign w:val="superscript"/>
        </w:rPr>
        <w:footnoteReference w:id="50"/>
      </w:r>
      <w:r>
        <w:rPr>
          <w:rFonts w:ascii="Times New Roman" w:eastAsia="Times New Roman" w:hAnsi="Times New Roman" w:cs="Times New Roman"/>
          <w:sz w:val="24"/>
          <w:szCs w:val="24"/>
        </w:rPr>
        <w:t>. The public health system in Uganda has weak mental health infrastructure</w:t>
      </w:r>
      <w:r w:rsidR="00E769EA">
        <w:rPr>
          <w:rStyle w:val="FootnoteReference"/>
          <w:rFonts w:ascii="Times New Roman" w:eastAsia="Times New Roman" w:hAnsi="Times New Roman" w:cs="Times New Roman"/>
          <w:sz w:val="24"/>
          <w:szCs w:val="24"/>
        </w:rPr>
        <w:footnoteReference w:id="51"/>
      </w:r>
      <w:r>
        <w:rPr>
          <w:rFonts w:ascii="Times New Roman" w:eastAsia="Times New Roman" w:hAnsi="Times New Roman" w:cs="Times New Roman"/>
          <w:sz w:val="24"/>
          <w:szCs w:val="24"/>
        </w:rPr>
        <w:t xml:space="preserve">. The intimate partner violence that remains as a legacy of conflict requires targeted interventions. </w:t>
      </w:r>
    </w:p>
    <w:p w14:paraId="602EDD1F" w14:textId="77777777" w:rsidR="00F92D8F" w:rsidRDefault="00F92D8F" w:rsidP="00F92D8F"/>
    <w:p w14:paraId="00E5E64D" w14:textId="77777777" w:rsidR="00F92D8F" w:rsidRDefault="00F92D8F" w:rsidP="00F92D8F">
      <w:r>
        <w:rPr>
          <w:rFonts w:ascii="Times New Roman" w:eastAsia="Times New Roman" w:hAnsi="Times New Roman" w:cs="Times New Roman"/>
          <w:sz w:val="24"/>
          <w:szCs w:val="24"/>
        </w:rPr>
        <w:lastRenderedPageBreak/>
        <w:t xml:space="preserve">USAID has implemented the Responsible, Engaged, and Loving (REAL) Fathers program in Northern Uganda since 2013. The activity engages mainly young fathers to build positive parenting and communications skills in order to mitigate the effects of conflict and reduce intimate partner violence and violence against children. REAL Fathers uses mentoring and community awareness to reach young men and promote gender equality and nonviolence. This program will conclude at the beginning of the implementation period of the next USAID/Uganda strategy. Integrated health and education sector programming in Northern Uganda should examine the findings of the REAL Fathers program and evaluations and identify future entry points for continuing to engage men and boys. These lessons learned will support greater gender equality, healthier communities, and improve Uganda’s ability to realize the demographic dividend. </w:t>
      </w:r>
    </w:p>
    <w:p w14:paraId="0EC0CB01" w14:textId="77777777" w:rsidR="00F92D8F" w:rsidRDefault="00F92D8F" w:rsidP="00F92D8F">
      <w:r>
        <w:rPr>
          <w:rFonts w:ascii="Times New Roman" w:eastAsia="Times New Roman" w:hAnsi="Times New Roman" w:cs="Times New Roman"/>
          <w:i/>
          <w:sz w:val="24"/>
          <w:szCs w:val="24"/>
        </w:rPr>
        <w:t>Violence against Sexual Minorities</w:t>
      </w:r>
    </w:p>
    <w:p w14:paraId="15388D3B" w14:textId="0E67CB31" w:rsidR="00F92D8F" w:rsidRDefault="00F92D8F" w:rsidP="00F92D8F">
      <w:r>
        <w:rPr>
          <w:rFonts w:ascii="Times New Roman" w:eastAsia="Times New Roman" w:hAnsi="Times New Roman" w:cs="Times New Roman"/>
          <w:sz w:val="24"/>
          <w:szCs w:val="24"/>
        </w:rPr>
        <w:t>Gender-based violence extends to Ugandans who identify as lesbian, gay, bisexual and transgender. Government data about violence against LGBT people is unavailable; however, civil society groups including Sexua</w:t>
      </w:r>
      <w:r w:rsidR="007E3732">
        <w:rPr>
          <w:rFonts w:ascii="Times New Roman" w:eastAsia="Times New Roman" w:hAnsi="Times New Roman" w:cs="Times New Roman"/>
          <w:sz w:val="24"/>
          <w:szCs w:val="24"/>
        </w:rPr>
        <w:t>l Minorities Uganda (SMUG)</w:t>
      </w:r>
      <w:r>
        <w:rPr>
          <w:rFonts w:ascii="Times New Roman" w:eastAsia="Times New Roman" w:hAnsi="Times New Roman" w:cs="Times New Roman"/>
          <w:sz w:val="24"/>
          <w:szCs w:val="24"/>
        </w:rPr>
        <w:t xml:space="preserve"> have documented the lived experiences of LGBT people in Uganda. </w:t>
      </w:r>
      <w:r w:rsidR="00345229">
        <w:rPr>
          <w:rFonts w:ascii="Times New Roman" w:eastAsia="Times New Roman" w:hAnsi="Times New Roman" w:cs="Times New Roman"/>
          <w:sz w:val="24"/>
          <w:szCs w:val="24"/>
        </w:rPr>
        <w:t xml:space="preserve">SMUG reports that LGBT people are being subject to intimidation, discrimination, psychological abuse, and murder. </w:t>
      </w:r>
      <w:r>
        <w:rPr>
          <w:rFonts w:ascii="Times New Roman" w:eastAsia="Times New Roman" w:hAnsi="Times New Roman" w:cs="Times New Roman"/>
          <w:sz w:val="24"/>
          <w:szCs w:val="24"/>
        </w:rPr>
        <w:t>The founder of SMUG, David Kato, was murdered in 2011, allegedly for his prominent role as a human rights advocate. Homophobia is widespread in Uganda and rooted in rigid notions of the gender binary. The Ugandan Anti-homosexuality Act was passed in 2014. The Act was u</w:t>
      </w:r>
      <w:r w:rsidR="00B11A43">
        <w:rPr>
          <w:rFonts w:ascii="Times New Roman" w:eastAsia="Times New Roman" w:hAnsi="Times New Roman" w:cs="Times New Roman"/>
          <w:sz w:val="24"/>
          <w:szCs w:val="24"/>
        </w:rPr>
        <w:t>ltimately defeated; however, it</w:t>
      </w:r>
      <w:r>
        <w:rPr>
          <w:rFonts w:ascii="Times New Roman" w:eastAsia="Times New Roman" w:hAnsi="Times New Roman" w:cs="Times New Roman"/>
          <w:sz w:val="24"/>
          <w:szCs w:val="24"/>
        </w:rPr>
        <w:t xml:space="preserve">s passage was not the beginning of homophobia in Uganda. The demise of the Bill did not mark the end of homophobia. </w:t>
      </w:r>
    </w:p>
    <w:p w14:paraId="358EC153" w14:textId="77777777" w:rsidR="00F92D8F" w:rsidRDefault="00F92D8F" w:rsidP="00F92D8F">
      <w:r>
        <w:rPr>
          <w:rFonts w:ascii="Times New Roman" w:eastAsia="Times New Roman" w:hAnsi="Times New Roman" w:cs="Times New Roman"/>
          <w:sz w:val="24"/>
          <w:szCs w:val="24"/>
        </w:rPr>
        <w:t xml:space="preserve">While violence against LGBT people affects fewer numbers of Ugandans than violence against cis-gender women; it should neither be understood as separate or unimportant. The rigid binary interpretation of sex and gender limits how men and women behave and identify. LGBT people challenge binary notions of sex and gender. Supporting the LGBT movement and creating a discursive space for non-binary gender identity within Uganda is also a foundation for helping cis-gender men and women escape the restrictive binary norms that all Uganda’s citizens from realizing their rights and human potential. </w:t>
      </w:r>
    </w:p>
    <w:p w14:paraId="409B67C7" w14:textId="77777777" w:rsidR="00F92D8F" w:rsidRDefault="00F92D8F" w:rsidP="00F92D8F">
      <w:r>
        <w:rPr>
          <w:rFonts w:ascii="Times New Roman" w:eastAsia="Times New Roman" w:hAnsi="Times New Roman" w:cs="Times New Roman"/>
          <w:sz w:val="24"/>
          <w:szCs w:val="24"/>
        </w:rPr>
        <w:t xml:space="preserve">The United States Government has committed to supporting the rights of LGBT people around the world. The USAID LGBT Vision for Action provides an informative base for considering how to support gender equality in Uganda. USAID/Uganda can and should draw from this vision document as well as experience from Democracy, Rights, and Governance activities already implemented in Uganda. The ongoing Rights and Rule of Law Program has engaged members of the Ugandan Judiciary on issues of human rights, including women’s rights and the rights of sexual minorities. Similarly, HIV/AIDS programs have targeted health workers. To encourage LGBT rights and challenge discriminatory social norms, USAID can and should continue to </w:t>
      </w:r>
      <w:r>
        <w:rPr>
          <w:rFonts w:ascii="Times New Roman" w:eastAsia="Times New Roman" w:hAnsi="Times New Roman" w:cs="Times New Roman"/>
          <w:sz w:val="24"/>
          <w:szCs w:val="24"/>
        </w:rPr>
        <w:lastRenderedPageBreak/>
        <w:t xml:space="preserve">engage public sector officials, including judicial and health sector workers, on issues of human rights and equality.  </w:t>
      </w:r>
    </w:p>
    <w:p w14:paraId="24E91E8D" w14:textId="52AC1CF4" w:rsidR="00F92D8F" w:rsidRDefault="00F92D8F" w:rsidP="00F92D8F">
      <w:r>
        <w:rPr>
          <w:rFonts w:ascii="Times New Roman" w:eastAsia="Times New Roman" w:hAnsi="Times New Roman" w:cs="Times New Roman"/>
          <w:sz w:val="24"/>
          <w:szCs w:val="24"/>
        </w:rPr>
        <w:t xml:space="preserve">Early marriage, female genital mutilation, school-based violence, intimate partner violence, and violence against LGBT people are critical for improving the health and </w:t>
      </w:r>
      <w:r w:rsidR="00345229">
        <w:rPr>
          <w:rFonts w:ascii="Times New Roman" w:eastAsia="Times New Roman" w:hAnsi="Times New Roman" w:cs="Times New Roman"/>
          <w:sz w:val="24"/>
          <w:szCs w:val="24"/>
        </w:rPr>
        <w:t>well-being</w:t>
      </w:r>
      <w:r>
        <w:rPr>
          <w:rFonts w:ascii="Times New Roman" w:eastAsia="Times New Roman" w:hAnsi="Times New Roman" w:cs="Times New Roman"/>
          <w:sz w:val="24"/>
          <w:szCs w:val="24"/>
        </w:rPr>
        <w:t xml:space="preserve"> of all Ugandans. Other forms of gender-based violence merit mention here, although they are primarily discussed in other sections of this document. Violence against women political candidates has been documented in the run-up to the 2016 national elections. Female members of the opposition parties have reported harassment and intimidation deterring their </w:t>
      </w:r>
      <w:r w:rsidR="006873D4">
        <w:rPr>
          <w:rFonts w:ascii="Times New Roman" w:eastAsia="Times New Roman" w:hAnsi="Times New Roman" w:cs="Times New Roman"/>
          <w:sz w:val="24"/>
          <w:szCs w:val="24"/>
        </w:rPr>
        <w:t>participation</w:t>
      </w:r>
      <w:r w:rsidR="00EA29CC">
        <w:rPr>
          <w:rStyle w:val="FootnoteReference"/>
          <w:rFonts w:ascii="Times New Roman" w:eastAsia="Times New Roman" w:hAnsi="Times New Roman" w:cs="Times New Roman"/>
          <w:sz w:val="24"/>
          <w:szCs w:val="24"/>
        </w:rPr>
        <w:footnoteReference w:id="52"/>
      </w:r>
      <w:r>
        <w:rPr>
          <w:rFonts w:ascii="Times New Roman" w:eastAsia="Times New Roman" w:hAnsi="Times New Roman" w:cs="Times New Roman"/>
          <w:sz w:val="24"/>
          <w:szCs w:val="24"/>
        </w:rPr>
        <w:t xml:space="preserve">. This form of violence constitutes a barrier to women’s political participation; however, it should be considered as a manifestation of gender-violence </w:t>
      </w:r>
      <w:r>
        <w:rPr>
          <w:rFonts w:ascii="Times New Roman" w:eastAsia="Times New Roman" w:hAnsi="Times New Roman" w:cs="Times New Roman"/>
          <w:i/>
          <w:sz w:val="24"/>
          <w:szCs w:val="24"/>
        </w:rPr>
        <w:t>writ large</w:t>
      </w:r>
      <w:r>
        <w:rPr>
          <w:rFonts w:ascii="Times New Roman" w:eastAsia="Times New Roman" w:hAnsi="Times New Roman" w:cs="Times New Roman"/>
          <w:sz w:val="24"/>
          <w:szCs w:val="24"/>
        </w:rPr>
        <w:t xml:space="preserve"> and considered in this analysis of the most pervasive forms of gender-violence in Uganda. Similarly, the practice of land-grabbing from Ugandan widows is a form of gender-violence. Women’s land and property rights are discussed elsewhere in this document; however, it also merits mention here as a form of GBV. </w:t>
      </w:r>
    </w:p>
    <w:p w14:paraId="1E45D839" w14:textId="77777777" w:rsidR="00F92D8F" w:rsidRDefault="00F92D8F" w:rsidP="00F92D8F">
      <w:r>
        <w:rPr>
          <w:rFonts w:ascii="Times New Roman" w:eastAsia="Times New Roman" w:hAnsi="Times New Roman" w:cs="Times New Roman"/>
          <w:sz w:val="24"/>
          <w:szCs w:val="24"/>
          <w:u w:val="single"/>
        </w:rPr>
        <w:t xml:space="preserve">Improving Maternal and Child Health </w:t>
      </w:r>
    </w:p>
    <w:p w14:paraId="7884C3BE" w14:textId="77777777" w:rsidR="00F92D8F" w:rsidRDefault="00F92D8F" w:rsidP="00F92D8F">
      <w:r>
        <w:rPr>
          <w:rFonts w:ascii="Times New Roman" w:eastAsia="Times New Roman" w:hAnsi="Times New Roman" w:cs="Times New Roman"/>
          <w:sz w:val="24"/>
          <w:szCs w:val="24"/>
        </w:rPr>
        <w:t xml:space="preserve">Countries that have realized the demographic dividend have done so by improving maternal and child survival rates and health outcomes. The United States and the Government of Uganda have recognized the importance of improving maternal and child health and have made global commitments to do so. Uganda has actively pursued, though fallen short, of realizing the Millennium Development Goals No.4 and No.5 - reducing child mortality and improving maternal health. USAID supports the realization of these goals and has mobilized large-scale programs to achieve them. Saving Mothers Giving Life, the Child Survival Call to Action, and the Saving Lives at Birth Grand Challenge are all examples of USAID’s global commitment to maternal and child health. USAID/Uganda must continue to prioritize maternal child health in Uganda in order to achieve its Development Objective 2. </w:t>
      </w:r>
    </w:p>
    <w:p w14:paraId="18564357" w14:textId="77777777" w:rsidR="00F92D8F" w:rsidRDefault="00F92D8F" w:rsidP="00F92D8F">
      <w:r>
        <w:rPr>
          <w:rFonts w:ascii="Times New Roman" w:eastAsia="Times New Roman" w:hAnsi="Times New Roman" w:cs="Times New Roman"/>
          <w:sz w:val="24"/>
          <w:szCs w:val="24"/>
        </w:rPr>
        <w:t>The lack of access to income and productive resources constitutes a barrier to maternal and child health. Many Ugandan women delay seeking or reaching health services because they lack the money or permission from their partners and families necessary to access services. For example, women delivering children in health care institutions are less likely to die in childbirth; however, insufficient resources or insufficient control over resources compels many women to give birth at home without the supervision of a trained birth attendant. Lack of money for health care is a more commonly reported barrier than permission to access care. Just over five per cent of women reported having problems getting permission to go for health care, yet 48.8 per cent of women reported having problems getting money necessary to pay for health care</w:t>
      </w:r>
      <w:r>
        <w:rPr>
          <w:rFonts w:ascii="Times New Roman" w:eastAsia="Times New Roman" w:hAnsi="Times New Roman" w:cs="Times New Roman"/>
          <w:sz w:val="24"/>
          <w:szCs w:val="24"/>
          <w:vertAlign w:val="superscript"/>
        </w:rPr>
        <w:footnoteReference w:id="53"/>
      </w:r>
      <w:r>
        <w:rPr>
          <w:rFonts w:ascii="Times New Roman" w:eastAsia="Times New Roman" w:hAnsi="Times New Roman" w:cs="Times New Roman"/>
          <w:sz w:val="24"/>
          <w:szCs w:val="24"/>
        </w:rPr>
        <w:t xml:space="preserve">. Men’s role as the main decision-maker for household financial resources, and men’s lack of understanding about maternal and child health needs, this puts women’s and children’s health at risk. Health </w:t>
      </w:r>
      <w:r>
        <w:rPr>
          <w:rFonts w:ascii="Times New Roman" w:eastAsia="Times New Roman" w:hAnsi="Times New Roman" w:cs="Times New Roman"/>
          <w:sz w:val="24"/>
          <w:szCs w:val="24"/>
        </w:rPr>
        <w:lastRenderedPageBreak/>
        <w:t xml:space="preserve">seeking behaviors are discouraged by the additional cost of transportation to health service centers, distance to health service centers, and the cost of health care commodities. </w:t>
      </w:r>
    </w:p>
    <w:p w14:paraId="40622910" w14:textId="58927A4E" w:rsidR="00F92D8F" w:rsidRDefault="00F92D8F" w:rsidP="00F92D8F">
      <w:r>
        <w:rPr>
          <w:rFonts w:ascii="Times New Roman" w:eastAsia="Times New Roman" w:hAnsi="Times New Roman" w:cs="Times New Roman"/>
          <w:sz w:val="24"/>
          <w:szCs w:val="24"/>
        </w:rPr>
        <w:t>Greater equality in household power dynamics can also contribute to better health outcomes. Only 50 per cent of women in Uganda reported having high decision-making authority in their households</w:t>
      </w:r>
      <w:r w:rsidR="00EA29CC">
        <w:rPr>
          <w:rStyle w:val="FootnoteReference"/>
          <w:rFonts w:ascii="Times New Roman" w:eastAsia="Times New Roman" w:hAnsi="Times New Roman" w:cs="Times New Roman"/>
          <w:sz w:val="24"/>
          <w:szCs w:val="24"/>
        </w:rPr>
        <w:footnoteReference w:id="54"/>
      </w:r>
      <w:r>
        <w:rPr>
          <w:rFonts w:ascii="Times New Roman" w:eastAsia="Times New Roman" w:hAnsi="Times New Roman" w:cs="Times New Roman"/>
          <w:sz w:val="24"/>
          <w:szCs w:val="24"/>
        </w:rPr>
        <w:t xml:space="preserve">. Women with high decision-making authority, for example, women who participated in decisions regarding their own earnings were significantly more likely to have a facility delivery. Beyond reproductive health, greater equality in decision-making can increase access to health commodities for infectious disease prevention. In Uganda, only 42.5 per cent of children under </w:t>
      </w:r>
      <w:r w:rsidR="00345229">
        <w:rPr>
          <w:rFonts w:ascii="Times New Roman" w:eastAsia="Times New Roman" w:hAnsi="Times New Roman" w:cs="Times New Roman"/>
          <w:sz w:val="24"/>
          <w:szCs w:val="24"/>
        </w:rPr>
        <w:t>five</w:t>
      </w:r>
      <w:r>
        <w:rPr>
          <w:rFonts w:ascii="Times New Roman" w:eastAsia="Times New Roman" w:hAnsi="Times New Roman" w:cs="Times New Roman"/>
          <w:sz w:val="24"/>
          <w:szCs w:val="24"/>
        </w:rPr>
        <w:t xml:space="preserve"> sleep under an insecticide treated bed net</w:t>
      </w:r>
      <w:r w:rsidR="00EA29CC">
        <w:rPr>
          <w:rStyle w:val="FootnoteReference"/>
          <w:rFonts w:ascii="Times New Roman" w:eastAsia="Times New Roman" w:hAnsi="Times New Roman" w:cs="Times New Roman"/>
          <w:sz w:val="24"/>
          <w:szCs w:val="24"/>
        </w:rPr>
        <w:footnoteReference w:id="55"/>
      </w:r>
      <w:r>
        <w:rPr>
          <w:rFonts w:ascii="Times New Roman" w:eastAsia="Times New Roman" w:hAnsi="Times New Roman" w:cs="Times New Roman"/>
          <w:sz w:val="24"/>
          <w:szCs w:val="24"/>
        </w:rPr>
        <w:t xml:space="preserve">. Access to nets and decision making about where young children will sleep affects their health with respect to malaria prevention. </w:t>
      </w:r>
      <w:r w:rsidRPr="008F7917">
        <w:rPr>
          <w:rFonts w:ascii="Times New Roman" w:eastAsia="Times New Roman" w:hAnsi="Times New Roman" w:cs="Times New Roman"/>
          <w:sz w:val="24"/>
          <w:szCs w:val="24"/>
        </w:rPr>
        <w:t>One study from Nigeria</w:t>
      </w:r>
      <w:r w:rsidR="00EA29CC" w:rsidRPr="008F7917">
        <w:rPr>
          <w:rStyle w:val="FootnoteReference"/>
          <w:rFonts w:ascii="Times New Roman" w:eastAsia="Times New Roman" w:hAnsi="Times New Roman" w:cs="Times New Roman"/>
          <w:sz w:val="24"/>
          <w:szCs w:val="24"/>
        </w:rPr>
        <w:footnoteReference w:id="56"/>
      </w:r>
      <w:r w:rsidRPr="008F7917">
        <w:rPr>
          <w:rFonts w:ascii="Times New Roman" w:eastAsia="Times New Roman" w:hAnsi="Times New Roman" w:cs="Times New Roman"/>
          <w:sz w:val="24"/>
          <w:szCs w:val="24"/>
        </w:rPr>
        <w:t>; however, notes that targeting bed nets to pregnant and lactating women may have an adverse effect on bed net use among men and boys. While risk of malaria is equal among men and women, USAID/Uganda should be careful to avoid inadvertent exclusion of men and boys in the interest of maternal and child health.</w:t>
      </w:r>
      <w:r>
        <w:rPr>
          <w:rFonts w:ascii="Times New Roman" w:eastAsia="Times New Roman" w:hAnsi="Times New Roman" w:cs="Times New Roman"/>
          <w:sz w:val="24"/>
          <w:szCs w:val="24"/>
        </w:rPr>
        <w:t xml:space="preserve"> </w:t>
      </w:r>
    </w:p>
    <w:p w14:paraId="10CE1718" w14:textId="45537F70" w:rsidR="00F92D8F" w:rsidRDefault="00F92D8F" w:rsidP="00F92D8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Nutrition is key for both maternal and child health. In Uganda, </w:t>
      </w:r>
      <w:r w:rsidR="007E3732">
        <w:rPr>
          <w:rFonts w:ascii="Times New Roman" w:eastAsia="Times New Roman" w:hAnsi="Times New Roman" w:cs="Times New Roman"/>
          <w:sz w:val="24"/>
          <w:szCs w:val="24"/>
        </w:rPr>
        <w:t>anemia</w:t>
      </w:r>
      <w:r>
        <w:rPr>
          <w:rFonts w:ascii="Times New Roman" w:eastAsia="Times New Roman" w:hAnsi="Times New Roman" w:cs="Times New Roman"/>
          <w:sz w:val="24"/>
          <w:szCs w:val="24"/>
        </w:rPr>
        <w:t xml:space="preserve"> among children under 5 years of age was 56.2 per cent</w:t>
      </w:r>
      <w:r>
        <w:rPr>
          <w:rFonts w:ascii="Times New Roman" w:eastAsia="Times New Roman" w:hAnsi="Times New Roman" w:cs="Times New Roman"/>
          <w:sz w:val="24"/>
          <w:szCs w:val="24"/>
          <w:vertAlign w:val="superscript"/>
        </w:rPr>
        <w:footnoteReference w:id="57"/>
      </w:r>
      <w:r>
        <w:rPr>
          <w:rFonts w:ascii="Times New Roman" w:eastAsia="Times New Roman" w:hAnsi="Times New Roman" w:cs="Times New Roman"/>
          <w:sz w:val="24"/>
          <w:szCs w:val="24"/>
        </w:rPr>
        <w:t>. 34 per cent of all children under five years of age are stunted</w:t>
      </w:r>
      <w:r>
        <w:rPr>
          <w:rFonts w:ascii="Times New Roman" w:eastAsia="Times New Roman" w:hAnsi="Times New Roman" w:cs="Times New Roman"/>
          <w:sz w:val="24"/>
          <w:szCs w:val="24"/>
          <w:vertAlign w:val="superscript"/>
        </w:rPr>
        <w:footnoteReference w:id="58"/>
      </w:r>
      <w:r>
        <w:rPr>
          <w:rFonts w:ascii="Times New Roman" w:eastAsia="Times New Roman" w:hAnsi="Times New Roman" w:cs="Times New Roman"/>
          <w:sz w:val="24"/>
          <w:szCs w:val="24"/>
        </w:rPr>
        <w:t xml:space="preserve">. Only six per cent of children aged six to 24 months received the minimum acceptable diet according to the 2011 Demographic and Health Survey. UNESCO lists female secondary educational enrollment as an underlying determinant of child nutrition status. </w:t>
      </w:r>
    </w:p>
    <w:p w14:paraId="4D58A3BF" w14:textId="15AC2778" w:rsidR="00F92D8F" w:rsidRDefault="00F92D8F" w:rsidP="00F92D8F">
      <w:r>
        <w:rPr>
          <w:rFonts w:ascii="Times New Roman" w:eastAsia="Times New Roman" w:hAnsi="Times New Roman" w:cs="Times New Roman"/>
          <w:sz w:val="24"/>
          <w:szCs w:val="24"/>
        </w:rPr>
        <w:t xml:space="preserve">Data from USAID Feed the Future programs also show links between female empowerment and improved nutritional status for children. Though stunting can occur up to five years of age, one USAID-funded intervention in Bangladesh specifically targeted stunting among children </w:t>
      </w:r>
      <w:r w:rsidR="00345229">
        <w:rPr>
          <w:rFonts w:ascii="Times New Roman" w:eastAsia="Times New Roman" w:hAnsi="Times New Roman" w:cs="Times New Roman"/>
          <w:sz w:val="24"/>
          <w:szCs w:val="24"/>
        </w:rPr>
        <w:t>less than</w:t>
      </w:r>
      <w:r>
        <w:rPr>
          <w:rFonts w:ascii="Times New Roman" w:eastAsia="Times New Roman" w:hAnsi="Times New Roman" w:cs="Times New Roman"/>
          <w:sz w:val="24"/>
          <w:szCs w:val="24"/>
        </w:rPr>
        <w:t xml:space="preserve"> 24 months of age. The USAID-funded Food for Peace program SHOUHARDO identified women’s empowerment as a “game-changer” that produced greater impact for children’s nutrition than interventions with food supplements alone</w:t>
      </w:r>
      <w:r>
        <w:rPr>
          <w:rFonts w:ascii="Times New Roman" w:eastAsia="Times New Roman" w:hAnsi="Times New Roman" w:cs="Times New Roman"/>
          <w:sz w:val="24"/>
          <w:szCs w:val="24"/>
          <w:vertAlign w:val="superscript"/>
        </w:rPr>
        <w:footnoteReference w:id="59"/>
      </w:r>
      <w:r>
        <w:rPr>
          <w:rFonts w:ascii="Times New Roman" w:eastAsia="Times New Roman" w:hAnsi="Times New Roman" w:cs="Times New Roman"/>
          <w:sz w:val="24"/>
          <w:szCs w:val="24"/>
        </w:rPr>
        <w:t>.</w:t>
      </w:r>
    </w:p>
    <w:p w14:paraId="5C8EC0C9" w14:textId="77777777" w:rsidR="00F92D8F" w:rsidRDefault="00F92D8F" w:rsidP="00F92D8F">
      <w:r>
        <w:rPr>
          <w:rFonts w:ascii="Times New Roman" w:eastAsia="Times New Roman" w:hAnsi="Times New Roman" w:cs="Times New Roman"/>
          <w:sz w:val="24"/>
          <w:szCs w:val="24"/>
        </w:rPr>
        <w:lastRenderedPageBreak/>
        <w:t xml:space="preserve"> </w:t>
      </w:r>
      <w:r>
        <w:rPr>
          <w:noProof/>
        </w:rPr>
        <w:drawing>
          <wp:inline distT="114300" distB="114300" distL="114300" distR="114300" wp14:anchorId="38EF3424" wp14:editId="4BB00DC9">
            <wp:extent cx="5881688" cy="2867025"/>
            <wp:effectExtent l="0" t="0" r="0" b="0"/>
            <wp:docPr id="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3"/>
                    <a:srcRect/>
                    <a:stretch>
                      <a:fillRect/>
                    </a:stretch>
                  </pic:blipFill>
                  <pic:spPr>
                    <a:xfrm>
                      <a:off x="0" y="0"/>
                      <a:ext cx="5881688" cy="2867025"/>
                    </a:xfrm>
                    <a:prstGeom prst="rect">
                      <a:avLst/>
                    </a:prstGeom>
                    <a:ln/>
                  </pic:spPr>
                </pic:pic>
              </a:graphicData>
            </a:graphic>
          </wp:inline>
        </w:drawing>
      </w:r>
    </w:p>
    <w:p w14:paraId="6B86B629" w14:textId="77777777" w:rsidR="00F92D8F" w:rsidRDefault="00F92D8F" w:rsidP="00F92D8F"/>
    <w:p w14:paraId="2A072640" w14:textId="77777777" w:rsidR="00F92D8F" w:rsidRDefault="00F92D8F" w:rsidP="00F92D8F">
      <w:r>
        <w:rPr>
          <w:rFonts w:ascii="Times New Roman" w:eastAsia="Times New Roman" w:hAnsi="Times New Roman" w:cs="Times New Roman"/>
          <w:sz w:val="24"/>
          <w:szCs w:val="24"/>
        </w:rPr>
        <w:t xml:space="preserve">USAID/Uganda has recognized the links between gender equality and women’s empowerment and improved maternal child health. The integrated nutrition and agriculture program Community Connector in Uganda focused largely on the role of men and women in the household related to food security, decision-making, and use and distribution of resources. This activity engaged men in health and nutrition activities with the goal of encouraging ante-natal care, balanced nutrition, and equitable household time use. The activity is ongoing as of 2015 and will conclude in 2016. USAID/Uganda has the opportunity to examine how integration of health and agriculture as well as women’s empowerment can produce better results for development than sectoral activities alone without an explicit focus on gender equality and female empowerment. </w:t>
      </w:r>
    </w:p>
    <w:p w14:paraId="6F5339B1" w14:textId="77777777" w:rsidR="00F92D8F" w:rsidRDefault="00F92D8F" w:rsidP="00F92D8F">
      <w:r>
        <w:rPr>
          <w:rFonts w:ascii="Times New Roman" w:eastAsia="Times New Roman" w:hAnsi="Times New Roman" w:cs="Times New Roman"/>
          <w:sz w:val="24"/>
          <w:szCs w:val="24"/>
          <w:u w:val="single"/>
        </w:rPr>
        <w:t>Equitable Education</w:t>
      </w:r>
    </w:p>
    <w:p w14:paraId="66D93056" w14:textId="77777777" w:rsidR="00F92D8F" w:rsidRDefault="00F92D8F" w:rsidP="00F92D8F">
      <w:r>
        <w:rPr>
          <w:noProof/>
        </w:rPr>
        <w:drawing>
          <wp:inline distT="114300" distB="114300" distL="114300" distR="114300" wp14:anchorId="3C0DC783" wp14:editId="77ABD137">
            <wp:extent cx="5943600" cy="1054100"/>
            <wp:effectExtent l="0" t="0" r="0" b="0"/>
            <wp:docPr id="7"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4"/>
                    <a:srcRect/>
                    <a:stretch>
                      <a:fillRect/>
                    </a:stretch>
                  </pic:blipFill>
                  <pic:spPr>
                    <a:xfrm>
                      <a:off x="0" y="0"/>
                      <a:ext cx="5943600" cy="1054100"/>
                    </a:xfrm>
                    <a:prstGeom prst="rect">
                      <a:avLst/>
                    </a:prstGeom>
                    <a:ln/>
                  </pic:spPr>
                </pic:pic>
              </a:graphicData>
            </a:graphic>
          </wp:inline>
        </w:drawing>
      </w:r>
      <w:r>
        <w:rPr>
          <w:rFonts w:ascii="Times New Roman" w:eastAsia="Times New Roman" w:hAnsi="Times New Roman" w:cs="Times New Roman"/>
          <w:sz w:val="16"/>
          <w:szCs w:val="16"/>
        </w:rPr>
        <w:t xml:space="preserve">2014 World Economic Forum Global Gender Gap Report </w:t>
      </w:r>
    </w:p>
    <w:p w14:paraId="352048F5" w14:textId="77777777" w:rsidR="00F92D8F" w:rsidRPr="00F92D8F" w:rsidRDefault="00F92D8F" w:rsidP="00F92D8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Overall levels of education and workforce readiness among the Ugandan population will determine the extent of a potential demographic dividend. Improvements in literacy, education, and vocational skills will support the demographic dividend in a number of ways. According to the report that USAID/Uganda commissioned from the Pardee Center for International Futures, simply retaining adolescent girls in school longer can lead to a lower fertility rate and support a </w:t>
      </w:r>
      <w:r>
        <w:rPr>
          <w:rFonts w:ascii="Times New Roman" w:eastAsia="Times New Roman" w:hAnsi="Times New Roman" w:cs="Times New Roman"/>
          <w:sz w:val="24"/>
          <w:szCs w:val="24"/>
        </w:rPr>
        <w:lastRenderedPageBreak/>
        <w:t xml:space="preserve">demographic dividend. The Futures analysis determined that lower fertility rates are correlated with improved retention in schools. While retention is not the only factor determining fertility rates, the report concluded that retention impacted fertility reductions more than quality of education. While educational quantity may be more important than quality for lower fertility rates, quality education and especially early grade reading skills remain a primary focus for education programming throughout the period of the USAID/Uganda Country Development Cooperation Strategy. </w:t>
      </w:r>
    </w:p>
    <w:p w14:paraId="329BA031" w14:textId="77777777" w:rsidR="00F92D8F" w:rsidRDefault="00F92D8F" w:rsidP="00F92D8F">
      <w:r>
        <w:rPr>
          <w:rFonts w:ascii="Times New Roman" w:eastAsia="Times New Roman" w:hAnsi="Times New Roman" w:cs="Times New Roman"/>
          <w:sz w:val="24"/>
          <w:szCs w:val="24"/>
        </w:rPr>
        <w:t>Ugandan girls are less likely than boys to go to school and stay in school. Of females and males over age six, 20 per cent of females and 13 per cent of males have never had formal education</w:t>
      </w:r>
      <w:r>
        <w:rPr>
          <w:rFonts w:ascii="Times New Roman" w:eastAsia="Times New Roman" w:hAnsi="Times New Roman" w:cs="Times New Roman"/>
          <w:sz w:val="24"/>
          <w:szCs w:val="24"/>
          <w:vertAlign w:val="superscript"/>
        </w:rPr>
        <w:footnoteReference w:id="60"/>
      </w:r>
      <w:r>
        <w:rPr>
          <w:rFonts w:ascii="Times New Roman" w:eastAsia="Times New Roman" w:hAnsi="Times New Roman" w:cs="Times New Roman"/>
          <w:sz w:val="24"/>
          <w:szCs w:val="24"/>
        </w:rPr>
        <w:t>. Girls’ literacy is lower than boys in primary class three and girls’ numeracy is lower than boys in primary classes three and six. Girls are less likely than boys to reach secondary and tertiary education and leave school for different reasons than boys. Consider the data below</w:t>
      </w:r>
      <w:r>
        <w:rPr>
          <w:rFonts w:ascii="Times New Roman" w:eastAsia="Times New Roman" w:hAnsi="Times New Roman" w:cs="Times New Roman"/>
          <w:sz w:val="24"/>
          <w:szCs w:val="24"/>
          <w:vertAlign w:val="superscript"/>
        </w:rPr>
        <w:footnoteReference w:id="61"/>
      </w:r>
      <w:r>
        <w:rPr>
          <w:rFonts w:ascii="Times New Roman" w:eastAsia="Times New Roman" w:hAnsi="Times New Roman" w:cs="Times New Roman"/>
          <w:sz w:val="24"/>
          <w:szCs w:val="24"/>
        </w:rPr>
        <w:t xml:space="preserve">: </w:t>
      </w:r>
    </w:p>
    <w:p w14:paraId="175D52B1" w14:textId="77777777" w:rsidR="00F92D8F" w:rsidRDefault="00F92D8F" w:rsidP="00F92D8F"/>
    <w:p w14:paraId="723A1070" w14:textId="77777777" w:rsidR="00F92D8F" w:rsidRDefault="00F92D8F" w:rsidP="00F92D8F">
      <w:r>
        <w:rPr>
          <w:noProof/>
        </w:rPr>
        <w:drawing>
          <wp:inline distT="114300" distB="114300" distL="114300" distR="114300" wp14:anchorId="15862903" wp14:editId="56E01FA5">
            <wp:extent cx="2738438" cy="2980509"/>
            <wp:effectExtent l="0" t="0" r="0" b="0"/>
            <wp:docPr id="10"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5"/>
                    <a:srcRect/>
                    <a:stretch>
                      <a:fillRect/>
                    </a:stretch>
                  </pic:blipFill>
                  <pic:spPr>
                    <a:xfrm>
                      <a:off x="0" y="0"/>
                      <a:ext cx="2738438" cy="2980509"/>
                    </a:xfrm>
                    <a:prstGeom prst="rect">
                      <a:avLst/>
                    </a:prstGeom>
                    <a:ln/>
                  </pic:spPr>
                </pic:pic>
              </a:graphicData>
            </a:graphic>
          </wp:inline>
        </w:drawing>
      </w:r>
      <w:r>
        <w:rPr>
          <w:noProof/>
        </w:rPr>
        <w:drawing>
          <wp:inline distT="19050" distB="19050" distL="19050" distR="19050" wp14:anchorId="6F2AE8B0" wp14:editId="5C2D896B">
            <wp:extent cx="2749332" cy="2767013"/>
            <wp:effectExtent l="0" t="0" r="0" b="0"/>
            <wp:docPr id="8"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6"/>
                    <a:srcRect/>
                    <a:stretch>
                      <a:fillRect/>
                    </a:stretch>
                  </pic:blipFill>
                  <pic:spPr>
                    <a:xfrm>
                      <a:off x="0" y="0"/>
                      <a:ext cx="2749332" cy="2767013"/>
                    </a:xfrm>
                    <a:prstGeom prst="rect">
                      <a:avLst/>
                    </a:prstGeom>
                    <a:ln/>
                  </pic:spPr>
                </pic:pic>
              </a:graphicData>
            </a:graphic>
          </wp:inline>
        </w:drawing>
      </w:r>
    </w:p>
    <w:p w14:paraId="3895851C" w14:textId="77777777" w:rsidR="00F92D8F" w:rsidRDefault="00F92D8F" w:rsidP="00F92D8F"/>
    <w:p w14:paraId="0C0B0C6B" w14:textId="62C5C96A" w:rsidR="00F92D8F" w:rsidRDefault="00F92D8F" w:rsidP="00F92D8F">
      <w:r>
        <w:br w:type="page"/>
      </w:r>
      <w:r>
        <w:rPr>
          <w:rFonts w:ascii="Times New Roman" w:eastAsia="Times New Roman" w:hAnsi="Times New Roman" w:cs="Times New Roman"/>
          <w:b/>
          <w:sz w:val="24"/>
          <w:szCs w:val="24"/>
        </w:rPr>
        <w:lastRenderedPageBreak/>
        <w:t>DO3: Resilience</w:t>
      </w:r>
    </w:p>
    <w:p w14:paraId="1EE813A2" w14:textId="77777777" w:rsidR="00F92D8F" w:rsidRDefault="00F92D8F" w:rsidP="00F92D8F">
      <w:r>
        <w:rPr>
          <w:rFonts w:ascii="Times New Roman" w:eastAsia="Times New Roman" w:hAnsi="Times New Roman" w:cs="Times New Roman"/>
          <w:sz w:val="24"/>
          <w:szCs w:val="24"/>
        </w:rPr>
        <w:t>USAID/Uganda seeks to increase community and household resilience in targeted areas during the course of the next five years. Certain communities and households within Uganda are particularly vulnerable to shocks and stresses, including drought and conflict. The United States has regularly provided humanitarian assistance in times of food insecurity to vulnerable households in Uganda.  In the next five year period, USAID/Uganda seeks to build household resilience to recurrent crisis and reduce chronic vulnerability. Gender equality and inclusive growth and development are indispensable elements of improving resilience.</w:t>
      </w:r>
    </w:p>
    <w:p w14:paraId="4845DF25" w14:textId="07207B45" w:rsidR="00F92D8F" w:rsidRDefault="00F92D8F" w:rsidP="00F92D8F">
      <w:r>
        <w:rPr>
          <w:rFonts w:ascii="Times New Roman" w:eastAsia="Times New Roman" w:hAnsi="Times New Roman" w:cs="Times New Roman"/>
          <w:sz w:val="24"/>
          <w:szCs w:val="24"/>
        </w:rPr>
        <w:t>Resilience to shocks and stresses requires increasing and diversifying household income and assets.  Households and individuals must also adapt to changing conditions.  Climate change in Uganda has made rainfall and weather events less predictable</w:t>
      </w:r>
      <w:r w:rsidR="00EA29CC">
        <w:rPr>
          <w:rStyle w:val="FootnoteReference"/>
          <w:rFonts w:ascii="Times New Roman" w:eastAsia="Times New Roman" w:hAnsi="Times New Roman" w:cs="Times New Roman"/>
          <w:sz w:val="24"/>
          <w:szCs w:val="24"/>
        </w:rPr>
        <w:footnoteReference w:id="62"/>
      </w:r>
      <w:r>
        <w:rPr>
          <w:rFonts w:ascii="Times New Roman" w:eastAsia="Times New Roman" w:hAnsi="Times New Roman" w:cs="Times New Roman"/>
          <w:sz w:val="24"/>
          <w:szCs w:val="24"/>
        </w:rPr>
        <w:t xml:space="preserve">.  The greater variability of rainfall has contributed to crop failure and vulnerability in already fragile areas in Uganda, like Karamoja. Gender differences play out in livelihoods, income, decision-making, and realization of basic rights. Key interventions including gender equality for land rights and women’s empowerment in agriculture will maximize USAID/Uganda’s overall efforts to achieve greater household resilience to shocks and stresses. </w:t>
      </w:r>
    </w:p>
    <w:p w14:paraId="3B8E6CF7" w14:textId="77777777" w:rsidR="00F92D8F" w:rsidRDefault="00F92D8F" w:rsidP="00F92D8F">
      <w:r>
        <w:rPr>
          <w:rFonts w:ascii="Times New Roman" w:eastAsia="Times New Roman" w:hAnsi="Times New Roman" w:cs="Times New Roman"/>
          <w:sz w:val="24"/>
          <w:szCs w:val="24"/>
          <w:u w:val="single"/>
        </w:rPr>
        <w:t>Land Rights</w:t>
      </w:r>
    </w:p>
    <w:p w14:paraId="61F70BB5" w14:textId="77777777" w:rsidR="00F92D8F" w:rsidRDefault="00F92D8F" w:rsidP="00F92D8F">
      <w:r>
        <w:rPr>
          <w:rFonts w:ascii="Times New Roman" w:eastAsia="Times New Roman" w:hAnsi="Times New Roman" w:cs="Times New Roman"/>
          <w:sz w:val="24"/>
          <w:szCs w:val="24"/>
        </w:rPr>
        <w:t>Agriculture dominates the Ugandan economy. Land rights and tenure are central to community and household resilience. Land rights afford people greater livelihood security, a basis for agricultural subsistence, collateral for accessing finance and inheritance for children’s future security. The benefits of land rights are mostly the exclusive domain of men in Uganda. Extreme gender inequalities persist in land ownership and land tenure. USAID estimates that 89-90 per cent of land in Uganda is male-owned</w:t>
      </w:r>
      <w:r>
        <w:rPr>
          <w:rFonts w:ascii="Times New Roman" w:eastAsia="Times New Roman" w:hAnsi="Times New Roman" w:cs="Times New Roman"/>
          <w:sz w:val="24"/>
          <w:szCs w:val="24"/>
          <w:vertAlign w:val="superscript"/>
        </w:rPr>
        <w:footnoteReference w:id="63"/>
      </w:r>
      <w:r>
        <w:rPr>
          <w:rFonts w:ascii="Times New Roman" w:eastAsia="Times New Roman" w:hAnsi="Times New Roman" w:cs="Times New Roman"/>
          <w:sz w:val="24"/>
          <w:szCs w:val="24"/>
        </w:rPr>
        <w:t xml:space="preserve">. Although Ugandan law does not bar women from owning land; customary law and traditional practice prevent them from exercising their legal rights to own land. Achieving greater resilience and inclusive growth requires closing the gender gap in land and property ownership. </w:t>
      </w:r>
    </w:p>
    <w:p w14:paraId="5D88FFA2" w14:textId="27A1AA18" w:rsidR="00F92D8F" w:rsidRDefault="00F92D8F" w:rsidP="00F92D8F">
      <w:r>
        <w:rPr>
          <w:rFonts w:ascii="Times New Roman" w:eastAsia="Times New Roman" w:hAnsi="Times New Roman" w:cs="Times New Roman"/>
          <w:sz w:val="24"/>
          <w:szCs w:val="24"/>
        </w:rPr>
        <w:t>Households headed by landless women are socially and economically worse off than households headed by women in general</w:t>
      </w:r>
      <w:r w:rsidR="00EA29CC">
        <w:rPr>
          <w:rStyle w:val="FootnoteReference"/>
          <w:rFonts w:ascii="Times New Roman" w:eastAsia="Times New Roman" w:hAnsi="Times New Roman" w:cs="Times New Roman"/>
          <w:sz w:val="24"/>
          <w:szCs w:val="24"/>
        </w:rPr>
        <w:footnoteReference w:id="64"/>
      </w:r>
      <w:r>
        <w:rPr>
          <w:rFonts w:ascii="Times New Roman" w:eastAsia="Times New Roman" w:hAnsi="Times New Roman" w:cs="Times New Roman"/>
          <w:sz w:val="24"/>
          <w:szCs w:val="24"/>
        </w:rPr>
        <w:t xml:space="preserve">. Land affords landowners the opportunity to engage in agriculture, both for subsistence and for profit. With land rights, women can make decisions about land use and tenure, and in the case that they wish to borrow money, land can serve as collateral.  Landless women have fewer options and less power over productive resources. Women without land are less able to borrow money, and more dependent on family members, donor and government assistance. Married women who do not co-own the land on which they reside with their families are particularly vulnerable. Without land rights, widows and divorcees </w:t>
      </w:r>
      <w:r>
        <w:rPr>
          <w:rFonts w:ascii="Times New Roman" w:eastAsia="Times New Roman" w:hAnsi="Times New Roman" w:cs="Times New Roman"/>
          <w:sz w:val="24"/>
          <w:szCs w:val="24"/>
        </w:rPr>
        <w:lastRenderedPageBreak/>
        <w:t xml:space="preserve">fall victim to land-grabbing and displacement following the death or departure of a male head of household.  </w:t>
      </w:r>
    </w:p>
    <w:p w14:paraId="6BC3E4BB" w14:textId="77777777" w:rsidR="00F92D8F" w:rsidRDefault="00F92D8F" w:rsidP="00F92D8F">
      <w:r>
        <w:rPr>
          <w:rFonts w:ascii="Times New Roman" w:eastAsia="Times New Roman" w:hAnsi="Times New Roman" w:cs="Times New Roman"/>
          <w:sz w:val="24"/>
          <w:szCs w:val="24"/>
        </w:rPr>
        <w:t xml:space="preserve">Women are guaranteed equality under the Ugandan Constitution and other national legislation. The Land Act of 1998 was initially a seen as a path to realizing that equality; however it has become widely cited for its “lost clause”. The Act provided for co-ownership of land between spouses in its initial draft; however, the final version of the act omitted the reference. The co-ownership provision would have provided a legal foundation for women’s land rights, enabling them to have greater access to credit, and negotiation power; however, it never came to pass. Later amendment of the Act required landowners to obtain prior written consent of spouses before selling land. The Act still stops short of granting co-ownership of land between spouses and thus, women remain vulnerable to theft and eviction and have less negotiating power within households.  </w:t>
      </w:r>
    </w:p>
    <w:p w14:paraId="552AD5F0" w14:textId="66CDDB2E" w:rsidR="00F92D8F" w:rsidRDefault="00F92D8F" w:rsidP="00F92D8F">
      <w:r>
        <w:rPr>
          <w:rFonts w:ascii="Times New Roman" w:eastAsia="Times New Roman" w:hAnsi="Times New Roman" w:cs="Times New Roman"/>
          <w:sz w:val="24"/>
          <w:szCs w:val="24"/>
        </w:rPr>
        <w:t>The legal foundation has grown slightly more stable for women since 1998, but customary law hinders the realization of equality in land ownership. In Uganda about 80 - 90 per cent of land is administered under customary law</w:t>
      </w:r>
      <w:r>
        <w:rPr>
          <w:rFonts w:ascii="Times New Roman" w:eastAsia="Times New Roman" w:hAnsi="Times New Roman" w:cs="Times New Roman"/>
          <w:sz w:val="24"/>
          <w:szCs w:val="24"/>
          <w:vertAlign w:val="superscript"/>
        </w:rPr>
        <w:footnoteReference w:id="65"/>
      </w:r>
      <w:r>
        <w:rPr>
          <w:rFonts w:ascii="Times New Roman" w:eastAsia="Times New Roman" w:hAnsi="Times New Roman" w:cs="Times New Roman"/>
          <w:sz w:val="24"/>
          <w:szCs w:val="24"/>
        </w:rPr>
        <w:t xml:space="preserve">. Traditions and customary law vary across the country, but frequently cast women as their husband’s property once they are married. As property, women are not entitled to equal ownership of household assets, including land. Uganda’s patriarchal culture places men as heads of households. While women may have input into household decision making; men are most often the final arbiter of decisions about land use. </w:t>
      </w:r>
      <w:r w:rsidR="00345229">
        <w:rPr>
          <w:rFonts w:ascii="Times New Roman" w:eastAsia="Times New Roman" w:hAnsi="Times New Roman" w:cs="Times New Roman"/>
          <w:sz w:val="24"/>
          <w:szCs w:val="24"/>
        </w:rPr>
        <w:t>Customarily, married women are not equal heirs to their parents’ land as cultural norms imply that they to belong to their husbands’ clans</w:t>
      </w:r>
      <w:r w:rsidR="00345229">
        <w:rPr>
          <w:rFonts w:ascii="Times New Roman" w:eastAsia="Times New Roman" w:hAnsi="Times New Roman" w:cs="Times New Roman"/>
          <w:sz w:val="24"/>
          <w:szCs w:val="24"/>
          <w:vertAlign w:val="superscript"/>
        </w:rPr>
        <w:footnoteReference w:id="66"/>
      </w:r>
      <w:r w:rsidR="003452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Women are often left with nothing under customary divorce. Similarly, when women become widows, their property is often taken from them through crimes of physical force, forgery, fraud, threats, intimidation, property destruction and/or collective pressures</w:t>
      </w:r>
      <w:r>
        <w:rPr>
          <w:rFonts w:ascii="Times New Roman" w:eastAsia="Times New Roman" w:hAnsi="Times New Roman" w:cs="Times New Roman"/>
          <w:sz w:val="24"/>
          <w:szCs w:val="24"/>
          <w:vertAlign w:val="superscript"/>
        </w:rPr>
        <w:footnoteReference w:id="67"/>
      </w:r>
      <w:r>
        <w:rPr>
          <w:rFonts w:ascii="Times New Roman" w:eastAsia="Times New Roman" w:hAnsi="Times New Roman" w:cs="Times New Roman"/>
          <w:sz w:val="24"/>
          <w:szCs w:val="24"/>
        </w:rPr>
        <w:t>.</w:t>
      </w:r>
    </w:p>
    <w:p w14:paraId="675E49B4" w14:textId="77777777" w:rsidR="00F92D8F" w:rsidRDefault="00F92D8F" w:rsidP="00F92D8F">
      <w:r>
        <w:rPr>
          <w:rFonts w:ascii="Times New Roman" w:eastAsia="Times New Roman" w:hAnsi="Times New Roman" w:cs="Times New Roman"/>
          <w:sz w:val="24"/>
          <w:szCs w:val="24"/>
        </w:rPr>
        <w:t xml:space="preserve">USAID/Uganda has the opportunity to enhance the </w:t>
      </w:r>
      <w:r>
        <w:rPr>
          <w:rFonts w:ascii="Times New Roman" w:eastAsia="Times New Roman" w:hAnsi="Times New Roman" w:cs="Times New Roman"/>
          <w:i/>
          <w:sz w:val="24"/>
          <w:szCs w:val="24"/>
        </w:rPr>
        <w:t>de facto</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de jure</w:t>
      </w:r>
      <w:r>
        <w:rPr>
          <w:rFonts w:ascii="Times New Roman" w:eastAsia="Times New Roman" w:hAnsi="Times New Roman" w:cs="Times New Roman"/>
          <w:sz w:val="24"/>
          <w:szCs w:val="24"/>
        </w:rPr>
        <w:t xml:space="preserve"> practices around women and land tenure. Democracy and governance activities can and should continue to promote access to justice for women around land rights. Resilience programming should consider both supply-side and demand-side interventions to increase realization of women’s land rights. Engaging women and creating citizen demand for realization of rights is necessary. USAID/Uganda can also engage justice sector officials on the laws and rights surrounding spousal consent for property transfer and land ownership, and public discourse on cultural practices that deprive women of land rights and inheritance to ensure that women who demand for their rights are met with judicial and governmental support for their rights-based demands. Agriculture and integrated resilience programming must also address barriers to equal participation and land rights among women and especially female headed households. </w:t>
      </w:r>
    </w:p>
    <w:p w14:paraId="273E5F5A" w14:textId="77777777" w:rsidR="00F92D8F" w:rsidRDefault="00F92D8F" w:rsidP="00F92D8F">
      <w:r>
        <w:rPr>
          <w:rFonts w:ascii="Times New Roman" w:eastAsia="Times New Roman" w:hAnsi="Times New Roman" w:cs="Times New Roman"/>
          <w:sz w:val="24"/>
          <w:szCs w:val="24"/>
        </w:rPr>
        <w:lastRenderedPageBreak/>
        <w:t xml:space="preserve">Programmatic interventions combining a rights-based approach to land ownership may have transformational effects for vulnerable households in Uganda. USAID/Uganda should seek to test that hypothesis and gather evidence during subsequent programming and future designs. USAID/Uganda can and should draw from the lesson it has learned during implementation of the Rights Empowerment in Northern Uganda activity. This activity has targeted land and property rights for women in the Acholi sub-region of Northern Uganda and will conclude in 2016. </w:t>
      </w:r>
    </w:p>
    <w:p w14:paraId="1EDCB4D2" w14:textId="5E35AA27" w:rsidR="00F92D8F" w:rsidRDefault="00F92D8F" w:rsidP="00F92D8F">
      <w:r>
        <w:rPr>
          <w:rFonts w:ascii="Times New Roman" w:eastAsia="Times New Roman" w:hAnsi="Times New Roman" w:cs="Times New Roman"/>
          <w:sz w:val="24"/>
          <w:szCs w:val="24"/>
        </w:rPr>
        <w:t xml:space="preserve">Uganda has a strong network of civil society organizations </w:t>
      </w:r>
      <w:r w:rsidR="00345229">
        <w:rPr>
          <w:rFonts w:ascii="Times New Roman" w:eastAsia="Times New Roman" w:hAnsi="Times New Roman" w:cs="Times New Roman"/>
          <w:sz w:val="24"/>
          <w:szCs w:val="24"/>
        </w:rPr>
        <w:t>that</w:t>
      </w:r>
      <w:r>
        <w:rPr>
          <w:rFonts w:ascii="Times New Roman" w:eastAsia="Times New Roman" w:hAnsi="Times New Roman" w:cs="Times New Roman"/>
          <w:sz w:val="24"/>
          <w:szCs w:val="24"/>
        </w:rPr>
        <w:t xml:space="preserve"> have supported enhanced land rights for women. The Ugandan Women’s Manifesto of 2016 - 2021 prioritizes land and property rights as the second most important issue - behind health care - to address over the next five years. Specifically, the Manifesto includes the following demands, which USAID/Uganda should consider to enhance resilience: </w:t>
      </w:r>
    </w:p>
    <w:p w14:paraId="1411ADD0" w14:textId="77777777" w:rsidR="00F92D8F" w:rsidRDefault="00F92D8F" w:rsidP="00F92D8F">
      <w:r>
        <w:rPr>
          <w:rFonts w:ascii="Times New Roman" w:eastAsia="Times New Roman" w:hAnsi="Times New Roman" w:cs="Times New Roman"/>
          <w:sz w:val="24"/>
          <w:szCs w:val="24"/>
        </w:rPr>
        <w:t>1. Institute mechanisms through policy regulations and programs to enhance observance of joint spousal co-ownership of family land and property as provided for the in the new land policy, 2013.</w:t>
      </w:r>
    </w:p>
    <w:p w14:paraId="0545D005" w14:textId="77777777" w:rsidR="00F92D8F" w:rsidRDefault="00F92D8F" w:rsidP="00F92D8F">
      <w:r>
        <w:rPr>
          <w:rFonts w:ascii="Times New Roman" w:eastAsia="Times New Roman" w:hAnsi="Times New Roman" w:cs="Times New Roman"/>
          <w:sz w:val="24"/>
          <w:szCs w:val="24"/>
        </w:rPr>
        <w:t>2. In addition, the Marriage and Divorce Bill, 2009 which proposes married persons and cohabitants to make arrangements as to how property will be owned at, during and after dissolution of marriage must be considered and passed.</w:t>
      </w:r>
    </w:p>
    <w:p w14:paraId="6249FFEB" w14:textId="77777777" w:rsidR="00F92D8F" w:rsidRDefault="00F92D8F" w:rsidP="00F92D8F">
      <w:r>
        <w:rPr>
          <w:rFonts w:ascii="Times New Roman" w:eastAsia="Times New Roman" w:hAnsi="Times New Roman" w:cs="Times New Roman"/>
          <w:sz w:val="24"/>
          <w:szCs w:val="24"/>
        </w:rPr>
        <w:t>3. Establish a land fund for women to enable them own and control land.</w:t>
      </w:r>
    </w:p>
    <w:p w14:paraId="4BEBCBBD" w14:textId="77777777" w:rsidR="00F92D8F" w:rsidRDefault="00F92D8F" w:rsidP="00F92D8F">
      <w:r>
        <w:rPr>
          <w:rFonts w:ascii="Times New Roman" w:eastAsia="Times New Roman" w:hAnsi="Times New Roman" w:cs="Times New Roman"/>
          <w:sz w:val="24"/>
          <w:szCs w:val="24"/>
        </w:rPr>
        <w:t>4. Engage cultural institutions to popularize the Land (Amendment) Act (2010) and to promote ownership and inheritance of land by women/girls.</w:t>
      </w:r>
    </w:p>
    <w:p w14:paraId="2FF3E4AF" w14:textId="77777777" w:rsidR="00F92D8F" w:rsidRDefault="00F92D8F" w:rsidP="00F92D8F">
      <w:r>
        <w:rPr>
          <w:rFonts w:ascii="Times New Roman" w:eastAsia="Times New Roman" w:hAnsi="Times New Roman" w:cs="Times New Roman"/>
          <w:sz w:val="24"/>
          <w:szCs w:val="24"/>
        </w:rPr>
        <w:t>5. Design specific policy and program measures to protect widows from property and land grabbing predominantly by in-laws and relatives.</w:t>
      </w:r>
      <w:r>
        <w:rPr>
          <w:rFonts w:ascii="Times New Roman" w:eastAsia="Times New Roman" w:hAnsi="Times New Roman" w:cs="Times New Roman"/>
          <w:sz w:val="24"/>
          <w:szCs w:val="24"/>
          <w:vertAlign w:val="superscript"/>
        </w:rPr>
        <w:footnoteReference w:id="68"/>
      </w:r>
    </w:p>
    <w:p w14:paraId="3A98CAF1" w14:textId="77777777" w:rsidR="00F92D8F" w:rsidRDefault="00F92D8F" w:rsidP="00F92D8F">
      <w:r>
        <w:rPr>
          <w:rFonts w:ascii="Times New Roman" w:eastAsia="Times New Roman" w:hAnsi="Times New Roman" w:cs="Times New Roman"/>
          <w:sz w:val="24"/>
          <w:szCs w:val="24"/>
          <w:u w:val="single"/>
        </w:rPr>
        <w:t xml:space="preserve">Agriculture, Employment, and Time Use  </w:t>
      </w:r>
    </w:p>
    <w:p w14:paraId="12AE5054" w14:textId="22C004BB" w:rsidR="00F92D8F" w:rsidRDefault="00F92D8F" w:rsidP="00F92D8F">
      <w:r>
        <w:rPr>
          <w:rFonts w:ascii="Times New Roman" w:eastAsia="Times New Roman" w:hAnsi="Times New Roman" w:cs="Times New Roman"/>
          <w:sz w:val="24"/>
          <w:szCs w:val="24"/>
        </w:rPr>
        <w:t>Agriculture is the largest sector in the Ugandan economy and employs the largest share of the country’s workforce. Data on the proportion of women in the Ugandan agriculture sector ranges from 56 per cent</w:t>
      </w:r>
      <w:r>
        <w:rPr>
          <w:rFonts w:ascii="Times New Roman" w:eastAsia="Times New Roman" w:hAnsi="Times New Roman" w:cs="Times New Roman"/>
          <w:sz w:val="24"/>
          <w:szCs w:val="24"/>
          <w:vertAlign w:val="superscript"/>
        </w:rPr>
        <w:footnoteReference w:id="69"/>
      </w:r>
      <w:r>
        <w:rPr>
          <w:rFonts w:ascii="Times New Roman" w:eastAsia="Times New Roman" w:hAnsi="Times New Roman" w:cs="Times New Roman"/>
          <w:sz w:val="24"/>
          <w:szCs w:val="24"/>
        </w:rPr>
        <w:t xml:space="preserve"> to 77 per cent</w:t>
      </w:r>
      <w:r w:rsidR="00EA29CC">
        <w:rPr>
          <w:rStyle w:val="FootnoteReference"/>
          <w:rFonts w:ascii="Times New Roman" w:eastAsia="Times New Roman" w:hAnsi="Times New Roman" w:cs="Times New Roman"/>
          <w:sz w:val="24"/>
          <w:szCs w:val="24"/>
        </w:rPr>
        <w:footnoteReference w:id="70"/>
      </w:r>
      <w:r>
        <w:rPr>
          <w:rFonts w:ascii="Times New Roman" w:eastAsia="Times New Roman" w:hAnsi="Times New Roman" w:cs="Times New Roman"/>
          <w:sz w:val="24"/>
          <w:szCs w:val="24"/>
        </w:rPr>
        <w:t>. According to the Ugandan Bureau of Statistics, agriculture employs 71.4 per cent of the Ugandan workforce</w:t>
      </w:r>
      <w:r>
        <w:rPr>
          <w:rFonts w:ascii="Times New Roman" w:eastAsia="Times New Roman" w:hAnsi="Times New Roman" w:cs="Times New Roman"/>
          <w:sz w:val="24"/>
          <w:szCs w:val="24"/>
          <w:vertAlign w:val="superscript"/>
        </w:rPr>
        <w:footnoteReference w:id="71"/>
      </w:r>
      <w:r>
        <w:rPr>
          <w:rFonts w:ascii="Times New Roman" w:eastAsia="Times New Roman" w:hAnsi="Times New Roman" w:cs="Times New Roman"/>
          <w:sz w:val="24"/>
          <w:szCs w:val="24"/>
        </w:rPr>
        <w:t>. Of the total number of women in the workforce, 77 per cent of women work in agriculture</w:t>
      </w:r>
      <w:r>
        <w:rPr>
          <w:rFonts w:ascii="Times New Roman" w:eastAsia="Times New Roman" w:hAnsi="Times New Roman" w:cs="Times New Roman"/>
          <w:sz w:val="24"/>
          <w:szCs w:val="24"/>
          <w:vertAlign w:val="superscript"/>
        </w:rPr>
        <w:footnoteReference w:id="72"/>
      </w:r>
      <w:r>
        <w:rPr>
          <w:rFonts w:ascii="Times New Roman" w:eastAsia="Times New Roman" w:hAnsi="Times New Roman" w:cs="Times New Roman"/>
          <w:sz w:val="24"/>
          <w:szCs w:val="24"/>
        </w:rPr>
        <w:t xml:space="preserve"> yet they remain marginalized with less access to land and credit. </w:t>
      </w:r>
    </w:p>
    <w:p w14:paraId="444C52A6" w14:textId="77777777" w:rsidR="00F92D8F" w:rsidRDefault="00F92D8F" w:rsidP="00F92D8F">
      <w:r>
        <w:rPr>
          <w:rFonts w:ascii="Times New Roman" w:eastAsia="Times New Roman" w:hAnsi="Times New Roman" w:cs="Times New Roman"/>
          <w:sz w:val="24"/>
          <w:szCs w:val="24"/>
        </w:rPr>
        <w:lastRenderedPageBreak/>
        <w:t>Women’s roles in agriculture vary with geography and age. 80.5 per cent of women in rural Uganda work in agriculture</w:t>
      </w:r>
      <w:r>
        <w:rPr>
          <w:rFonts w:ascii="Times New Roman" w:eastAsia="Times New Roman" w:hAnsi="Times New Roman" w:cs="Times New Roman"/>
          <w:sz w:val="24"/>
          <w:szCs w:val="24"/>
          <w:vertAlign w:val="superscript"/>
        </w:rPr>
        <w:footnoteReference w:id="73"/>
      </w:r>
      <w:r>
        <w:rPr>
          <w:rFonts w:ascii="Times New Roman" w:eastAsia="Times New Roman" w:hAnsi="Times New Roman" w:cs="Times New Roman"/>
          <w:sz w:val="24"/>
          <w:szCs w:val="24"/>
        </w:rPr>
        <w:t>, while the figure is only 20.3 per cent in urban areas. Agriculture employs a greater proportion of young women than young men in Uganda</w:t>
      </w:r>
      <w:r>
        <w:rPr>
          <w:rFonts w:ascii="Times New Roman" w:eastAsia="Times New Roman" w:hAnsi="Times New Roman" w:cs="Times New Roman"/>
          <w:sz w:val="24"/>
          <w:szCs w:val="24"/>
          <w:vertAlign w:val="superscript"/>
        </w:rPr>
        <w:footnoteReference w:id="74"/>
      </w:r>
      <w:r>
        <w:rPr>
          <w:rFonts w:ascii="Times New Roman" w:eastAsia="Times New Roman" w:hAnsi="Times New Roman" w:cs="Times New Roman"/>
          <w:sz w:val="24"/>
          <w:szCs w:val="24"/>
        </w:rPr>
        <w:t>. Women and men’s roles in agriculture differ. Men mostly take responsibility for cash-crop farming and income-generation from agriculture. Women are responsible for subsistence farming and cooking. Women are more likely than men to engage in unpaid work. The Ugandan Bureau of Statistics (UBS) estimates that women spend about 10 times the amount of time as their spouses or partners on unpaid domestic work. For paid labor, the UBS estimates that men employed in the formal sector earn double what women in similar sectors earn</w:t>
      </w:r>
      <w:r>
        <w:rPr>
          <w:rFonts w:ascii="Times New Roman" w:eastAsia="Times New Roman" w:hAnsi="Times New Roman" w:cs="Times New Roman"/>
          <w:sz w:val="24"/>
          <w:szCs w:val="24"/>
          <w:vertAlign w:val="superscript"/>
        </w:rPr>
        <w:footnoteReference w:id="75"/>
      </w:r>
      <w:r>
        <w:rPr>
          <w:rFonts w:ascii="Times New Roman" w:eastAsia="Times New Roman" w:hAnsi="Times New Roman" w:cs="Times New Roman"/>
          <w:sz w:val="24"/>
          <w:szCs w:val="24"/>
        </w:rPr>
        <w:t xml:space="preserve">. </w:t>
      </w:r>
    </w:p>
    <w:p w14:paraId="3F0B839F" w14:textId="77777777" w:rsidR="00F92D8F" w:rsidRDefault="00F92D8F" w:rsidP="00F92D8F">
      <w:r>
        <w:rPr>
          <w:rFonts w:ascii="Times New Roman" w:eastAsia="Times New Roman" w:hAnsi="Times New Roman" w:cs="Times New Roman"/>
          <w:sz w:val="24"/>
          <w:szCs w:val="24"/>
        </w:rPr>
        <w:t>The USAID Feed the Future Women’s Empowerment in Agriculture Index (WEAI) measures five dimensions of men and women’s empowerment in agriculture - production, leadership, income, resources, and time use</w:t>
      </w:r>
      <w:r>
        <w:rPr>
          <w:rFonts w:ascii="Times New Roman" w:eastAsia="Times New Roman" w:hAnsi="Times New Roman" w:cs="Times New Roman"/>
          <w:sz w:val="24"/>
          <w:szCs w:val="24"/>
          <w:vertAlign w:val="superscript"/>
        </w:rPr>
        <w:footnoteReference w:id="76"/>
      </w:r>
      <w:r>
        <w:rPr>
          <w:rFonts w:ascii="Times New Roman" w:eastAsia="Times New Roman" w:hAnsi="Times New Roman" w:cs="Times New Roman"/>
          <w:sz w:val="24"/>
          <w:szCs w:val="24"/>
        </w:rPr>
        <w:t>. In 2012 the composite data collected for the index classifies 43.3 percent of women and 63.0 percent of men as “empowered” according to the five dimensions in the framework. The WEAI cites time burden and lack of control over resources as major contributors to disempowerment for women. Ugandan data also identified a lack of decision making power around agricultural production that contributes to male disempowerment in agriculture</w:t>
      </w:r>
      <w:r>
        <w:rPr>
          <w:rFonts w:ascii="Times New Roman" w:eastAsia="Times New Roman" w:hAnsi="Times New Roman" w:cs="Times New Roman"/>
          <w:sz w:val="24"/>
          <w:szCs w:val="24"/>
          <w:vertAlign w:val="superscript"/>
        </w:rPr>
        <w:footnoteReference w:id="77"/>
      </w:r>
      <w:r>
        <w:rPr>
          <w:rFonts w:ascii="Times New Roman" w:eastAsia="Times New Roman" w:hAnsi="Times New Roman" w:cs="Times New Roman"/>
          <w:sz w:val="24"/>
          <w:szCs w:val="24"/>
        </w:rPr>
        <w:t xml:space="preserve">. </w:t>
      </w:r>
    </w:p>
    <w:p w14:paraId="37C53205" w14:textId="77777777" w:rsidR="00F92D8F" w:rsidRDefault="00F92D8F" w:rsidP="00F92D8F">
      <w:r>
        <w:rPr>
          <w:noProof/>
        </w:rPr>
        <w:lastRenderedPageBreak/>
        <w:drawing>
          <wp:inline distT="114300" distB="114300" distL="114300" distR="114300" wp14:anchorId="59FDB3D9" wp14:editId="74E96DD6">
            <wp:extent cx="5295900" cy="4391025"/>
            <wp:effectExtent l="0" t="0" r="0" b="0"/>
            <wp:docPr id="6"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7"/>
                    <a:srcRect/>
                    <a:stretch>
                      <a:fillRect/>
                    </a:stretch>
                  </pic:blipFill>
                  <pic:spPr>
                    <a:xfrm>
                      <a:off x="0" y="0"/>
                      <a:ext cx="5295900" cy="4391025"/>
                    </a:xfrm>
                    <a:prstGeom prst="rect">
                      <a:avLst/>
                    </a:prstGeom>
                    <a:ln/>
                  </pic:spPr>
                </pic:pic>
              </a:graphicData>
            </a:graphic>
          </wp:inline>
        </w:drawing>
      </w:r>
    </w:p>
    <w:p w14:paraId="231CB9B1" w14:textId="77777777" w:rsidR="00F92D8F" w:rsidRDefault="00F92D8F" w:rsidP="00F92D8F">
      <w:r>
        <w:rPr>
          <w:rFonts w:ascii="Times New Roman" w:eastAsia="Times New Roman" w:hAnsi="Times New Roman" w:cs="Times New Roman"/>
          <w:sz w:val="20"/>
          <w:szCs w:val="20"/>
        </w:rPr>
        <w:t>International Food Policy Research Institute WEAI 2012 Discussion Paper</w:t>
      </w:r>
    </w:p>
    <w:p w14:paraId="200C86E8" w14:textId="77777777" w:rsidR="00F92D8F" w:rsidRDefault="00F92D8F" w:rsidP="00F92D8F">
      <w:r>
        <w:rPr>
          <w:rFonts w:ascii="Times New Roman" w:eastAsia="Times New Roman" w:hAnsi="Times New Roman" w:cs="Times New Roman"/>
          <w:sz w:val="24"/>
          <w:szCs w:val="24"/>
        </w:rPr>
        <w:t>With respect to productivity, agricultural plots managed by women in Uganda are less productive than plots managed by men or jointly managed plots. Agriculture extension services may not be responsive to women’s needs and inputs and the resources required to purchase those inputs are not within reach of most women. Plots of land managed by men are twice as likely as women-managed plots to use fertilizer and pesticide</w:t>
      </w:r>
      <w:r>
        <w:rPr>
          <w:rFonts w:ascii="Times New Roman" w:eastAsia="Times New Roman" w:hAnsi="Times New Roman" w:cs="Times New Roman"/>
          <w:sz w:val="24"/>
          <w:szCs w:val="24"/>
          <w:vertAlign w:val="superscript"/>
        </w:rPr>
        <w:footnoteReference w:id="78"/>
      </w:r>
      <w:r>
        <w:rPr>
          <w:rFonts w:ascii="Times New Roman" w:eastAsia="Times New Roman" w:hAnsi="Times New Roman" w:cs="Times New Roman"/>
          <w:sz w:val="24"/>
          <w:szCs w:val="24"/>
        </w:rPr>
        <w:t xml:space="preserve">. The amount of time women spend on childcare, other domestic tasks, and productivity lost to gender-based violence and other health issues also contribute to the lower productivity. </w:t>
      </w:r>
    </w:p>
    <w:p w14:paraId="1BA03053" w14:textId="77777777" w:rsidR="00F92D8F" w:rsidRDefault="00F92D8F" w:rsidP="00F92D8F">
      <w:r>
        <w:rPr>
          <w:rFonts w:ascii="Times New Roman" w:eastAsia="Times New Roman" w:hAnsi="Times New Roman" w:cs="Times New Roman"/>
          <w:sz w:val="24"/>
          <w:szCs w:val="24"/>
        </w:rPr>
        <w:t xml:space="preserve">Enhancing female agricultural productivity in Uganda is critical for resilience and achieving the goals of the United States Government Feed the Future Initiative. Feed the Future in Uganda focuses on improving yields and increasing nutrition in selected value chains. USAID/Uganda has successfully integrated agriculture, nutrition, and gender equality via the Community Connector activity to achieve these goals. As cited in the discussion around Development Objective 2, continued integration of women’s empowerment into agricultural programming - </w:t>
      </w:r>
      <w:r>
        <w:rPr>
          <w:rFonts w:ascii="Times New Roman" w:eastAsia="Times New Roman" w:hAnsi="Times New Roman" w:cs="Times New Roman"/>
          <w:sz w:val="24"/>
          <w:szCs w:val="24"/>
        </w:rPr>
        <w:lastRenderedPageBreak/>
        <w:t xml:space="preserve">including Feed the Future and Food for Peace programs under the forthcoming USAID/Uganda strategy - can have greater impact for nutrition and child health than stand-alone activities. </w:t>
      </w:r>
    </w:p>
    <w:p w14:paraId="6B6AA2E9" w14:textId="42028F05" w:rsidR="00F92D8F" w:rsidRDefault="00F92D8F" w:rsidP="00F92D8F">
      <w:r>
        <w:rPr>
          <w:rFonts w:ascii="Times New Roman" w:eastAsia="Times New Roman" w:hAnsi="Times New Roman" w:cs="Times New Roman"/>
          <w:sz w:val="24"/>
          <w:szCs w:val="24"/>
        </w:rPr>
        <w:t>Women’s empowerment in agriculture also requires greater access to credit and income. In Uganda, the gender gaps in agriculture are exacerbated by the gender gap in financial literacy and land rights</w:t>
      </w:r>
      <w:r w:rsidR="00EA29CC">
        <w:rPr>
          <w:rStyle w:val="FootnoteReference"/>
          <w:rFonts w:ascii="Times New Roman" w:eastAsia="Times New Roman" w:hAnsi="Times New Roman" w:cs="Times New Roman"/>
          <w:sz w:val="24"/>
          <w:szCs w:val="24"/>
        </w:rPr>
        <w:footnoteReference w:id="79"/>
      </w:r>
      <w:r>
        <w:rPr>
          <w:rFonts w:ascii="Times New Roman" w:eastAsia="Times New Roman" w:hAnsi="Times New Roman" w:cs="Times New Roman"/>
          <w:sz w:val="24"/>
          <w:szCs w:val="24"/>
        </w:rPr>
        <w:t>. Women are largely unable to access financial services in Uganda. Even as mobile and digital financial services grow to near ubiquity among mobile providers, women remain underserved and unbanked</w:t>
      </w:r>
      <w:r>
        <w:rPr>
          <w:rFonts w:ascii="Times New Roman" w:eastAsia="Times New Roman" w:hAnsi="Times New Roman" w:cs="Times New Roman"/>
          <w:sz w:val="24"/>
          <w:szCs w:val="24"/>
          <w:vertAlign w:val="superscript"/>
        </w:rPr>
        <w:footnoteReference w:id="80"/>
      </w:r>
      <w:r>
        <w:rPr>
          <w:rFonts w:ascii="Times New Roman" w:eastAsia="Times New Roman" w:hAnsi="Times New Roman" w:cs="Times New Roman"/>
          <w:sz w:val="24"/>
          <w:szCs w:val="24"/>
        </w:rPr>
        <w:t xml:space="preserve">. Ugandan women’s rights organizations also listed economic empowerment among the top five priorities for the next five years. This aligns with the USAID/Uganda strategic focus on increasing household and community resilience. </w:t>
      </w:r>
    </w:p>
    <w:p w14:paraId="74F8BEC6" w14:textId="6898E484" w:rsidR="00F92D8F" w:rsidRDefault="00F92D8F" w:rsidP="00F92D8F">
      <w:r>
        <w:rPr>
          <w:rFonts w:ascii="Times New Roman" w:eastAsia="Times New Roman" w:hAnsi="Times New Roman" w:cs="Times New Roman"/>
          <w:sz w:val="24"/>
          <w:szCs w:val="24"/>
        </w:rPr>
        <w:t>The agriculture sector, and specifically Feed the Future, has been an entry point for enhancing financial literacy among women. The Village Savings and Loan and Saving with a Purpose models that have been deployed in ongoing USAID/Uganda programs like Community Connector should be further examined and evaluated for their impact in increasing household savings, closing the gender gap in income, and empowering women in agriculture. Emerging evidence shows that microcredit models are not effective for poverty alleviation. While households with access to microloans have greater decision making power of the use of money, microcredit does not alleviate poverty in the short run (18 months) or long run (6 years)</w:t>
      </w:r>
      <w:r>
        <w:rPr>
          <w:rFonts w:ascii="Times New Roman" w:eastAsia="Times New Roman" w:hAnsi="Times New Roman" w:cs="Times New Roman"/>
          <w:sz w:val="24"/>
          <w:szCs w:val="24"/>
          <w:vertAlign w:val="superscript"/>
        </w:rPr>
        <w:footnoteReference w:id="81"/>
      </w:r>
      <w:r>
        <w:rPr>
          <w:rFonts w:ascii="Times New Roman" w:eastAsia="Times New Roman" w:hAnsi="Times New Roman" w:cs="Times New Roman"/>
          <w:sz w:val="24"/>
          <w:szCs w:val="24"/>
        </w:rPr>
        <w:t xml:space="preserve">. Economic empowerment requires more than access to finance. USAID/Uganda should view access to finance as part of the enabling environment for economic empowerment and address additional barriers that women face to economic independence. </w:t>
      </w:r>
      <w:r w:rsidR="00345229">
        <w:rPr>
          <w:rFonts w:ascii="Times New Roman" w:eastAsia="Times New Roman" w:hAnsi="Times New Roman" w:cs="Times New Roman"/>
          <w:sz w:val="24"/>
          <w:szCs w:val="24"/>
        </w:rPr>
        <w:t>USAID/Uganda should consider i</w:t>
      </w:r>
      <w:bookmarkStart w:id="0" w:name="_GoBack"/>
      <w:bookmarkEnd w:id="0"/>
      <w:r>
        <w:rPr>
          <w:rFonts w:ascii="Times New Roman" w:eastAsia="Times New Roman" w:hAnsi="Times New Roman" w:cs="Times New Roman"/>
          <w:sz w:val="24"/>
          <w:szCs w:val="24"/>
        </w:rPr>
        <w:t xml:space="preserve">ncreasing basic literacy and numeracy, supporting entrepreneurship skills, securing land rights, and promoting equitable household division of labor among men and women. </w:t>
      </w:r>
    </w:p>
    <w:p w14:paraId="05BBB522" w14:textId="77777777" w:rsidR="00F92D8F" w:rsidRDefault="00F92D8F" w:rsidP="00F92D8F">
      <w:r>
        <w:rPr>
          <w:rFonts w:ascii="Times New Roman" w:eastAsia="Times New Roman" w:hAnsi="Times New Roman" w:cs="Times New Roman"/>
          <w:sz w:val="24"/>
          <w:szCs w:val="24"/>
        </w:rPr>
        <w:t>Time use is a barrier to women’s empowerment in agriculture and overall women’s economic empowerment. The most recent Uganda National Household Survey from 2010/2011 confirms that women and girls spend more hours per week than men in “care labour” activities including domestic chores, child, and elder care. An older report from the Ministry of Finance report estimates that poor Ugandan women work 15 hours per day on average in both economic and household labor. In comparison, men work between 8 and 10 hours per day</w:t>
      </w:r>
      <w:r>
        <w:rPr>
          <w:rFonts w:ascii="Times New Roman" w:eastAsia="Times New Roman" w:hAnsi="Times New Roman" w:cs="Times New Roman"/>
          <w:sz w:val="24"/>
          <w:szCs w:val="24"/>
          <w:vertAlign w:val="superscript"/>
        </w:rPr>
        <w:footnoteReference w:id="82"/>
      </w:r>
      <w:r>
        <w:rPr>
          <w:rFonts w:ascii="Times New Roman" w:eastAsia="Times New Roman" w:hAnsi="Times New Roman" w:cs="Times New Roman"/>
          <w:sz w:val="24"/>
          <w:szCs w:val="24"/>
        </w:rPr>
        <w:t xml:space="preserve">. </w:t>
      </w:r>
    </w:p>
    <w:p w14:paraId="0D208EEE" w14:textId="77777777" w:rsidR="00F92D8F" w:rsidRDefault="00F92D8F" w:rsidP="00F92D8F">
      <w:r>
        <w:rPr>
          <w:rFonts w:ascii="Times New Roman" w:eastAsia="Times New Roman" w:hAnsi="Times New Roman" w:cs="Times New Roman"/>
          <w:sz w:val="24"/>
          <w:szCs w:val="24"/>
        </w:rPr>
        <w:t xml:space="preserve">USAID has addressed time use disparities and gendered division of labor in both Feed the Future and Food for Peace programming. The ongoing Resiliency through Wealth, Agriculture and Nutrition (RWANU) program in Karamoja can provide evidence for future interventions related to the male change-agent model that the program employs. Future program designs should </w:t>
      </w:r>
      <w:r>
        <w:rPr>
          <w:rFonts w:ascii="Times New Roman" w:eastAsia="Times New Roman" w:hAnsi="Times New Roman" w:cs="Times New Roman"/>
          <w:sz w:val="24"/>
          <w:szCs w:val="24"/>
        </w:rPr>
        <w:lastRenderedPageBreak/>
        <w:t xml:space="preserve">evaluate the data and evidence collected by RWANU as it trained male change agents as part of its overall community resilience program. </w:t>
      </w:r>
    </w:p>
    <w:p w14:paraId="3517EF11" w14:textId="77777777" w:rsidR="00F92D8F" w:rsidRDefault="00F92D8F" w:rsidP="00F92D8F">
      <w:r>
        <w:rPr>
          <w:rFonts w:ascii="Times New Roman" w:eastAsia="Times New Roman" w:hAnsi="Times New Roman" w:cs="Times New Roman"/>
          <w:sz w:val="24"/>
          <w:szCs w:val="24"/>
          <w:u w:val="single"/>
        </w:rPr>
        <w:t xml:space="preserve">Male and Youth Empowerment </w:t>
      </w:r>
    </w:p>
    <w:p w14:paraId="723B3843" w14:textId="4E775206" w:rsidR="00F92D8F" w:rsidRDefault="00F92D8F" w:rsidP="00F92D8F">
      <w:r>
        <w:rPr>
          <w:rFonts w:ascii="Times New Roman" w:eastAsia="Times New Roman" w:hAnsi="Times New Roman" w:cs="Times New Roman"/>
          <w:sz w:val="24"/>
          <w:szCs w:val="24"/>
        </w:rPr>
        <w:t>Empowerment of all citizens and inclusivity for men, women, youth, and other groups is also important to ensure community and household resilience. Vulnerability is not limited to poor women in Uganda. Young men are also disempowered and often alienated. Youth in Uganda are generally less able to make decisions over the use of resources such as land than elders</w:t>
      </w:r>
      <w:r w:rsidR="00EA29CC">
        <w:rPr>
          <w:rStyle w:val="FootnoteReference"/>
          <w:rFonts w:ascii="Times New Roman" w:eastAsia="Times New Roman" w:hAnsi="Times New Roman" w:cs="Times New Roman"/>
          <w:sz w:val="24"/>
          <w:szCs w:val="24"/>
        </w:rPr>
        <w:footnoteReference w:id="83"/>
      </w:r>
      <w:r>
        <w:rPr>
          <w:rFonts w:ascii="Times New Roman" w:eastAsia="Times New Roman" w:hAnsi="Times New Roman" w:cs="Times New Roman"/>
          <w:sz w:val="24"/>
          <w:szCs w:val="24"/>
        </w:rPr>
        <w:t xml:space="preserve">; however data about youth empowerment and resilience are lacking. Based on USAID experiences with resilience in sub-Saharan Africa including the Sahel and Horn of Africa, youth disempowerment can contribute to household vulnerability. The 2013 USAID vulnerability assessment that focuses predominantly on climate change calls for active participation among women, men, youth, elders, and ethnicities in order to maximize the range of adaptive interventions that can help households and communities adapt to shocks and stresses like drought or climate variability. USAID/Uganda’s operational learning agenda should include understanding of the roles that youth and especially men play in resilience in Uganda. </w:t>
      </w:r>
    </w:p>
    <w:p w14:paraId="64EA616B" w14:textId="77777777" w:rsidR="00F92D8F" w:rsidRDefault="00F92D8F" w:rsidP="00F92D8F">
      <w:pPr>
        <w:spacing w:line="240" w:lineRule="auto"/>
      </w:pPr>
    </w:p>
    <w:p w14:paraId="0EA8221C" w14:textId="77777777" w:rsidR="00F92D8F" w:rsidRDefault="00F92D8F" w:rsidP="00F92D8F">
      <w:pPr>
        <w:spacing w:line="240" w:lineRule="auto"/>
      </w:pPr>
    </w:p>
    <w:p w14:paraId="633156A6" w14:textId="77777777" w:rsidR="00F92D8F" w:rsidRDefault="00F92D8F" w:rsidP="00F92D8F"/>
    <w:p w14:paraId="72335817" w14:textId="58CCBFEC" w:rsidR="00F92D8F" w:rsidRDefault="00F92D8F" w:rsidP="00F92D8F">
      <w:r>
        <w:br w:type="page"/>
      </w:r>
      <w:r>
        <w:rPr>
          <w:rFonts w:ascii="Times New Roman" w:eastAsia="Times New Roman" w:hAnsi="Times New Roman" w:cs="Times New Roman"/>
          <w:b/>
          <w:sz w:val="24"/>
          <w:szCs w:val="24"/>
        </w:rPr>
        <w:lastRenderedPageBreak/>
        <w:t xml:space="preserve">Special Objective: HIV/AIDS Epidemic Control </w:t>
      </w:r>
    </w:p>
    <w:p w14:paraId="36C75581" w14:textId="77777777" w:rsidR="00F92D8F" w:rsidRDefault="00F92D8F" w:rsidP="00F92D8F">
      <w:r>
        <w:rPr>
          <w:rFonts w:ascii="Times New Roman" w:eastAsia="Times New Roman" w:hAnsi="Times New Roman" w:cs="Times New Roman"/>
          <w:sz w:val="24"/>
          <w:szCs w:val="24"/>
        </w:rPr>
        <w:t xml:space="preserve">USAID/Uganda has prioritized HIV/AIDS epidemic control as a special objective in the country strategy. The special objective differs from the other three development objectives because it focuses on activities more akin to humanitarian assistance than longer-term development.  The special objective is part of the USAID/Uganda strategy and it is also coordinated with and overseen by the Office of The Global AIDS Coordinator (OGAC). OGAC leads the implementation of the President’s Emergency Plan for AIDS Relief (PEPFAR). USAID/Uganda plans activities under the special objective through the Uganda Country Operational Plan (COP). Other U.S. Government agencies, including the Centers for Disease Control and Prevention, Department of State, and Department of Defense, will support the PEPFAR Country Operational Plan. </w:t>
      </w:r>
    </w:p>
    <w:p w14:paraId="1828061D" w14:textId="77777777" w:rsidR="00F92D8F" w:rsidRDefault="00F92D8F" w:rsidP="00F92D8F">
      <w:r>
        <w:rPr>
          <w:rFonts w:ascii="Times New Roman" w:eastAsia="Times New Roman" w:hAnsi="Times New Roman" w:cs="Times New Roman"/>
          <w:sz w:val="24"/>
          <w:szCs w:val="24"/>
        </w:rPr>
        <w:t xml:space="preserve">The special objective results are expected within a shorter time horizon than the other development objectives in the USAID/Uganda strategy. Measurable progress toward epidemic control is expected within the first two years of the next USAID/Uganda strategy period. In line with the COP and OGAC directives, HIV/AIDS work in Uganda will emphasize viral suppression of the epidemic by providing anti-retroviral (ARV) treatment to HIV-positive Ugandans in key districts determined in consultation with OGAC and articulated in the COP. The viral suppression approach diverges from previous PEPFAR strategies. It privileges treatment-as-prevention and realigns the key districts in which USAID will provide support. </w:t>
      </w:r>
    </w:p>
    <w:p w14:paraId="527F4E9E" w14:textId="77777777" w:rsidR="00F92D8F" w:rsidRDefault="00F92D8F" w:rsidP="00F92D8F">
      <w:r>
        <w:rPr>
          <w:rFonts w:ascii="Times New Roman" w:eastAsia="Times New Roman" w:hAnsi="Times New Roman" w:cs="Times New Roman"/>
          <w:sz w:val="24"/>
          <w:szCs w:val="24"/>
        </w:rPr>
        <w:t xml:space="preserve">USAID/Uganda recognizes that HIV/AIDS control is linked to the other development objectives. Health and resilience support epidemic control. Controlling the HIV/AIDS epidemic also reinforces the health and resilience of the Ugandan people. HIV/AIDS considerations will figure in project design for the other development objectives because it will contribute to stronger health and other systems, a healthier population, and improved household resilience. Most PEPFAR funds will support activities authorized under the special objective; however PEPFAR funds and objectives also complement programming under other development objectives, particularly programs targeting orphans and vulnerable children under Development Objectives 2 and 3. </w:t>
      </w:r>
    </w:p>
    <w:p w14:paraId="78F7D332" w14:textId="77777777" w:rsidR="00F92D8F" w:rsidRDefault="00F92D8F" w:rsidP="00F92D8F">
      <w:r>
        <w:rPr>
          <w:rFonts w:ascii="Times New Roman" w:eastAsia="Times New Roman" w:hAnsi="Times New Roman" w:cs="Times New Roman"/>
          <w:sz w:val="24"/>
          <w:szCs w:val="24"/>
        </w:rPr>
        <w:t xml:space="preserve">This analysis should be understood as a precursor to the required PEPFAR gender analysis due after the completion of the USAID/Uganda CDCS in March 2016. In collaboration with the U.S. Government interagency stakeholders, local civil society organizations, Government of Uganda partners, and other multilateral donors, PEPFAR will conduct a gender analysis focused on epidemic control. The PEPFAR analysis will support the implementation of the PEPFAR Country Operational Plan and aid the U.S. Government and its implementing partners in achieving the goals therein. USAID/Uganda can and should draw from the findings of the PEPFAR gender analysis in designing HIV/AIDS activities under the special objective and also in designing integrated activities pursuant to the other USAID/Uganda development objectives.  </w:t>
      </w:r>
    </w:p>
    <w:p w14:paraId="566E1029" w14:textId="77777777" w:rsidR="00F92D8F" w:rsidRDefault="00F92D8F" w:rsidP="00F92D8F">
      <w:r>
        <w:rPr>
          <w:rFonts w:ascii="Times New Roman" w:eastAsia="Times New Roman" w:hAnsi="Times New Roman" w:cs="Times New Roman"/>
          <w:sz w:val="24"/>
          <w:szCs w:val="24"/>
          <w:u w:val="single"/>
        </w:rPr>
        <w:lastRenderedPageBreak/>
        <w:t>Gender and HIV/AIDS Prevalence</w:t>
      </w:r>
    </w:p>
    <w:p w14:paraId="576EDD6B" w14:textId="77777777" w:rsidR="00F92D8F" w:rsidRDefault="00F92D8F" w:rsidP="00F92D8F">
      <w:r>
        <w:rPr>
          <w:rFonts w:ascii="Times New Roman" w:eastAsia="Times New Roman" w:hAnsi="Times New Roman" w:cs="Times New Roman"/>
          <w:sz w:val="24"/>
          <w:szCs w:val="24"/>
        </w:rPr>
        <w:t>The overall HIV prevalence in Uganda is 7.3 per cent according to the 2011 Uganda AIDS Indicator Survey. HIV prevalence is higher among women in both urban and rural areas of the country</w:t>
      </w:r>
      <w:r>
        <w:rPr>
          <w:rFonts w:ascii="Times New Roman" w:eastAsia="Times New Roman" w:hAnsi="Times New Roman" w:cs="Times New Roman"/>
          <w:sz w:val="24"/>
          <w:szCs w:val="24"/>
          <w:vertAlign w:val="superscript"/>
        </w:rPr>
        <w:footnoteReference w:id="84"/>
      </w:r>
      <w:r>
        <w:rPr>
          <w:rFonts w:ascii="Times New Roman" w:eastAsia="Times New Roman" w:hAnsi="Times New Roman" w:cs="Times New Roman"/>
          <w:sz w:val="24"/>
          <w:szCs w:val="24"/>
        </w:rPr>
        <w:t xml:space="preserve">. The key populations for controlling the epidemic in Uganda include female sex workers and their respective clients and partners - particularly truck drivers - men who have sex with men (MSM), and fisher folk and their sexual partners in the priority districts.  </w:t>
      </w:r>
    </w:p>
    <w:p w14:paraId="53313A9F" w14:textId="77777777" w:rsidR="00F92D8F" w:rsidRDefault="00F92D8F" w:rsidP="00F92D8F">
      <w:r>
        <w:rPr>
          <w:rFonts w:ascii="Times New Roman" w:eastAsia="Times New Roman" w:hAnsi="Times New Roman" w:cs="Times New Roman"/>
          <w:sz w:val="24"/>
          <w:szCs w:val="24"/>
        </w:rPr>
        <w:t xml:space="preserve">The 2011 AIDS Indicator Survey notes an increase in overall HIV prevalence among both women and men since 2005. Young women are particularly affected by the HIV/AIDS epidemic. Reducing mortality from HIV/AIDS can increase the productivity of the working age population, reduce dependency, and help Uganda to realize a demographic dividend. Consider the following data illustrating the rapid increase in prevalence among young women as compared to young men between the ages of 15 and 24: </w:t>
      </w:r>
    </w:p>
    <w:p w14:paraId="22A2BD0E" w14:textId="77777777" w:rsidR="00F92D8F" w:rsidRDefault="00F92D8F" w:rsidP="00F92D8F">
      <w:r>
        <w:rPr>
          <w:noProof/>
        </w:rPr>
        <w:drawing>
          <wp:anchor distT="114300" distB="114300" distL="114300" distR="114300" simplePos="0" relativeHeight="251660288" behindDoc="0" locked="0" layoutInCell="0" hidden="0" allowOverlap="0" wp14:anchorId="3A279B0F" wp14:editId="1C747315">
            <wp:simplePos x="0" y="0"/>
            <wp:positionH relativeFrom="margin">
              <wp:posOffset>-190499</wp:posOffset>
            </wp:positionH>
            <wp:positionV relativeFrom="paragraph">
              <wp:posOffset>0</wp:posOffset>
            </wp:positionV>
            <wp:extent cx="5834063" cy="3493845"/>
            <wp:effectExtent l="0" t="0" r="0" b="0"/>
            <wp:wrapSquare wrapText="bothSides" distT="114300" distB="114300" distL="114300" distR="114300"/>
            <wp:docPr id="9"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8"/>
                    <a:srcRect/>
                    <a:stretch>
                      <a:fillRect/>
                    </a:stretch>
                  </pic:blipFill>
                  <pic:spPr>
                    <a:xfrm>
                      <a:off x="0" y="0"/>
                      <a:ext cx="5834063" cy="3493845"/>
                    </a:xfrm>
                    <a:prstGeom prst="rect">
                      <a:avLst/>
                    </a:prstGeom>
                    <a:ln/>
                  </pic:spPr>
                </pic:pic>
              </a:graphicData>
            </a:graphic>
          </wp:anchor>
        </w:drawing>
      </w:r>
    </w:p>
    <w:p w14:paraId="583B8D03" w14:textId="77777777" w:rsidR="00F92D8F" w:rsidRDefault="00F92D8F" w:rsidP="00F92D8F">
      <w:r>
        <w:rPr>
          <w:rFonts w:ascii="Times New Roman" w:eastAsia="Times New Roman" w:hAnsi="Times New Roman" w:cs="Times New Roman"/>
          <w:sz w:val="24"/>
          <w:szCs w:val="24"/>
        </w:rPr>
        <w:t xml:space="preserve">Other indicators correlated with higher HIV prevalence include lower age at first sexual intercourse, number of lifetime partners, transactional sex, polygamous unions, and alcohol use during sex. </w:t>
      </w:r>
    </w:p>
    <w:p w14:paraId="7F9D9E80" w14:textId="77777777" w:rsidR="00F92D8F" w:rsidRDefault="00F92D8F" w:rsidP="00F92D8F">
      <w:r>
        <w:rPr>
          <w:rFonts w:ascii="Times New Roman" w:eastAsia="Times New Roman" w:hAnsi="Times New Roman" w:cs="Times New Roman"/>
          <w:i/>
          <w:sz w:val="24"/>
          <w:szCs w:val="24"/>
        </w:rPr>
        <w:lastRenderedPageBreak/>
        <w:t xml:space="preserve">Men Who Have Sex with Men </w:t>
      </w:r>
    </w:p>
    <w:p w14:paraId="5CD6A2B6" w14:textId="77777777" w:rsidR="00F92D8F" w:rsidRDefault="00F92D8F" w:rsidP="00F92D8F">
      <w:r>
        <w:rPr>
          <w:rFonts w:ascii="Times New Roman" w:eastAsia="Times New Roman" w:hAnsi="Times New Roman" w:cs="Times New Roman"/>
          <w:sz w:val="24"/>
          <w:szCs w:val="24"/>
        </w:rPr>
        <w:t>Data on prevalence rates among MSM is a striking gap in the Uganda HIV/AIDS data sets. The limited information and planning around MSM key populations is a barrier to epidemic control that USAID/Uganda can address through short term activities targeting MSM groups and longer term human rights dialogue. MSM are a key population within the greater epidemic because HIV/AIDS prevalence within this population is estimated to be nearly two times that of the general population. The harmful limits of the rigid gender binary are acutely obvious within the HIV/AIDS epidemic. Not only are MSM more likely to contract HIV, they are less likely to receive targeted services and support. The double stigma around HIV-positive status and MSM identify hinders care and treatment.  Reducing stigma and discrimination among health care workers can improve the provision of care and treatment.  A study in the Gambia found that “targeted interventions that address stigma with health care workers could facilitate antiretroviral therapy use and timely care seeking for people living with HIV.”</w:t>
      </w:r>
      <w:r>
        <w:rPr>
          <w:rFonts w:ascii="Times New Roman" w:eastAsia="Times New Roman" w:hAnsi="Times New Roman" w:cs="Times New Roman"/>
          <w:sz w:val="24"/>
          <w:szCs w:val="24"/>
          <w:vertAlign w:val="superscript"/>
        </w:rPr>
        <w:footnoteReference w:id="85"/>
      </w:r>
    </w:p>
    <w:p w14:paraId="312D1708" w14:textId="77777777" w:rsidR="00F92D8F" w:rsidRDefault="00F92D8F" w:rsidP="00F92D8F">
      <w:r>
        <w:rPr>
          <w:rFonts w:ascii="Times New Roman" w:eastAsia="Times New Roman" w:hAnsi="Times New Roman" w:cs="Times New Roman"/>
          <w:sz w:val="24"/>
          <w:szCs w:val="24"/>
        </w:rPr>
        <w:t xml:space="preserve">Through 2012, the Ugandan HIV/AIDS Strategic Plan made no mention of MSM communities, though this community is widely acknowledged in many countries, including Uganda, to be a key population for epidemic control. The 2009 Crane Survey of the MSM key population in Kampala showed a prevalence rate of 13.2 per cent in the Kampala sample, indicating a far higher prevalence than other groups of adult males and the general population. The survey made mention of the harmful public health effects of discrimination against gay Ugandans. The survey concedes that “Sampling proved very difficult after the arrest and abuse of gay rights activists in 2008 and arrest of men who were allegedly gay in September 2008.  Sampling stopped and barely recovered later.” </w:t>
      </w:r>
    </w:p>
    <w:p w14:paraId="29D94B80" w14:textId="77777777" w:rsidR="00F92D8F" w:rsidRDefault="00F92D8F" w:rsidP="00F92D8F">
      <w:r>
        <w:rPr>
          <w:rFonts w:ascii="Times New Roman" w:eastAsia="Times New Roman" w:hAnsi="Times New Roman" w:cs="Times New Roman"/>
          <w:sz w:val="24"/>
          <w:szCs w:val="24"/>
        </w:rPr>
        <w:t>Although the Constitutional Court of Uganda ruled the 2014 Anti-Homosexuality Act invalid, the public sentiment is still strongly anti-gay. Ugandan activists for gay rights cite increases in intimidation, violence, and discrimination against gay or presumed-gay citizens since the AHA controversy</w:t>
      </w:r>
      <w:r>
        <w:rPr>
          <w:rFonts w:ascii="Times New Roman" w:eastAsia="Times New Roman" w:hAnsi="Times New Roman" w:cs="Times New Roman"/>
          <w:sz w:val="24"/>
          <w:szCs w:val="24"/>
          <w:vertAlign w:val="superscript"/>
        </w:rPr>
        <w:footnoteReference w:id="86"/>
      </w:r>
      <w:r>
        <w:rPr>
          <w:rFonts w:ascii="Times New Roman" w:eastAsia="Times New Roman" w:hAnsi="Times New Roman" w:cs="Times New Roman"/>
          <w:sz w:val="24"/>
          <w:szCs w:val="24"/>
        </w:rPr>
        <w:t xml:space="preserve">. Although MSM are more likely to contract HIV, many fear violence and discrimination in identifying themselves as members of this key population. Health care workers are not sensitized to the risks and considerations of MSM. As a result, many are unable or afraid to access HIV/AIDS prevention and response for fear of being “outed” or persecuted.  </w:t>
      </w:r>
    </w:p>
    <w:p w14:paraId="10322CD1" w14:textId="77777777" w:rsidR="00F92D8F" w:rsidRDefault="00F92D8F" w:rsidP="00F92D8F">
      <w:r>
        <w:rPr>
          <w:rFonts w:ascii="Times New Roman" w:eastAsia="Times New Roman" w:hAnsi="Times New Roman" w:cs="Times New Roman"/>
          <w:i/>
          <w:sz w:val="24"/>
          <w:szCs w:val="24"/>
        </w:rPr>
        <w:t>Women and Girls</w:t>
      </w:r>
    </w:p>
    <w:p w14:paraId="6FEE140E" w14:textId="41DA298B" w:rsidR="00F92D8F" w:rsidRDefault="00F92D8F" w:rsidP="00F92D8F">
      <w:r>
        <w:rPr>
          <w:rFonts w:ascii="Times New Roman" w:eastAsia="Times New Roman" w:hAnsi="Times New Roman" w:cs="Times New Roman"/>
          <w:sz w:val="24"/>
          <w:szCs w:val="24"/>
        </w:rPr>
        <w:t xml:space="preserve">There is sufficient data to assert that, among the general population, women are more vulnerable to the epidemic than men.  Women have higher prevalence rates and less ability to control certain risk factors, including decisions about when and with whom they have sex - another </w:t>
      </w:r>
      <w:r>
        <w:rPr>
          <w:rFonts w:ascii="Times New Roman" w:eastAsia="Times New Roman" w:hAnsi="Times New Roman" w:cs="Times New Roman"/>
          <w:sz w:val="24"/>
          <w:szCs w:val="24"/>
        </w:rPr>
        <w:lastRenderedPageBreak/>
        <w:t>limitation of binary gender roles that form barriers to women’s empowerment.  The sociocultural dynamics behind this vulnerability require further analysis.  Evidence supports the assertion that vulnerability and higher HIV/AIDS prevalence among females is the product of power dynamics within the household.  The 2011 Demographic and Health Survey shows that a quarter of Ugandans do not believe that a woman can refuse sexual intercourse with her husband if she knows that he has sex with other women.  Response rates were nearly identical among female and male respondents</w:t>
      </w:r>
      <w:r>
        <w:rPr>
          <w:rFonts w:ascii="Times New Roman" w:eastAsia="Times New Roman" w:hAnsi="Times New Roman" w:cs="Times New Roman"/>
          <w:sz w:val="24"/>
          <w:szCs w:val="24"/>
          <w:vertAlign w:val="superscript"/>
        </w:rPr>
        <w:footnoteReference w:id="87"/>
      </w:r>
      <w:r>
        <w:rPr>
          <w:rFonts w:ascii="Times New Roman" w:eastAsia="Times New Roman" w:hAnsi="Times New Roman" w:cs="Times New Roman"/>
          <w:sz w:val="24"/>
          <w:szCs w:val="24"/>
        </w:rPr>
        <w:t>.  Rates of coercive sex are higher among women than men with 14.9 per cent of women ages 15 – 59 report ever being physically forced to have sex against her will versus 3.2 per cent of men of the same age cohort</w:t>
      </w:r>
      <w:r>
        <w:rPr>
          <w:rFonts w:ascii="Times New Roman" w:eastAsia="Times New Roman" w:hAnsi="Times New Roman" w:cs="Times New Roman"/>
          <w:sz w:val="24"/>
          <w:szCs w:val="24"/>
          <w:vertAlign w:val="superscript"/>
        </w:rPr>
        <w:footnoteReference w:id="88"/>
      </w:r>
      <w:r>
        <w:rPr>
          <w:rFonts w:ascii="Times New Roman" w:eastAsia="Times New Roman" w:hAnsi="Times New Roman" w:cs="Times New Roman"/>
          <w:sz w:val="24"/>
          <w:szCs w:val="24"/>
        </w:rPr>
        <w:t xml:space="preserve">.  Data from non-health sectors support that women are less able to negotiate control of household resources than men.  The 2011 Demographic and Health Survey data shows that 76 per cent of women earn less than their male partners.  Slightly more than half of employed women, 53 per </w:t>
      </w:r>
      <w:r w:rsidR="00345229">
        <w:rPr>
          <w:rFonts w:ascii="Times New Roman" w:eastAsia="Times New Roman" w:hAnsi="Times New Roman" w:cs="Times New Roman"/>
          <w:sz w:val="24"/>
          <w:szCs w:val="24"/>
        </w:rPr>
        <w:t>cent</w:t>
      </w:r>
      <w:r>
        <w:rPr>
          <w:rFonts w:ascii="Times New Roman" w:eastAsia="Times New Roman" w:hAnsi="Times New Roman" w:cs="Times New Roman"/>
          <w:sz w:val="24"/>
          <w:szCs w:val="24"/>
        </w:rPr>
        <w:t xml:space="preserve"> are the primary arbiters of how their own income is used.  Less than eight per cent of women have primary decision making over how income earned by men within their household used.  </w:t>
      </w:r>
    </w:p>
    <w:p w14:paraId="1B845DE4" w14:textId="77777777" w:rsidR="00F92D8F" w:rsidRDefault="00F92D8F" w:rsidP="00F92D8F">
      <w:r>
        <w:rPr>
          <w:rFonts w:ascii="Times New Roman" w:eastAsia="Times New Roman" w:hAnsi="Times New Roman" w:cs="Times New Roman"/>
          <w:sz w:val="24"/>
          <w:szCs w:val="24"/>
        </w:rPr>
        <w:t xml:space="preserve">The 2015 PEPFAR COP takes a treatment-as-prevention approach.  The COP seeks to achieve “90-90-90 goals” whereby 90 per cent of HIV positive individuals know their status, 90 per cent of those individuals receive treatment, and 90 percent of those on treatment achieve viral suppression and are rendered far less likely to transmit the virus.  PEPFAR agencies and implementing partners must take key populations and women into account to achieve these goals.  </w:t>
      </w:r>
    </w:p>
    <w:p w14:paraId="4012B098" w14:textId="77777777" w:rsidR="00F92D8F" w:rsidRDefault="00F92D8F" w:rsidP="00F92D8F">
      <w:r>
        <w:rPr>
          <w:rFonts w:ascii="Times New Roman" w:eastAsia="Times New Roman" w:hAnsi="Times New Roman" w:cs="Times New Roman"/>
          <w:sz w:val="24"/>
          <w:szCs w:val="24"/>
        </w:rPr>
        <w:t>PEPFAR has already assembled data and resources to inform country programming with best-practices and evidence from the past.  For instance, What Works for Women Girls has identified key principles on areas including prevention for women, young people, key populations, vertical transmission, testing and counseling, and other core areas</w:t>
      </w:r>
      <w:r>
        <w:rPr>
          <w:rFonts w:ascii="Times New Roman" w:eastAsia="Times New Roman" w:hAnsi="Times New Roman" w:cs="Times New Roman"/>
          <w:sz w:val="24"/>
          <w:szCs w:val="24"/>
          <w:vertAlign w:val="superscript"/>
        </w:rPr>
        <w:footnoteReference w:id="89"/>
      </w:r>
      <w:r>
        <w:rPr>
          <w:rFonts w:ascii="Times New Roman" w:eastAsia="Times New Roman" w:hAnsi="Times New Roman" w:cs="Times New Roman"/>
          <w:sz w:val="24"/>
          <w:szCs w:val="24"/>
        </w:rPr>
        <w:t>.  PEPFAR in Uganda’s focus on treatment-as-prevention makes the evidence-based treatment best-practices especially critical.</w:t>
      </w:r>
    </w:p>
    <w:p w14:paraId="280D9CF9" w14:textId="77777777" w:rsidR="00F92D8F" w:rsidRDefault="00F92D8F" w:rsidP="00F92D8F"/>
    <w:p w14:paraId="2D4BC98F" w14:textId="77777777" w:rsidR="00F92D8F" w:rsidRDefault="00F92D8F" w:rsidP="00F92D8F">
      <w:r>
        <w:rPr>
          <w:rFonts w:ascii="Times New Roman" w:eastAsia="Times New Roman" w:hAnsi="Times New Roman" w:cs="Times New Roman"/>
          <w:sz w:val="24"/>
          <w:szCs w:val="24"/>
          <w:u w:val="single"/>
        </w:rPr>
        <w:t>Gender and HIV/AIDS Treatment Access</w:t>
      </w:r>
    </w:p>
    <w:p w14:paraId="4F804944" w14:textId="3BF77C4B" w:rsidR="00F92D8F" w:rsidRDefault="00F92D8F" w:rsidP="00F92D8F">
      <w:r>
        <w:rPr>
          <w:rFonts w:ascii="Times New Roman" w:eastAsia="Times New Roman" w:hAnsi="Times New Roman" w:cs="Times New Roman"/>
          <w:sz w:val="24"/>
          <w:szCs w:val="24"/>
        </w:rPr>
        <w:t xml:space="preserve">Household power dynamics affect women’s ability to access HIV/AIDS health services.  Simply put, a Makerere University researcher </w:t>
      </w:r>
      <w:r w:rsidR="00345229">
        <w:rPr>
          <w:rFonts w:ascii="Times New Roman" w:eastAsia="Times New Roman" w:hAnsi="Times New Roman" w:cs="Times New Roman"/>
          <w:sz w:val="24"/>
          <w:szCs w:val="24"/>
        </w:rPr>
        <w:t>concluded, “Women</w:t>
      </w:r>
      <w:r>
        <w:rPr>
          <w:rFonts w:ascii="Times New Roman" w:eastAsia="Times New Roman" w:hAnsi="Times New Roman" w:cs="Times New Roman"/>
          <w:sz w:val="24"/>
          <w:szCs w:val="24"/>
        </w:rPr>
        <w:t xml:space="preserve"> have weaker social power which affects their accessibility and utilization of ARVs”</w:t>
      </w:r>
      <w:r>
        <w:rPr>
          <w:rFonts w:ascii="Times New Roman" w:eastAsia="Times New Roman" w:hAnsi="Times New Roman" w:cs="Times New Roman"/>
          <w:sz w:val="24"/>
          <w:szCs w:val="24"/>
          <w:vertAlign w:val="superscript"/>
        </w:rPr>
        <w:footnoteReference w:id="90"/>
      </w:r>
      <w:r>
        <w:rPr>
          <w:rFonts w:ascii="Times New Roman" w:eastAsia="Times New Roman" w:hAnsi="Times New Roman" w:cs="Times New Roman"/>
          <w:sz w:val="24"/>
          <w:szCs w:val="24"/>
        </w:rPr>
        <w:t xml:space="preserve">.  In a 2004 letter from the Center for Health and Gender Equity to OGAC, the Center cautioned that these dynamics constitute barriers to access including control over time, money, and transportation to facilities provision of services - </w:t>
      </w:r>
      <w:r>
        <w:rPr>
          <w:rFonts w:ascii="Times New Roman" w:eastAsia="Times New Roman" w:hAnsi="Times New Roman" w:cs="Times New Roman"/>
          <w:sz w:val="24"/>
          <w:szCs w:val="24"/>
        </w:rPr>
        <w:lastRenderedPageBreak/>
        <w:t xml:space="preserve">including ARVs.  Women’s access to treatment and services may also be hindered by age and pregnancy status.  Because pregnancy and prenatal care are often entry points for HIV testing, treatment, and care, non-pregnant women may be less able to access services.  For adolescent girls, pregnancy as an entry point may prevent them from receiving testing, treatment, and care although prevalence surges among the youth female age cohort.  </w:t>
      </w:r>
    </w:p>
    <w:p w14:paraId="07879923" w14:textId="77777777" w:rsidR="00F92D8F" w:rsidRDefault="00F92D8F" w:rsidP="00F92D8F">
      <w:r>
        <w:rPr>
          <w:rFonts w:ascii="Times New Roman" w:eastAsia="Times New Roman" w:hAnsi="Times New Roman" w:cs="Times New Roman"/>
          <w:sz w:val="24"/>
          <w:szCs w:val="24"/>
        </w:rPr>
        <w:t>HIV/AIDS carries social stigma in Uganda and affects adherence to treatment</w:t>
      </w:r>
      <w:r>
        <w:rPr>
          <w:rFonts w:ascii="Times New Roman" w:eastAsia="Times New Roman" w:hAnsi="Times New Roman" w:cs="Times New Roman"/>
          <w:sz w:val="24"/>
          <w:szCs w:val="24"/>
          <w:vertAlign w:val="superscript"/>
        </w:rPr>
        <w:footnoteReference w:id="91"/>
      </w:r>
      <w:r>
        <w:rPr>
          <w:rFonts w:ascii="Times New Roman" w:eastAsia="Times New Roman" w:hAnsi="Times New Roman" w:cs="Times New Roman"/>
          <w:sz w:val="24"/>
          <w:szCs w:val="24"/>
        </w:rPr>
        <w:t>. Women also face violence as a result of their HIV status and affects treatment adherence, non-disclosure of HIV status to sexual partners, and willingness to access testing and counseling.  Many women also prioritize the wellbeing of children and direct household resources toward basic needs for families, including food, education, and health care for others, rather than seeing treatment for HIV</w:t>
      </w:r>
      <w:r>
        <w:rPr>
          <w:rFonts w:ascii="Times New Roman" w:eastAsia="Times New Roman" w:hAnsi="Times New Roman" w:cs="Times New Roman"/>
          <w:sz w:val="24"/>
          <w:szCs w:val="24"/>
          <w:vertAlign w:val="superscript"/>
        </w:rPr>
        <w:footnoteReference w:id="92"/>
      </w:r>
      <w:r>
        <w:rPr>
          <w:rFonts w:ascii="Times New Roman" w:eastAsia="Times New Roman" w:hAnsi="Times New Roman" w:cs="Times New Roman"/>
          <w:sz w:val="24"/>
          <w:szCs w:val="24"/>
        </w:rPr>
        <w:t>.  Women often lack privacy and require a husband’s involvement to access care and treatment.  Women fear that HIV status may be disclosed in front of their family members.  This further prevents them from accessing necessary testing and treatment</w:t>
      </w:r>
      <w:r>
        <w:rPr>
          <w:rFonts w:ascii="Times New Roman" w:eastAsia="Times New Roman" w:hAnsi="Times New Roman" w:cs="Times New Roman"/>
          <w:sz w:val="24"/>
          <w:szCs w:val="24"/>
          <w:vertAlign w:val="superscript"/>
        </w:rPr>
        <w:footnoteReference w:id="93"/>
      </w:r>
      <w:r>
        <w:rPr>
          <w:rFonts w:ascii="Times New Roman" w:eastAsia="Times New Roman" w:hAnsi="Times New Roman" w:cs="Times New Roman"/>
          <w:sz w:val="24"/>
          <w:szCs w:val="24"/>
        </w:rPr>
        <w:t xml:space="preserve">. </w:t>
      </w:r>
    </w:p>
    <w:p w14:paraId="780A889C" w14:textId="77777777" w:rsidR="00F92D8F" w:rsidRDefault="00F92D8F" w:rsidP="00F92D8F">
      <w:bookmarkStart w:id="1" w:name="h.gjdgxs" w:colFirst="0" w:colLast="0"/>
      <w:bookmarkEnd w:id="1"/>
      <w:r>
        <w:rPr>
          <w:rFonts w:ascii="Times New Roman" w:eastAsia="Times New Roman" w:hAnsi="Times New Roman" w:cs="Times New Roman"/>
          <w:sz w:val="24"/>
          <w:szCs w:val="24"/>
        </w:rPr>
        <w:t>Attitudes towards HIV testing and treatment also vary across the country.  Notably, Demographic and Health Survey indicators related to household negotiation in Karamoja lay outside the range in other parts of Uganda.  Both men and women were significantly less likely to agree with statements related to negotiation of safer sexual practices</w:t>
      </w:r>
      <w:r>
        <w:rPr>
          <w:rFonts w:ascii="Times New Roman" w:eastAsia="Times New Roman" w:hAnsi="Times New Roman" w:cs="Times New Roman"/>
          <w:sz w:val="24"/>
          <w:szCs w:val="24"/>
          <w:vertAlign w:val="superscript"/>
        </w:rPr>
        <w:footnoteReference w:id="94"/>
      </w:r>
      <w:r>
        <w:rPr>
          <w:rFonts w:ascii="Times New Roman" w:eastAsia="Times New Roman" w:hAnsi="Times New Roman" w:cs="Times New Roman"/>
          <w:sz w:val="24"/>
          <w:szCs w:val="24"/>
        </w:rPr>
        <w:t xml:space="preserve">.  </w:t>
      </w:r>
    </w:p>
    <w:p w14:paraId="4727D204" w14:textId="525C7F99" w:rsidR="00F92D8F" w:rsidRDefault="00F92D8F" w:rsidP="00F92D8F">
      <w:r>
        <w:rPr>
          <w:rFonts w:ascii="Times New Roman" w:eastAsia="Times New Roman" w:hAnsi="Times New Roman" w:cs="Times New Roman"/>
          <w:sz w:val="24"/>
          <w:szCs w:val="24"/>
        </w:rPr>
        <w:t xml:space="preserve">A key finding of the What Works for Women in Girls team is that integrated programming works.  USAID/Uganda’s work under Development Objective </w:t>
      </w:r>
      <w:r w:rsidR="00345229">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focuses on Ugandan demographics and the health of the population.  There are opportunities for integrated programming in Uganda with HIV/AIDS and other health services. Rather than separating HIV/AIDS care and treatment, providing it in tandem with family planning, maternal child health, or other types of care can be effective for reaching more women and holistically supporting their health and well-being. </w:t>
      </w:r>
    </w:p>
    <w:p w14:paraId="5DB0BB58" w14:textId="77777777" w:rsidR="00F92D8F" w:rsidRDefault="00F92D8F" w:rsidP="00F92D8F">
      <w:r>
        <w:rPr>
          <w:rFonts w:ascii="Times New Roman" w:eastAsia="Times New Roman" w:hAnsi="Times New Roman" w:cs="Times New Roman"/>
          <w:sz w:val="24"/>
          <w:szCs w:val="24"/>
        </w:rPr>
        <w:t xml:space="preserve">In a broader sense, integration of women’s empowerment and gender equality principles can help control the HIV/AIDS epidemic.  Enhancing women and girls’ control over their own resources, their own bodies, improving household power dynamics, and putting women and men on equal legal and policy footing can optimize the social environment for HIV/AIDS epidemic control. </w:t>
      </w:r>
    </w:p>
    <w:p w14:paraId="600FFB47" w14:textId="77777777" w:rsidR="00F92D8F" w:rsidRDefault="00F92D8F" w:rsidP="00F92D8F">
      <w:r>
        <w:rPr>
          <w:rFonts w:ascii="Times New Roman" w:eastAsia="Times New Roman" w:hAnsi="Times New Roman" w:cs="Times New Roman"/>
          <w:sz w:val="24"/>
          <w:szCs w:val="24"/>
          <w:u w:val="single"/>
        </w:rPr>
        <w:t xml:space="preserve">Data Gaps, Operational Learning Agenda, and Considerations for Project Design </w:t>
      </w:r>
    </w:p>
    <w:p w14:paraId="6027CA9A" w14:textId="77777777" w:rsidR="00F92D8F" w:rsidRDefault="00F92D8F" w:rsidP="00F92D8F">
      <w:r>
        <w:rPr>
          <w:rFonts w:ascii="Times New Roman" w:eastAsia="Times New Roman" w:hAnsi="Times New Roman" w:cs="Times New Roman"/>
          <w:sz w:val="24"/>
          <w:szCs w:val="24"/>
        </w:rPr>
        <w:t xml:space="preserve">The interagency PEPFAR gender analysis should consider data from other USAID/Uganda development objectives, including control over resources, access to services, patterns of power </w:t>
      </w:r>
      <w:r>
        <w:rPr>
          <w:rFonts w:ascii="Times New Roman" w:eastAsia="Times New Roman" w:hAnsi="Times New Roman" w:cs="Times New Roman"/>
          <w:sz w:val="24"/>
          <w:szCs w:val="24"/>
        </w:rPr>
        <w:lastRenderedPageBreak/>
        <w:t xml:space="preserve">and decision making, and other guiding principles that apply to the integrated development objectives as well as the special objective.  </w:t>
      </w:r>
    </w:p>
    <w:p w14:paraId="719460CA" w14:textId="61DDD382" w:rsidR="00F92D8F" w:rsidRDefault="00F92D8F" w:rsidP="00F92D8F">
      <w:r>
        <w:rPr>
          <w:rFonts w:ascii="Times New Roman" w:eastAsia="Times New Roman" w:hAnsi="Times New Roman" w:cs="Times New Roman"/>
          <w:sz w:val="24"/>
          <w:szCs w:val="24"/>
        </w:rPr>
        <w:t xml:space="preserve">The intersection of the demographic objective - DO2 - and the special objective is important.  </w:t>
      </w:r>
      <w:r w:rsidR="00345229">
        <w:rPr>
          <w:rFonts w:ascii="Times New Roman" w:eastAsia="Times New Roman" w:hAnsi="Times New Roman" w:cs="Times New Roman"/>
          <w:sz w:val="24"/>
          <w:szCs w:val="24"/>
        </w:rPr>
        <w:t xml:space="preserve">The USAID/Uganda HIV team should consider the complementarity of these objectives as they formalize future HIV/AIDS Country Operational Plans and design subsequent activities. </w:t>
      </w:r>
      <w:r>
        <w:rPr>
          <w:rFonts w:ascii="Times New Roman" w:eastAsia="Times New Roman" w:hAnsi="Times New Roman" w:cs="Times New Roman"/>
          <w:sz w:val="24"/>
          <w:szCs w:val="24"/>
        </w:rPr>
        <w:t xml:space="preserve">Similarly, the development objective team responsible for DO2 must align efforts with the HIV/AIDS COP. </w:t>
      </w:r>
    </w:p>
    <w:p w14:paraId="64522655" w14:textId="77777777" w:rsidR="00F92D8F" w:rsidRDefault="00F92D8F" w:rsidP="00F92D8F">
      <w:r>
        <w:rPr>
          <w:rFonts w:ascii="Times New Roman" w:eastAsia="Times New Roman" w:hAnsi="Times New Roman" w:cs="Times New Roman"/>
          <w:sz w:val="24"/>
          <w:szCs w:val="24"/>
        </w:rPr>
        <w:t xml:space="preserve">Men who have sex with men (MSM) are a key population at risk of contracting HIV/AIDS; however, data is missing and interventions do not consider human rights sensitization and programs that specifically meet the needs of this key population.  Subsequent analyses in priority districts, PEPFAR activity designs, and other USAID/Uganda programming must seek to both fill the data gap, and increase interventions responsiveness to MSM communities.   </w:t>
      </w:r>
    </w:p>
    <w:p w14:paraId="3E957BF2" w14:textId="77777777" w:rsidR="00F92D8F" w:rsidRDefault="00F92D8F" w:rsidP="00F92D8F">
      <w:r>
        <w:rPr>
          <w:rFonts w:ascii="Times New Roman" w:eastAsia="Times New Roman" w:hAnsi="Times New Roman" w:cs="Times New Roman"/>
          <w:sz w:val="24"/>
          <w:szCs w:val="24"/>
        </w:rPr>
        <w:t>What other overarching initiatives, interventions, or opportunities in Uganda, not touched upon under the RF, would add particular value to the overall CDCS 2.0 Goal and are feasible for USAID to work on?</w:t>
      </w:r>
    </w:p>
    <w:p w14:paraId="07C0D06E" w14:textId="77777777" w:rsidR="00F92D8F" w:rsidRDefault="00F92D8F" w:rsidP="00F92D8F">
      <w:pPr>
        <w:spacing w:line="240" w:lineRule="auto"/>
      </w:pPr>
    </w:p>
    <w:p w14:paraId="0B08B374" w14:textId="77777777" w:rsidR="00F92D8F" w:rsidRDefault="00F92D8F" w:rsidP="00F92D8F">
      <w:pPr>
        <w:widowControl w:val="0"/>
        <w:spacing w:after="240" w:line="240" w:lineRule="auto"/>
      </w:pPr>
    </w:p>
    <w:p w14:paraId="67D9120D" w14:textId="77777777" w:rsidR="00F92D8F" w:rsidRDefault="00F92D8F" w:rsidP="00F92D8F">
      <w:r>
        <w:br w:type="page"/>
      </w:r>
    </w:p>
    <w:p w14:paraId="0D965D4F" w14:textId="77777777" w:rsidR="00F92D8F" w:rsidRDefault="00F92D8F" w:rsidP="00F92D8F">
      <w:pPr>
        <w:widowControl w:val="0"/>
        <w:spacing w:after="240" w:line="240" w:lineRule="auto"/>
      </w:pPr>
    </w:p>
    <w:p w14:paraId="5C865858" w14:textId="77777777" w:rsidR="00F92D8F" w:rsidRDefault="00F92D8F" w:rsidP="00F92D8F">
      <w:pPr>
        <w:widowControl w:val="0"/>
        <w:spacing w:after="240"/>
      </w:pPr>
      <w:r>
        <w:rPr>
          <w:rFonts w:ascii="Times New Roman" w:eastAsia="Times New Roman" w:hAnsi="Times New Roman" w:cs="Times New Roman"/>
          <w:b/>
          <w:sz w:val="24"/>
          <w:szCs w:val="24"/>
        </w:rPr>
        <w:t>Mission-Wide Recommendations</w:t>
      </w:r>
    </w:p>
    <w:p w14:paraId="28F80E19" w14:textId="77777777" w:rsidR="00F92D8F" w:rsidRDefault="00F92D8F" w:rsidP="00F92D8F">
      <w:pPr>
        <w:widowControl w:val="0"/>
        <w:spacing w:after="240"/>
      </w:pPr>
      <w:r>
        <w:rPr>
          <w:rFonts w:ascii="Times New Roman" w:eastAsia="Times New Roman" w:hAnsi="Times New Roman" w:cs="Times New Roman"/>
          <w:sz w:val="24"/>
          <w:szCs w:val="24"/>
        </w:rPr>
        <w:t xml:space="preserve">USAID/Uganda identifies gender equality and inclusive development as a principle that should guide all of the Mission’s projects and activities.  In order to achieve greater inclusivity throughout the strategy’s period of implementation, the Mission must bring its human and financial resources to bear upon persistent inequalities.  The following recommendations are intended to advance USAID/Uganda’s efforts to achieve gender equality and facilitate citizen empowerment among staff and implementing partners across the portfolio of activities.  </w:t>
      </w:r>
    </w:p>
    <w:p w14:paraId="4F419EA9" w14:textId="77777777" w:rsidR="00F92D8F" w:rsidRDefault="00F92D8F" w:rsidP="00F92D8F">
      <w:pPr>
        <w:widowControl w:val="0"/>
        <w:tabs>
          <w:tab w:val="left" w:pos="220"/>
          <w:tab w:val="left" w:pos="720"/>
        </w:tabs>
        <w:spacing w:after="240"/>
      </w:pPr>
      <w:r>
        <w:rPr>
          <w:rFonts w:ascii="Times New Roman" w:eastAsia="Times New Roman" w:hAnsi="Times New Roman" w:cs="Times New Roman"/>
          <w:sz w:val="24"/>
          <w:szCs w:val="24"/>
        </w:rPr>
        <w:t xml:space="preserve">Build USAID/Uganda staff capacity by hiring a Gender Advisor, convening a Mission inclusive development working group, and by training USAID staff to assess gender and other inclusive development dynamics within each portfolio, identify the gender gaps and barriers to equal participation, and use evidence-based approaches for addressing the gaps barriers and gaps.  </w:t>
      </w:r>
    </w:p>
    <w:p w14:paraId="2370A179" w14:textId="77777777" w:rsidR="00F92D8F" w:rsidRDefault="00F92D8F" w:rsidP="00F92D8F">
      <w:pPr>
        <w:widowControl w:val="0"/>
        <w:tabs>
          <w:tab w:val="left" w:pos="220"/>
          <w:tab w:val="left" w:pos="720"/>
        </w:tabs>
        <w:spacing w:after="240"/>
      </w:pPr>
      <w:r>
        <w:rPr>
          <w:rFonts w:ascii="Times New Roman" w:eastAsia="Times New Roman" w:hAnsi="Times New Roman" w:cs="Times New Roman"/>
          <w:sz w:val="24"/>
          <w:szCs w:val="24"/>
        </w:rPr>
        <w:t xml:space="preserve">Build USAID/Uganda implementing partner capacity. Contractors and grantees should receive clear guidance from AOR/CORs on gender equality and inclusivity as a priority within activities.  USAID/Uganda should guide partners toward identifying barriers and gaps to equality, addressing them with evidence-based approaches, and measuring the results.  </w:t>
      </w:r>
    </w:p>
    <w:p w14:paraId="32EF5DE6" w14:textId="77777777" w:rsidR="00F92D8F" w:rsidRDefault="00F92D8F" w:rsidP="00F92D8F">
      <w:pPr>
        <w:widowControl w:val="0"/>
        <w:tabs>
          <w:tab w:val="left" w:pos="220"/>
          <w:tab w:val="left" w:pos="720"/>
        </w:tabs>
        <w:spacing w:after="240"/>
      </w:pPr>
      <w:r>
        <w:rPr>
          <w:rFonts w:ascii="Times New Roman" w:eastAsia="Times New Roman" w:hAnsi="Times New Roman" w:cs="Times New Roman"/>
          <w:sz w:val="24"/>
          <w:szCs w:val="24"/>
        </w:rPr>
        <w:t xml:space="preserve">Integrate equality into monitoring, evaluation, and learning plans. The Mission should develop an indicator list within the Mission performance management plan that draws from the required indicators and lists custom indicators to measure the collective results of the strategic commitment to gender equality. </w:t>
      </w:r>
    </w:p>
    <w:p w14:paraId="23F20A36" w14:textId="77777777" w:rsidR="00F92D8F" w:rsidRDefault="00F92D8F" w:rsidP="00F92D8F">
      <w:pPr>
        <w:widowControl w:val="0"/>
        <w:tabs>
          <w:tab w:val="left" w:pos="220"/>
          <w:tab w:val="left" w:pos="720"/>
        </w:tabs>
        <w:spacing w:after="240"/>
      </w:pPr>
      <w:r>
        <w:rPr>
          <w:rFonts w:ascii="Times New Roman" w:eastAsia="Times New Roman" w:hAnsi="Times New Roman" w:cs="Times New Roman"/>
          <w:sz w:val="24"/>
          <w:szCs w:val="24"/>
        </w:rPr>
        <w:t xml:space="preserve">Identify an advisory group of diverse Ugandan citizens that can advise project design teams about inclusive development.  Institutionalize community consultations within the project design process.  Partner with Peace Corps or other field-based partners to involve stakeholders in the designs of new projects to ensure that community voice is incorporated into new projects and activities.  </w:t>
      </w:r>
    </w:p>
    <w:p w14:paraId="177E824D" w14:textId="08A8B88B" w:rsidR="00530D15" w:rsidRDefault="00530D15">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3E8B8736" w14:textId="77777777" w:rsidR="00EB3F05" w:rsidRPr="00EB3F05" w:rsidRDefault="00EB3F05" w:rsidP="00EB3F05">
      <w:pPr>
        <w:spacing w:after="0" w:line="240" w:lineRule="auto"/>
        <w:rPr>
          <w:rFonts w:ascii="Arial" w:eastAsia="Times New Roman" w:hAnsi="Arial" w:cs="Arial"/>
          <w:color w:val="000000"/>
          <w:sz w:val="16"/>
          <w:szCs w:val="16"/>
        </w:rPr>
      </w:pPr>
      <w:r w:rsidRPr="00EB3F05">
        <w:rPr>
          <w:rFonts w:ascii="Arial" w:eastAsia="Times New Roman" w:hAnsi="Arial" w:cs="Arial"/>
          <w:color w:val="000000"/>
          <w:sz w:val="16"/>
          <w:szCs w:val="16"/>
        </w:rPr>
        <w:lastRenderedPageBreak/>
        <w:t>References</w:t>
      </w:r>
    </w:p>
    <w:p w14:paraId="09CF000E" w14:textId="77777777" w:rsidR="00EB3F05" w:rsidRPr="00EB3F05" w:rsidRDefault="00EB3F05" w:rsidP="00EB3F05">
      <w:pPr>
        <w:pStyle w:val="FootnoteText"/>
        <w:numPr>
          <w:ilvl w:val="0"/>
          <w:numId w:val="7"/>
        </w:numPr>
        <w:rPr>
          <w:sz w:val="16"/>
          <w:szCs w:val="16"/>
        </w:rPr>
      </w:pPr>
      <w:r w:rsidRPr="00EB3F05">
        <w:rPr>
          <w:rFonts w:eastAsiaTheme="minorEastAsia"/>
          <w:sz w:val="16"/>
          <w:szCs w:val="16"/>
          <w:lang w:eastAsia="ja-JP"/>
        </w:rPr>
        <w:t xml:space="preserve">Central Intelligence Agency. The World Factbook: Uganda. 2015, from </w:t>
      </w:r>
      <w:hyperlink r:id="rId19" w:history="1">
        <w:r w:rsidRPr="00EB3F05">
          <w:rPr>
            <w:rStyle w:val="Hyperlink"/>
            <w:rFonts w:eastAsiaTheme="minorEastAsia"/>
            <w:sz w:val="16"/>
            <w:szCs w:val="16"/>
            <w:lang w:eastAsia="ja-JP"/>
          </w:rPr>
          <w:t>https://www.cia.gov/library/publications/resources/the-world-factbook/geos/ug.html</w:t>
        </w:r>
      </w:hyperlink>
    </w:p>
    <w:p w14:paraId="6541DFF7" w14:textId="77777777" w:rsidR="00EB3F05" w:rsidRPr="00EB3F05" w:rsidRDefault="00EB3F05" w:rsidP="00EB3F05">
      <w:pPr>
        <w:pStyle w:val="FootnoteText"/>
        <w:numPr>
          <w:ilvl w:val="0"/>
          <w:numId w:val="7"/>
        </w:numPr>
        <w:rPr>
          <w:sz w:val="16"/>
          <w:szCs w:val="16"/>
        </w:rPr>
      </w:pPr>
      <w:r w:rsidRPr="00EB3F05">
        <w:rPr>
          <w:rFonts w:eastAsiaTheme="minorEastAsia"/>
          <w:sz w:val="16"/>
          <w:szCs w:val="16"/>
          <w:lang w:eastAsia="ja-JP"/>
        </w:rPr>
        <w:t xml:space="preserve">Hanley, P., &amp; Lee, J.-M. (2015). Leviticus Rising: The Origin of Uganda's Anti-Gay Law. </w:t>
      </w:r>
      <w:r w:rsidRPr="00EB3F05">
        <w:rPr>
          <w:rFonts w:eastAsiaTheme="minorEastAsia"/>
          <w:i/>
          <w:iCs/>
          <w:sz w:val="16"/>
          <w:szCs w:val="16"/>
          <w:lang w:eastAsia="ja-JP"/>
        </w:rPr>
        <w:t>International Policy Digest, 2015</w:t>
      </w:r>
      <w:r w:rsidRPr="00EB3F05">
        <w:rPr>
          <w:rFonts w:eastAsiaTheme="minorEastAsia"/>
          <w:sz w:val="16"/>
          <w:szCs w:val="16"/>
          <w:lang w:eastAsia="ja-JP"/>
        </w:rPr>
        <w:t xml:space="preserve">. </w:t>
      </w:r>
      <w:hyperlink r:id="rId20" w:history="1">
        <w:r w:rsidRPr="00EB3F05">
          <w:rPr>
            <w:rStyle w:val="Hyperlink"/>
            <w:rFonts w:eastAsiaTheme="minorEastAsia"/>
            <w:sz w:val="16"/>
            <w:szCs w:val="16"/>
            <w:lang w:eastAsia="ja-JP"/>
          </w:rPr>
          <w:t>http://www.internationalpolicydigest.org/2015/08/10/leviticus-rising-the-origin-of-uganda-s-anti-gay-law/</w:t>
        </w:r>
      </w:hyperlink>
    </w:p>
    <w:p w14:paraId="2836684D" w14:textId="77777777" w:rsidR="00177DCA" w:rsidRDefault="00EB3F05" w:rsidP="00177DCA">
      <w:pPr>
        <w:pStyle w:val="FootnoteText"/>
        <w:numPr>
          <w:ilvl w:val="0"/>
          <w:numId w:val="7"/>
        </w:numPr>
        <w:rPr>
          <w:rStyle w:val="Hyperlink"/>
          <w:color w:val="000000"/>
          <w:sz w:val="16"/>
          <w:szCs w:val="16"/>
          <w:u w:val="none"/>
        </w:rPr>
      </w:pPr>
      <w:r w:rsidRPr="00EB3F05">
        <w:rPr>
          <w:rFonts w:eastAsiaTheme="minorEastAsia"/>
          <w:sz w:val="16"/>
          <w:szCs w:val="16"/>
          <w:lang w:eastAsia="ja-JP"/>
        </w:rPr>
        <w:t xml:space="preserve">Murray, S. O. Homosexuality in "Traditional" Sub-Saharan Africa and Contemporary South Africa. </w:t>
      </w:r>
      <w:hyperlink r:id="rId21" w:history="1">
        <w:r w:rsidRPr="00EB3F05">
          <w:rPr>
            <w:rStyle w:val="Hyperlink"/>
            <w:rFonts w:eastAsiaTheme="minorEastAsia"/>
            <w:sz w:val="16"/>
            <w:szCs w:val="16"/>
            <w:lang w:eastAsia="ja-JP"/>
          </w:rPr>
          <w:t>http://semgai.free.fr/doc_et_pdf/africa_A4.pdf</w:t>
        </w:r>
      </w:hyperlink>
    </w:p>
    <w:p w14:paraId="10800652" w14:textId="77777777" w:rsidR="00177DCA" w:rsidRPr="00177DCA" w:rsidRDefault="00177DCA" w:rsidP="00177DCA">
      <w:pPr>
        <w:pStyle w:val="FootnoteText"/>
        <w:numPr>
          <w:ilvl w:val="0"/>
          <w:numId w:val="7"/>
        </w:numPr>
        <w:rPr>
          <w:rStyle w:val="Hyperlink"/>
          <w:color w:val="000000"/>
          <w:sz w:val="16"/>
          <w:szCs w:val="16"/>
          <w:u w:val="none"/>
        </w:rPr>
      </w:pPr>
      <w:r w:rsidRPr="00177DCA">
        <w:rPr>
          <w:rFonts w:eastAsiaTheme="minorEastAsia"/>
          <w:sz w:val="16"/>
          <w:szCs w:val="16"/>
          <w:lang w:eastAsia="ja-JP"/>
        </w:rPr>
        <w:t xml:space="preserve">Pew Research Center. (2013). The Global Divide on Homosexuality: Greater Acceptance in More Secular and Affluent Countries. </w:t>
      </w:r>
      <w:r w:rsidRPr="00177DCA">
        <w:rPr>
          <w:rFonts w:eastAsiaTheme="minorEastAsia"/>
          <w:i/>
          <w:iCs/>
          <w:sz w:val="16"/>
          <w:szCs w:val="16"/>
          <w:lang w:eastAsia="ja-JP"/>
        </w:rPr>
        <w:t>Pew Research Center: Global Attitudes and Trends</w:t>
      </w:r>
      <w:r w:rsidRPr="00177DCA">
        <w:rPr>
          <w:rFonts w:eastAsiaTheme="minorEastAsia"/>
          <w:sz w:val="16"/>
          <w:szCs w:val="16"/>
          <w:lang w:eastAsia="ja-JP"/>
        </w:rPr>
        <w:t xml:space="preserve">. </w:t>
      </w:r>
      <w:hyperlink r:id="rId22" w:history="1">
        <w:r w:rsidRPr="00177DCA">
          <w:rPr>
            <w:rStyle w:val="Hyperlink"/>
            <w:rFonts w:eastAsiaTheme="minorEastAsia"/>
            <w:sz w:val="16"/>
            <w:szCs w:val="16"/>
            <w:lang w:eastAsia="ja-JP"/>
          </w:rPr>
          <w:t>http://www.pewglobal.org/2013/06/04/the-global-divide-on-homosexuality/</w:t>
        </w:r>
      </w:hyperlink>
    </w:p>
    <w:p w14:paraId="28640FD9" w14:textId="4C40FFA1" w:rsidR="00177DCA" w:rsidRDefault="00177DCA" w:rsidP="00177DCA">
      <w:pPr>
        <w:pStyle w:val="FootnoteText"/>
        <w:numPr>
          <w:ilvl w:val="0"/>
          <w:numId w:val="7"/>
        </w:numPr>
        <w:rPr>
          <w:sz w:val="16"/>
          <w:szCs w:val="16"/>
        </w:rPr>
      </w:pPr>
      <w:r w:rsidRPr="00177DCA">
        <w:rPr>
          <w:rFonts w:eastAsiaTheme="minorEastAsia"/>
          <w:sz w:val="16"/>
          <w:szCs w:val="16"/>
          <w:lang w:eastAsia="ja-JP"/>
        </w:rPr>
        <w:t xml:space="preserve">Ugandan Anti-Pornography </w:t>
      </w:r>
      <w:r w:rsidR="00345229" w:rsidRPr="00177DCA">
        <w:rPr>
          <w:rFonts w:eastAsiaTheme="minorEastAsia"/>
          <w:sz w:val="16"/>
          <w:szCs w:val="16"/>
          <w:lang w:eastAsia="ja-JP"/>
        </w:rPr>
        <w:t>Act (</w:t>
      </w:r>
      <w:r w:rsidRPr="00177DCA">
        <w:rPr>
          <w:rFonts w:eastAsiaTheme="minorEastAsia"/>
          <w:sz w:val="16"/>
          <w:szCs w:val="16"/>
          <w:lang w:eastAsia="ja-JP"/>
        </w:rPr>
        <w:t xml:space="preserve">2014) Part I. </w:t>
      </w:r>
    </w:p>
    <w:p w14:paraId="3F981AA5" w14:textId="77777777" w:rsidR="00177DCA" w:rsidRDefault="00177DCA" w:rsidP="00177DCA">
      <w:pPr>
        <w:pStyle w:val="FootnoteText"/>
        <w:numPr>
          <w:ilvl w:val="0"/>
          <w:numId w:val="7"/>
        </w:numPr>
        <w:rPr>
          <w:sz w:val="16"/>
          <w:szCs w:val="16"/>
        </w:rPr>
      </w:pPr>
      <w:r w:rsidRPr="00177DCA">
        <w:rPr>
          <w:sz w:val="16"/>
          <w:szCs w:val="16"/>
        </w:rPr>
        <w:t>Amnesty International. (2014). Rule by Law: Discriminatory Legislation and Legitimized Abuses in Uganda. London.</w:t>
      </w:r>
    </w:p>
    <w:p w14:paraId="40CF70A7" w14:textId="77777777" w:rsidR="00177DCA" w:rsidRDefault="00177DCA" w:rsidP="00177DCA">
      <w:pPr>
        <w:pStyle w:val="FootnoteText"/>
        <w:numPr>
          <w:ilvl w:val="0"/>
          <w:numId w:val="7"/>
        </w:numPr>
        <w:rPr>
          <w:sz w:val="16"/>
          <w:szCs w:val="16"/>
        </w:rPr>
      </w:pPr>
      <w:r w:rsidRPr="00177DCA">
        <w:rPr>
          <w:rFonts w:eastAsiaTheme="minorEastAsia"/>
          <w:sz w:val="16"/>
          <w:szCs w:val="16"/>
          <w:lang w:eastAsia="ja-JP"/>
        </w:rPr>
        <w:t>Uganda Bureau of Statistics. (2012). Uganda Demographic and Health Survey. Uganda: Uganda Bureau of Statistics.</w:t>
      </w:r>
    </w:p>
    <w:p w14:paraId="429EA881" w14:textId="77777777" w:rsidR="00EB3F05" w:rsidRPr="00EB3F05" w:rsidRDefault="00EB3F05" w:rsidP="00177DCA">
      <w:pPr>
        <w:pStyle w:val="ListParagraph"/>
        <w:numPr>
          <w:ilvl w:val="0"/>
          <w:numId w:val="7"/>
        </w:numPr>
        <w:spacing w:after="0" w:line="240" w:lineRule="auto"/>
        <w:rPr>
          <w:rFonts w:ascii="Arial" w:hAnsi="Arial" w:cs="Arial"/>
          <w:sz w:val="16"/>
          <w:szCs w:val="16"/>
        </w:rPr>
      </w:pPr>
      <w:r w:rsidRPr="00EB3F05">
        <w:rPr>
          <w:rFonts w:ascii="Arial" w:eastAsiaTheme="minorEastAsia" w:hAnsi="Arial" w:cs="Arial"/>
          <w:sz w:val="16"/>
          <w:szCs w:val="16"/>
          <w:lang w:eastAsia="ja-JP"/>
        </w:rPr>
        <w:t>USAID. (2014). Women's Leadership as a Route to Greater Empowerment: USAID.</w:t>
      </w:r>
    </w:p>
    <w:p w14:paraId="5BB33FFE" w14:textId="77777777" w:rsidR="00EB3F05" w:rsidRPr="00EB3F05" w:rsidRDefault="00EB3F05" w:rsidP="00177DCA">
      <w:pPr>
        <w:pStyle w:val="ListParagraph"/>
        <w:numPr>
          <w:ilvl w:val="0"/>
          <w:numId w:val="7"/>
        </w:numPr>
        <w:spacing w:after="0" w:line="240" w:lineRule="auto"/>
        <w:rPr>
          <w:rFonts w:ascii="Arial" w:hAnsi="Arial" w:cs="Arial"/>
          <w:sz w:val="16"/>
          <w:szCs w:val="16"/>
        </w:rPr>
      </w:pPr>
      <w:r w:rsidRPr="00EB3F05">
        <w:rPr>
          <w:rFonts w:ascii="Arial" w:eastAsiaTheme="minorEastAsia" w:hAnsi="Arial" w:cs="Arial"/>
          <w:sz w:val="16"/>
          <w:szCs w:val="16"/>
          <w:lang w:eastAsia="ja-JP"/>
        </w:rPr>
        <w:t xml:space="preserve">World Bank. World Data Bank Gender Statistics (Online database).  Retrieved 2015, from World Bank </w:t>
      </w:r>
      <w:hyperlink r:id="rId23" w:history="1">
        <w:r w:rsidRPr="00EB3F05">
          <w:rPr>
            <w:rStyle w:val="Hyperlink"/>
            <w:rFonts w:ascii="Arial" w:eastAsiaTheme="minorEastAsia" w:hAnsi="Arial" w:cs="Arial"/>
            <w:sz w:val="16"/>
            <w:szCs w:val="16"/>
            <w:lang w:eastAsia="ja-JP"/>
          </w:rPr>
          <w:t>http://databank.worldbank.org/data/reports.aspx?source=Gender-Statistics</w:t>
        </w:r>
      </w:hyperlink>
    </w:p>
    <w:p w14:paraId="06AAE47E" w14:textId="77777777" w:rsidR="00EB3F05" w:rsidRPr="00EB3F05" w:rsidRDefault="00EB3F05" w:rsidP="00177DCA">
      <w:pPr>
        <w:pStyle w:val="ListParagraph"/>
        <w:numPr>
          <w:ilvl w:val="0"/>
          <w:numId w:val="7"/>
        </w:numPr>
        <w:spacing w:after="0" w:line="240" w:lineRule="auto"/>
        <w:rPr>
          <w:rFonts w:ascii="Arial" w:eastAsia="Calibri" w:hAnsi="Arial" w:cs="Arial"/>
          <w:sz w:val="16"/>
          <w:szCs w:val="16"/>
        </w:rPr>
      </w:pPr>
      <w:r w:rsidRPr="00EB3F05">
        <w:rPr>
          <w:rFonts w:ascii="Arial" w:eastAsiaTheme="minorEastAsia" w:hAnsi="Arial" w:cs="Arial"/>
          <w:sz w:val="16"/>
          <w:szCs w:val="16"/>
          <w:lang w:eastAsia="ja-JP"/>
        </w:rPr>
        <w:t>Women's Democracy Group. (2015). Unfinished Business: The Women's Manifesto 2016 to 2021.</w:t>
      </w:r>
    </w:p>
    <w:p w14:paraId="650C7ADB" w14:textId="77777777" w:rsidR="00EB3F05" w:rsidRPr="00EB3F05" w:rsidRDefault="00EB3F05" w:rsidP="00177DCA">
      <w:pPr>
        <w:pStyle w:val="ListParagraph"/>
        <w:numPr>
          <w:ilvl w:val="0"/>
          <w:numId w:val="7"/>
        </w:numPr>
        <w:spacing w:after="0" w:line="240" w:lineRule="auto"/>
        <w:rPr>
          <w:rFonts w:ascii="Arial" w:hAnsi="Arial" w:cs="Arial"/>
          <w:sz w:val="16"/>
          <w:szCs w:val="16"/>
        </w:rPr>
      </w:pPr>
      <w:r w:rsidRPr="00EB3F05">
        <w:rPr>
          <w:rFonts w:ascii="Arial" w:eastAsiaTheme="minorEastAsia" w:hAnsi="Arial" w:cs="Arial"/>
          <w:sz w:val="16"/>
          <w:szCs w:val="16"/>
          <w:lang w:eastAsia="ja-JP"/>
        </w:rPr>
        <w:t>Dexis Consulting Group. (2015). Ugandan Decentralization Policy and Issues Arising in the Health and Education Sectors: A Political Economy Study (L. a. M. L. contract, Trans.): USAID.</w:t>
      </w:r>
    </w:p>
    <w:p w14:paraId="2AD20F88" w14:textId="77777777" w:rsidR="00EB3F05" w:rsidRPr="00EB3F05" w:rsidRDefault="00EB3F05" w:rsidP="00177DCA">
      <w:pPr>
        <w:pStyle w:val="ListParagraph"/>
        <w:numPr>
          <w:ilvl w:val="0"/>
          <w:numId w:val="7"/>
        </w:numPr>
        <w:spacing w:after="0" w:line="240" w:lineRule="auto"/>
        <w:rPr>
          <w:rFonts w:ascii="Arial" w:eastAsia="Calibri" w:hAnsi="Arial" w:cs="Arial"/>
          <w:sz w:val="16"/>
          <w:szCs w:val="16"/>
        </w:rPr>
      </w:pPr>
      <w:r w:rsidRPr="00EB3F05">
        <w:rPr>
          <w:rFonts w:ascii="Arial" w:eastAsiaTheme="minorEastAsia" w:hAnsi="Arial" w:cs="Arial"/>
          <w:sz w:val="16"/>
          <w:szCs w:val="16"/>
          <w:lang w:eastAsia="ja-JP"/>
        </w:rPr>
        <w:t>Uganda Bureau of Statistics. (2013). National Labour Force Survey Report. Uganda: Uganda Bureau of Statistics.</w:t>
      </w:r>
    </w:p>
    <w:p w14:paraId="57AAA46E" w14:textId="77777777" w:rsidR="00EB3F05" w:rsidRPr="00EB3F05" w:rsidRDefault="00EB3F05" w:rsidP="00177DCA">
      <w:pPr>
        <w:pStyle w:val="ListParagraph"/>
        <w:numPr>
          <w:ilvl w:val="0"/>
          <w:numId w:val="7"/>
        </w:numPr>
        <w:spacing w:after="0" w:line="240" w:lineRule="auto"/>
        <w:rPr>
          <w:rFonts w:ascii="Arial" w:eastAsia="Calibri" w:hAnsi="Arial" w:cs="Arial"/>
          <w:sz w:val="16"/>
          <w:szCs w:val="16"/>
        </w:rPr>
      </w:pPr>
      <w:r w:rsidRPr="00EB3F05">
        <w:rPr>
          <w:rFonts w:ascii="Arial" w:eastAsia="Calibri" w:hAnsi="Arial" w:cs="Arial"/>
          <w:sz w:val="16"/>
          <w:szCs w:val="16"/>
        </w:rPr>
        <w:t>Joint Press Statement on the dehumanizing and degrading treatment of women in active politics by the Uganda Police Force, Women’s Democracy Group, Oct 2015</w:t>
      </w:r>
    </w:p>
    <w:p w14:paraId="4872E980" w14:textId="77777777" w:rsidR="00EB3F05" w:rsidRPr="00EB3F05" w:rsidRDefault="00EB3F05" w:rsidP="00177DCA">
      <w:pPr>
        <w:pStyle w:val="ListParagraph"/>
        <w:numPr>
          <w:ilvl w:val="0"/>
          <w:numId w:val="7"/>
        </w:numPr>
        <w:spacing w:after="0" w:line="240" w:lineRule="auto"/>
        <w:rPr>
          <w:rFonts w:ascii="Arial" w:hAnsi="Arial" w:cs="Arial"/>
          <w:sz w:val="16"/>
          <w:szCs w:val="16"/>
        </w:rPr>
      </w:pPr>
      <w:r w:rsidRPr="00EB3F05">
        <w:rPr>
          <w:rFonts w:ascii="Arial" w:eastAsiaTheme="minorEastAsia" w:hAnsi="Arial" w:cs="Arial"/>
          <w:sz w:val="16"/>
          <w:szCs w:val="16"/>
          <w:lang w:eastAsia="ja-JP"/>
        </w:rPr>
        <w:t xml:space="preserve">Aritua, P. (2013). Women's Political and Civic Participation in Uganda: Opportunities and Challenges to the Full Realization of Democracy. </w:t>
      </w:r>
      <w:r w:rsidRPr="00EB3F05">
        <w:rPr>
          <w:rFonts w:ascii="Arial" w:eastAsiaTheme="minorEastAsia" w:hAnsi="Arial" w:cs="Arial"/>
          <w:i/>
          <w:iCs/>
          <w:sz w:val="16"/>
          <w:szCs w:val="16"/>
          <w:lang w:eastAsia="ja-JP"/>
        </w:rPr>
        <w:t>International Women's Democracy Network</w:t>
      </w:r>
      <w:r w:rsidRPr="00EB3F05">
        <w:rPr>
          <w:rFonts w:ascii="Arial" w:eastAsiaTheme="minorEastAsia" w:hAnsi="Arial" w:cs="Arial"/>
          <w:sz w:val="16"/>
          <w:szCs w:val="16"/>
          <w:lang w:eastAsia="ja-JP"/>
        </w:rPr>
        <w:t xml:space="preserve">. </w:t>
      </w:r>
      <w:hyperlink r:id="rId24" w:history="1">
        <w:r w:rsidRPr="00EB3F05">
          <w:rPr>
            <w:rStyle w:val="Hyperlink"/>
            <w:rFonts w:ascii="Arial" w:eastAsiaTheme="minorEastAsia" w:hAnsi="Arial" w:cs="Arial"/>
            <w:sz w:val="16"/>
            <w:szCs w:val="16"/>
            <w:lang w:eastAsia="ja-JP"/>
          </w:rPr>
          <w:t>http://www.iwdn.learningpartnership.org/2013/02/womens-political-and-civic-participation-in-uganda-opportunities-and-challenges-to-the-full-realization-of-democracy/</w:t>
        </w:r>
      </w:hyperlink>
    </w:p>
    <w:p w14:paraId="7B74AFA9" w14:textId="77777777" w:rsidR="00EB3F05" w:rsidRPr="00EB3F05" w:rsidRDefault="00EB3F05" w:rsidP="00177DCA">
      <w:pPr>
        <w:pStyle w:val="ListParagraph"/>
        <w:numPr>
          <w:ilvl w:val="0"/>
          <w:numId w:val="7"/>
        </w:numPr>
        <w:spacing w:after="0" w:line="240" w:lineRule="auto"/>
        <w:rPr>
          <w:rFonts w:ascii="Arial" w:hAnsi="Arial" w:cs="Arial"/>
          <w:sz w:val="16"/>
          <w:szCs w:val="16"/>
        </w:rPr>
      </w:pPr>
      <w:r w:rsidRPr="00EB3F05">
        <w:rPr>
          <w:rFonts w:ascii="Arial" w:eastAsiaTheme="minorEastAsia" w:hAnsi="Arial" w:cs="Arial"/>
          <w:sz w:val="16"/>
          <w:szCs w:val="16"/>
          <w:lang w:eastAsia="ja-JP"/>
        </w:rPr>
        <w:t xml:space="preserve">Mallick, C. (2015). Uganda Supreme court outlaws dowry refund on divorce. </w:t>
      </w:r>
      <w:r w:rsidRPr="00EB3F05">
        <w:rPr>
          <w:rFonts w:ascii="Arial" w:eastAsiaTheme="minorEastAsia" w:hAnsi="Arial" w:cs="Arial"/>
          <w:i/>
          <w:iCs/>
          <w:sz w:val="16"/>
          <w:szCs w:val="16"/>
          <w:lang w:eastAsia="ja-JP"/>
        </w:rPr>
        <w:t>Jurist</w:t>
      </w:r>
      <w:r w:rsidRPr="00EB3F05">
        <w:rPr>
          <w:rFonts w:ascii="Arial" w:eastAsiaTheme="minorEastAsia" w:hAnsi="Arial" w:cs="Arial"/>
          <w:sz w:val="16"/>
          <w:szCs w:val="16"/>
          <w:lang w:eastAsia="ja-JP"/>
        </w:rPr>
        <w:t xml:space="preserve">. Retrieved from Jurist website: </w:t>
      </w:r>
      <w:hyperlink r:id="rId25" w:history="1">
        <w:r w:rsidRPr="00EB3F05">
          <w:rPr>
            <w:rStyle w:val="Hyperlink"/>
            <w:rFonts w:ascii="Arial" w:eastAsiaTheme="minorEastAsia" w:hAnsi="Arial" w:cs="Arial"/>
            <w:sz w:val="16"/>
            <w:szCs w:val="16"/>
            <w:lang w:eastAsia="ja-JP"/>
          </w:rPr>
          <w:t>http://jurist.org/paperchase/2015/08/ugandas-top-judges-outlaw-bride-price-refund.php</w:t>
        </w:r>
      </w:hyperlink>
    </w:p>
    <w:p w14:paraId="4683D045" w14:textId="77777777" w:rsidR="00EB3F05" w:rsidRPr="00EB3F05" w:rsidRDefault="00EB3F05" w:rsidP="00177DCA">
      <w:pPr>
        <w:pStyle w:val="ListParagraph"/>
        <w:numPr>
          <w:ilvl w:val="0"/>
          <w:numId w:val="7"/>
        </w:numPr>
        <w:spacing w:after="0" w:line="240" w:lineRule="auto"/>
        <w:rPr>
          <w:rFonts w:ascii="Arial" w:hAnsi="Arial" w:cs="Arial"/>
          <w:sz w:val="16"/>
          <w:szCs w:val="16"/>
        </w:rPr>
      </w:pPr>
      <w:r w:rsidRPr="00EB3F05">
        <w:rPr>
          <w:rFonts w:ascii="Arial" w:eastAsiaTheme="minorEastAsia" w:hAnsi="Arial" w:cs="Arial"/>
          <w:sz w:val="16"/>
          <w:szCs w:val="16"/>
          <w:lang w:eastAsia="ja-JP"/>
        </w:rPr>
        <w:t xml:space="preserve">Emodek J., Kwesiga, P., &amp; Nsambu, H. (2013). Domestic violence cases soar. </w:t>
      </w:r>
      <w:r w:rsidRPr="00EB3F05">
        <w:rPr>
          <w:rFonts w:ascii="Arial" w:eastAsiaTheme="minorEastAsia" w:hAnsi="Arial" w:cs="Arial"/>
          <w:i/>
          <w:iCs/>
          <w:sz w:val="16"/>
          <w:szCs w:val="16"/>
          <w:lang w:eastAsia="ja-JP"/>
        </w:rPr>
        <w:t>New Vision</w:t>
      </w:r>
      <w:r w:rsidRPr="00EB3F05">
        <w:rPr>
          <w:rFonts w:ascii="Arial" w:eastAsiaTheme="minorEastAsia" w:hAnsi="Arial" w:cs="Arial"/>
          <w:sz w:val="16"/>
          <w:szCs w:val="16"/>
          <w:lang w:eastAsia="ja-JP"/>
        </w:rPr>
        <w:t xml:space="preserve">. </w:t>
      </w:r>
      <w:hyperlink r:id="rId26" w:history="1">
        <w:r w:rsidRPr="00EB3F05">
          <w:rPr>
            <w:rStyle w:val="Hyperlink"/>
            <w:rFonts w:ascii="Arial" w:eastAsiaTheme="minorEastAsia" w:hAnsi="Arial" w:cs="Arial"/>
            <w:sz w:val="16"/>
            <w:szCs w:val="16"/>
            <w:lang w:eastAsia="ja-JP"/>
          </w:rPr>
          <w:t>http://www.newvision.co.ug/news/644085-domestic-violence-cases-soar.html</w:t>
        </w:r>
      </w:hyperlink>
    </w:p>
    <w:p w14:paraId="76C10A69" w14:textId="030896F8" w:rsidR="00E8371C" w:rsidRPr="00E8371C" w:rsidRDefault="00E8371C" w:rsidP="00177DCA">
      <w:pPr>
        <w:pStyle w:val="FootnoteText"/>
        <w:numPr>
          <w:ilvl w:val="0"/>
          <w:numId w:val="7"/>
        </w:numPr>
        <w:rPr>
          <w:sz w:val="16"/>
          <w:szCs w:val="16"/>
        </w:rPr>
      </w:pPr>
      <w:r w:rsidRPr="00E8371C">
        <w:rPr>
          <w:sz w:val="16"/>
          <w:szCs w:val="16"/>
        </w:rPr>
        <w:t xml:space="preserve">Uganda Parliament. (2007). </w:t>
      </w:r>
      <w:r w:rsidRPr="00E8371C">
        <w:rPr>
          <w:i/>
          <w:iCs/>
          <w:sz w:val="16"/>
          <w:szCs w:val="16"/>
        </w:rPr>
        <w:t>Penal Code (Amendment) Act 2007</w:t>
      </w:r>
      <w:r w:rsidRPr="00E8371C">
        <w:rPr>
          <w:sz w:val="16"/>
          <w:szCs w:val="16"/>
        </w:rPr>
        <w:t xml:space="preserve">.  Uganda: Uganda Parliament Retrieved from </w:t>
      </w:r>
      <w:hyperlink r:id="rId27" w:history="1">
        <w:r w:rsidRPr="00E8371C">
          <w:rPr>
            <w:rStyle w:val="Hyperlink"/>
            <w:sz w:val="16"/>
            <w:szCs w:val="16"/>
          </w:rPr>
          <w:t>https://www.icrc.org/applic/ihl/ihl-nat.nsf/a24d1cf3344e99934125673e00508142/158bbdbd1f43d1ebc12576f5003f7381/$FILE/Penal%20Code%20(Amendment)%20Act%20.pdf</w:t>
        </w:r>
      </w:hyperlink>
      <w:r w:rsidRPr="00E8371C">
        <w:rPr>
          <w:sz w:val="16"/>
          <w:szCs w:val="16"/>
        </w:rPr>
        <w:t>.</w:t>
      </w:r>
    </w:p>
    <w:p w14:paraId="3FD62C75" w14:textId="66B95893" w:rsidR="00EB3F05" w:rsidRPr="00EB3F05" w:rsidRDefault="00EB3F05" w:rsidP="00177DCA">
      <w:pPr>
        <w:pStyle w:val="FootnoteText"/>
        <w:numPr>
          <w:ilvl w:val="0"/>
          <w:numId w:val="7"/>
        </w:numPr>
        <w:rPr>
          <w:sz w:val="16"/>
          <w:szCs w:val="16"/>
        </w:rPr>
      </w:pPr>
      <w:r w:rsidRPr="00EB3F05">
        <w:rPr>
          <w:rFonts w:eastAsiaTheme="minorEastAsia"/>
          <w:sz w:val="16"/>
          <w:szCs w:val="16"/>
          <w:lang w:eastAsia="ja-JP"/>
        </w:rPr>
        <w:t xml:space="preserve">Central Intelligence Agency. Population Growth Rate. 2015, from </w:t>
      </w:r>
      <w:hyperlink r:id="rId28" w:history="1">
        <w:r w:rsidRPr="00EB3F05">
          <w:rPr>
            <w:rStyle w:val="Hyperlink"/>
            <w:rFonts w:eastAsiaTheme="minorEastAsia"/>
            <w:sz w:val="16"/>
            <w:szCs w:val="16"/>
            <w:lang w:eastAsia="ja-JP"/>
          </w:rPr>
          <w:t>https://www.cia.gov/library/publications/the-world-factbook/fields/2002.html</w:t>
        </w:r>
      </w:hyperlink>
    </w:p>
    <w:p w14:paraId="1674520F" w14:textId="77777777" w:rsidR="00EB3F05" w:rsidRPr="00EB3F05" w:rsidRDefault="00EB3F05" w:rsidP="00177DCA">
      <w:pPr>
        <w:pStyle w:val="FootnoteText"/>
        <w:numPr>
          <w:ilvl w:val="0"/>
          <w:numId w:val="7"/>
        </w:numPr>
        <w:rPr>
          <w:sz w:val="16"/>
          <w:szCs w:val="16"/>
        </w:rPr>
      </w:pPr>
      <w:r w:rsidRPr="00EB3F05">
        <w:rPr>
          <w:sz w:val="16"/>
          <w:szCs w:val="16"/>
        </w:rPr>
        <w:t xml:space="preserve">Ahaibwe, G., Mbowa, S.,. (2014). Youth Unemployment Challenge in Uganda and the Role of Employment Policies in Jobs Creation. Africa in focus. Retrieved from Brookings website: </w:t>
      </w:r>
      <w:hyperlink r:id="rId29" w:history="1">
        <w:r w:rsidRPr="00EB3F05">
          <w:rPr>
            <w:rStyle w:val="Hyperlink"/>
            <w:sz w:val="16"/>
            <w:szCs w:val="16"/>
          </w:rPr>
          <w:t>http://www.brookings.edu/blogs/africa-in-focus/posts/2014/08/26-youth-unemployment-uganda-ahaibwe-mbowa</w:t>
        </w:r>
      </w:hyperlink>
    </w:p>
    <w:p w14:paraId="077CBCDB" w14:textId="77777777" w:rsidR="00EB3F05" w:rsidRPr="00EB3F05" w:rsidRDefault="00EB3F05" w:rsidP="00177DCA">
      <w:pPr>
        <w:pStyle w:val="FootnoteText"/>
        <w:numPr>
          <w:ilvl w:val="0"/>
          <w:numId w:val="7"/>
        </w:numPr>
        <w:rPr>
          <w:sz w:val="16"/>
          <w:szCs w:val="16"/>
        </w:rPr>
      </w:pPr>
      <w:r w:rsidRPr="00EB3F05">
        <w:rPr>
          <w:rFonts w:eastAsiaTheme="minorEastAsia"/>
          <w:sz w:val="16"/>
          <w:szCs w:val="16"/>
          <w:lang w:eastAsia="ja-JP"/>
        </w:rPr>
        <w:t xml:space="preserve">Ministry of Health. (2013). </w:t>
      </w:r>
      <w:r w:rsidRPr="00EB3F05">
        <w:rPr>
          <w:rFonts w:eastAsiaTheme="minorEastAsia"/>
          <w:i/>
          <w:iCs/>
          <w:sz w:val="16"/>
          <w:szCs w:val="16"/>
          <w:lang w:eastAsia="ja-JP"/>
        </w:rPr>
        <w:t>Republic of Uganda National Health Accounts</w:t>
      </w:r>
      <w:r w:rsidRPr="00EB3F05">
        <w:rPr>
          <w:rFonts w:eastAsiaTheme="minorEastAsia"/>
          <w:sz w:val="16"/>
          <w:szCs w:val="16"/>
          <w:lang w:eastAsia="ja-JP"/>
        </w:rPr>
        <w:t xml:space="preserve">.  Uganda: Ministry of Health Retrieved from </w:t>
      </w:r>
      <w:hyperlink r:id="rId30" w:history="1">
        <w:r w:rsidRPr="00EB3F05">
          <w:rPr>
            <w:rStyle w:val="Hyperlink"/>
            <w:rFonts w:eastAsiaTheme="minorEastAsia"/>
            <w:sz w:val="16"/>
            <w:szCs w:val="16"/>
            <w:lang w:eastAsia="ja-JP"/>
          </w:rPr>
          <w:t>http://health.go.ug/docs/NHA_REPORT_FINAL_13.pdf</w:t>
        </w:r>
      </w:hyperlink>
      <w:r w:rsidRPr="00EB3F05">
        <w:rPr>
          <w:rFonts w:eastAsiaTheme="minorEastAsia"/>
          <w:sz w:val="16"/>
          <w:szCs w:val="16"/>
          <w:lang w:eastAsia="ja-JP"/>
        </w:rPr>
        <w:t>.</w:t>
      </w:r>
    </w:p>
    <w:p w14:paraId="5765C1E6" w14:textId="77777777" w:rsidR="00EB3F05" w:rsidRPr="00EB3F05" w:rsidRDefault="00EB3F05" w:rsidP="00177DCA">
      <w:pPr>
        <w:pStyle w:val="FootnoteText"/>
        <w:numPr>
          <w:ilvl w:val="0"/>
          <w:numId w:val="7"/>
        </w:numPr>
        <w:rPr>
          <w:sz w:val="16"/>
          <w:szCs w:val="16"/>
        </w:rPr>
      </w:pPr>
      <w:r w:rsidRPr="00EB3F05">
        <w:rPr>
          <w:rFonts w:eastAsiaTheme="minorEastAsia"/>
          <w:sz w:val="16"/>
          <w:szCs w:val="16"/>
          <w:lang w:eastAsia="ja-JP"/>
        </w:rPr>
        <w:t>USAID Uganda. (2015). Karamoja Field-based Portfolio Review. Uganda: USAID Uganda.</w:t>
      </w:r>
    </w:p>
    <w:p w14:paraId="75CC7210" w14:textId="77777777" w:rsidR="00EB3F05" w:rsidRPr="00EB3F05" w:rsidRDefault="00EB3F05" w:rsidP="00177DCA">
      <w:pPr>
        <w:pStyle w:val="FootnoteText"/>
        <w:numPr>
          <w:ilvl w:val="0"/>
          <w:numId w:val="7"/>
        </w:numPr>
        <w:rPr>
          <w:sz w:val="16"/>
          <w:szCs w:val="16"/>
        </w:rPr>
      </w:pPr>
      <w:r w:rsidRPr="00EB3F05">
        <w:rPr>
          <w:rFonts w:eastAsiaTheme="minorEastAsia"/>
          <w:sz w:val="16"/>
          <w:szCs w:val="16"/>
          <w:lang w:eastAsia="ja-JP"/>
        </w:rPr>
        <w:t>Moyer, J. D., Bohl, D. K., Johnson, S., Moyer, J.,. (2015). Advancing development in Uganda: evaluating policy choices for 2016-21 and selected impacts to 2040 (Final ed., pp. 33). Denver: Frederick S. Pardee Center for International Futures.</w:t>
      </w:r>
    </w:p>
    <w:p w14:paraId="3F40C407" w14:textId="77777777" w:rsidR="00EB3F05" w:rsidRPr="00EB3F05" w:rsidRDefault="00EB3F05" w:rsidP="00177DCA">
      <w:pPr>
        <w:pStyle w:val="FootnoteText"/>
        <w:numPr>
          <w:ilvl w:val="0"/>
          <w:numId w:val="7"/>
        </w:numPr>
        <w:rPr>
          <w:sz w:val="16"/>
          <w:szCs w:val="16"/>
        </w:rPr>
      </w:pPr>
      <w:r w:rsidRPr="00EB3F05">
        <w:rPr>
          <w:rFonts w:eastAsiaTheme="minorEastAsia"/>
          <w:sz w:val="16"/>
          <w:szCs w:val="16"/>
          <w:lang w:eastAsia="ja-JP"/>
        </w:rPr>
        <w:t xml:space="preserve">Gribble, J. N. (2012). South Korea's Demographic Dividend. </w:t>
      </w:r>
      <w:r w:rsidRPr="00EB3F05">
        <w:rPr>
          <w:rFonts w:eastAsiaTheme="minorEastAsia"/>
          <w:i/>
          <w:iCs/>
          <w:sz w:val="16"/>
          <w:szCs w:val="16"/>
          <w:lang w:eastAsia="ja-JP"/>
        </w:rPr>
        <w:t>Population Reference Bureau</w:t>
      </w:r>
      <w:r w:rsidRPr="00EB3F05">
        <w:rPr>
          <w:rFonts w:eastAsiaTheme="minorEastAsia"/>
          <w:sz w:val="16"/>
          <w:szCs w:val="16"/>
          <w:lang w:eastAsia="ja-JP"/>
        </w:rPr>
        <w:t xml:space="preserve">. </w:t>
      </w:r>
      <w:hyperlink r:id="rId31" w:history="1">
        <w:r w:rsidRPr="00EB3F05">
          <w:rPr>
            <w:rStyle w:val="Hyperlink"/>
            <w:rFonts w:eastAsiaTheme="minorEastAsia"/>
            <w:sz w:val="16"/>
            <w:szCs w:val="16"/>
            <w:lang w:eastAsia="ja-JP"/>
          </w:rPr>
          <w:t>http://www.prb.org/Publications/Articles/2012/south-korea-population.aspx</w:t>
        </w:r>
      </w:hyperlink>
    </w:p>
    <w:p w14:paraId="32AD0FE5" w14:textId="77777777" w:rsidR="00EB3F05" w:rsidRPr="00EB3F05" w:rsidRDefault="00EB3F05" w:rsidP="00177DCA">
      <w:pPr>
        <w:pStyle w:val="FootnoteText"/>
        <w:numPr>
          <w:ilvl w:val="0"/>
          <w:numId w:val="7"/>
        </w:numPr>
        <w:rPr>
          <w:sz w:val="16"/>
          <w:szCs w:val="16"/>
        </w:rPr>
      </w:pPr>
      <w:r w:rsidRPr="00EB3F05">
        <w:rPr>
          <w:rFonts w:eastAsiaTheme="minorEastAsia"/>
          <w:sz w:val="16"/>
          <w:szCs w:val="16"/>
          <w:lang w:eastAsia="ja-JP"/>
        </w:rPr>
        <w:t xml:space="preserve">Gupta, M. D. (2015). </w:t>
      </w:r>
      <w:r w:rsidRPr="00EB3F05">
        <w:rPr>
          <w:rFonts w:eastAsiaTheme="minorEastAsia"/>
          <w:i/>
          <w:iCs/>
          <w:sz w:val="16"/>
          <w:szCs w:val="16"/>
          <w:lang w:eastAsia="ja-JP"/>
        </w:rPr>
        <w:t>Reaping the Demographic Dividend: Components and Policies Required</w:t>
      </w:r>
      <w:r w:rsidRPr="00EB3F05">
        <w:rPr>
          <w:rFonts w:eastAsiaTheme="minorEastAsia"/>
          <w:sz w:val="16"/>
          <w:szCs w:val="16"/>
          <w:lang w:eastAsia="ja-JP"/>
        </w:rPr>
        <w:t xml:space="preserve">. Paper presented at the Population Association of America annual meeting, San Diego. </w:t>
      </w:r>
      <w:hyperlink r:id="rId32" w:history="1">
        <w:r w:rsidRPr="00EB3F05">
          <w:rPr>
            <w:rStyle w:val="Hyperlink"/>
            <w:rFonts w:eastAsiaTheme="minorEastAsia"/>
            <w:sz w:val="16"/>
            <w:szCs w:val="16"/>
            <w:lang w:eastAsia="ja-JP"/>
          </w:rPr>
          <w:t>http://paa2015.princeton.edu/uploads/150432</w:t>
        </w:r>
      </w:hyperlink>
    </w:p>
    <w:p w14:paraId="34478561" w14:textId="77777777" w:rsidR="00EB3F05" w:rsidRPr="00EB3F05" w:rsidRDefault="00EB3F05" w:rsidP="00177DCA">
      <w:pPr>
        <w:pStyle w:val="ListParagraph"/>
        <w:numPr>
          <w:ilvl w:val="0"/>
          <w:numId w:val="7"/>
        </w:numPr>
        <w:spacing w:after="0" w:line="240" w:lineRule="auto"/>
        <w:rPr>
          <w:rFonts w:ascii="Arial" w:eastAsia="Calibri" w:hAnsi="Arial" w:cs="Arial"/>
          <w:sz w:val="16"/>
          <w:szCs w:val="16"/>
        </w:rPr>
      </w:pPr>
      <w:r w:rsidRPr="00EB3F05">
        <w:rPr>
          <w:rFonts w:ascii="Arial" w:eastAsiaTheme="minorEastAsia" w:hAnsi="Arial" w:cs="Arial"/>
          <w:sz w:val="16"/>
          <w:szCs w:val="16"/>
          <w:lang w:eastAsia="ja-JP"/>
        </w:rPr>
        <w:t xml:space="preserve">Aiyar, S., Mody, A. (2011). How big is India's demographic dividend? Evidence from the states. </w:t>
      </w:r>
      <w:r w:rsidRPr="00EB3F05">
        <w:rPr>
          <w:rFonts w:ascii="Arial" w:eastAsiaTheme="minorEastAsia" w:hAnsi="Arial" w:cs="Arial"/>
          <w:i/>
          <w:iCs/>
          <w:sz w:val="16"/>
          <w:szCs w:val="16"/>
          <w:lang w:eastAsia="ja-JP"/>
        </w:rPr>
        <w:t>Vox CEPR's Policy Portal</w:t>
      </w:r>
      <w:r w:rsidRPr="00EB3F05">
        <w:rPr>
          <w:rFonts w:ascii="Arial" w:eastAsiaTheme="minorEastAsia" w:hAnsi="Arial" w:cs="Arial"/>
          <w:sz w:val="16"/>
          <w:szCs w:val="16"/>
          <w:lang w:eastAsia="ja-JP"/>
        </w:rPr>
        <w:t xml:space="preserve">. Retrieved from Vox CEPR's Policy Portal website: </w:t>
      </w:r>
      <w:hyperlink r:id="rId33" w:history="1">
        <w:r w:rsidRPr="00EB3F05">
          <w:rPr>
            <w:rStyle w:val="Hyperlink"/>
            <w:rFonts w:ascii="Arial" w:eastAsiaTheme="minorEastAsia" w:hAnsi="Arial" w:cs="Arial"/>
            <w:sz w:val="16"/>
            <w:szCs w:val="16"/>
            <w:lang w:eastAsia="ja-JP"/>
          </w:rPr>
          <w:t>http://www.voxeu.org/article/how-big-india-s-demographic-dividend</w:t>
        </w:r>
      </w:hyperlink>
    </w:p>
    <w:p w14:paraId="36D4B521" w14:textId="77777777" w:rsidR="00EB3F05" w:rsidRPr="00EB3F05" w:rsidRDefault="00EB3F05" w:rsidP="00177DCA">
      <w:pPr>
        <w:pStyle w:val="ListParagraph"/>
        <w:numPr>
          <w:ilvl w:val="0"/>
          <w:numId w:val="7"/>
        </w:numPr>
        <w:spacing w:after="0" w:line="240" w:lineRule="auto"/>
        <w:rPr>
          <w:rFonts w:ascii="Arial" w:eastAsia="Calibri" w:hAnsi="Arial" w:cs="Arial"/>
          <w:sz w:val="16"/>
          <w:szCs w:val="16"/>
        </w:rPr>
      </w:pPr>
      <w:r w:rsidRPr="00EB3F05">
        <w:rPr>
          <w:rFonts w:ascii="Arial" w:eastAsiaTheme="minorEastAsia" w:hAnsi="Arial" w:cs="Arial"/>
          <w:sz w:val="16"/>
          <w:szCs w:val="16"/>
          <w:lang w:eastAsia="ja-JP"/>
        </w:rPr>
        <w:t xml:space="preserve">World Bank. (2015). Mortality rate, infant (per 1,000 live births).  Retrieved 2015, from World Bank </w:t>
      </w:r>
      <w:hyperlink r:id="rId34" w:history="1">
        <w:r w:rsidRPr="00EB3F05">
          <w:rPr>
            <w:rStyle w:val="Hyperlink"/>
            <w:rFonts w:ascii="Arial" w:eastAsiaTheme="minorEastAsia" w:hAnsi="Arial" w:cs="Arial"/>
            <w:sz w:val="16"/>
            <w:szCs w:val="16"/>
            <w:lang w:eastAsia="ja-JP"/>
          </w:rPr>
          <w:t>http://data.worldbank.org/indicator/SP.DYN.IMRT.IN</w:t>
        </w:r>
      </w:hyperlink>
    </w:p>
    <w:p w14:paraId="19357321" w14:textId="77777777" w:rsidR="00EB3F05" w:rsidRPr="00EB3F05" w:rsidRDefault="00EB3F05" w:rsidP="00177DCA">
      <w:pPr>
        <w:pStyle w:val="ListParagraph"/>
        <w:numPr>
          <w:ilvl w:val="0"/>
          <w:numId w:val="7"/>
        </w:numPr>
        <w:spacing w:after="0" w:line="240" w:lineRule="auto"/>
        <w:rPr>
          <w:rFonts w:ascii="Arial" w:eastAsia="Calibri" w:hAnsi="Arial" w:cs="Arial"/>
          <w:sz w:val="16"/>
          <w:szCs w:val="16"/>
        </w:rPr>
      </w:pPr>
      <w:r w:rsidRPr="00EB3F05">
        <w:rPr>
          <w:rFonts w:ascii="Arial" w:eastAsiaTheme="minorEastAsia" w:hAnsi="Arial" w:cs="Arial"/>
          <w:sz w:val="16"/>
          <w:szCs w:val="16"/>
          <w:lang w:eastAsia="ja-JP"/>
        </w:rPr>
        <w:t xml:space="preserve">Ministry of Health. (2013). Reproductive Maternal, New Born and Child Health Sharpened Plan for Uganda </w:t>
      </w:r>
      <w:r w:rsidRPr="00EB3F05">
        <w:rPr>
          <w:rFonts w:ascii="Arial" w:eastAsiaTheme="minorEastAsia" w:hAnsi="Arial" w:cs="Arial"/>
          <w:i/>
          <w:iCs/>
          <w:sz w:val="16"/>
          <w:szCs w:val="16"/>
          <w:lang w:eastAsia="ja-JP"/>
        </w:rPr>
        <w:t>Committing to Child Survival: A Promise Renewed</w:t>
      </w:r>
      <w:r w:rsidRPr="00EB3F05">
        <w:rPr>
          <w:rFonts w:ascii="Arial" w:eastAsiaTheme="minorEastAsia" w:hAnsi="Arial" w:cs="Arial"/>
          <w:sz w:val="16"/>
          <w:szCs w:val="16"/>
          <w:lang w:eastAsia="ja-JP"/>
        </w:rPr>
        <w:t>: Ministry of Health.</w:t>
      </w:r>
    </w:p>
    <w:p w14:paraId="328E7F0C" w14:textId="77777777" w:rsidR="00EB3F05" w:rsidRPr="00EB3F05" w:rsidRDefault="00EB3F05" w:rsidP="00177DCA">
      <w:pPr>
        <w:pStyle w:val="ListParagraph"/>
        <w:numPr>
          <w:ilvl w:val="0"/>
          <w:numId w:val="7"/>
        </w:numPr>
        <w:spacing w:after="0" w:line="240" w:lineRule="auto"/>
        <w:rPr>
          <w:rFonts w:ascii="Arial" w:eastAsia="Calibri" w:hAnsi="Arial" w:cs="Arial"/>
          <w:sz w:val="16"/>
          <w:szCs w:val="16"/>
        </w:rPr>
      </w:pPr>
      <w:r w:rsidRPr="00EB3F05">
        <w:rPr>
          <w:rFonts w:ascii="Arial" w:eastAsiaTheme="minorEastAsia" w:hAnsi="Arial" w:cs="Arial"/>
          <w:sz w:val="16"/>
          <w:szCs w:val="16"/>
          <w:lang w:eastAsia="ja-JP"/>
        </w:rPr>
        <w:t xml:space="preserve">. (2014). </w:t>
      </w:r>
      <w:r w:rsidRPr="00EB3F05">
        <w:rPr>
          <w:rFonts w:ascii="Arial" w:eastAsiaTheme="minorEastAsia" w:hAnsi="Arial" w:cs="Arial"/>
          <w:i/>
          <w:iCs/>
          <w:sz w:val="16"/>
          <w:szCs w:val="16"/>
          <w:lang w:eastAsia="ja-JP"/>
        </w:rPr>
        <w:t>African Journal of Reproductive Health, 18</w:t>
      </w:r>
      <w:r w:rsidRPr="00EB3F05">
        <w:rPr>
          <w:rFonts w:ascii="Arial" w:eastAsiaTheme="minorEastAsia" w:hAnsi="Arial" w:cs="Arial"/>
          <w:sz w:val="16"/>
          <w:szCs w:val="16"/>
          <w:lang w:eastAsia="ja-JP"/>
        </w:rPr>
        <w:t>(3).</w:t>
      </w:r>
    </w:p>
    <w:p w14:paraId="1FACC2D5" w14:textId="1613D22D" w:rsidR="00EB3F05" w:rsidRPr="00E07B55" w:rsidRDefault="00E07B55" w:rsidP="00177DCA">
      <w:pPr>
        <w:pStyle w:val="ListParagraph"/>
        <w:numPr>
          <w:ilvl w:val="0"/>
          <w:numId w:val="7"/>
        </w:numPr>
        <w:spacing w:after="0" w:line="240" w:lineRule="auto"/>
        <w:rPr>
          <w:rFonts w:ascii="Arial" w:eastAsia="Calibri" w:hAnsi="Arial" w:cs="Arial"/>
          <w:sz w:val="16"/>
          <w:szCs w:val="16"/>
        </w:rPr>
      </w:pPr>
      <w:r w:rsidRPr="00E07B55">
        <w:rPr>
          <w:rFonts w:ascii="Arial" w:hAnsi="Arial" w:cs="Arial"/>
          <w:sz w:val="16"/>
          <w:szCs w:val="16"/>
        </w:rPr>
        <w:t>Sizomu, A., Brucker, M., Muwonge, M.,. (2014). Family Planning in Uganda: A Review of National and District Policies and Budgets. Uganda: Deutsche Stiftung Weltbevoelkerung.</w:t>
      </w:r>
    </w:p>
    <w:p w14:paraId="41BB2631" w14:textId="77777777" w:rsidR="00EB3F05" w:rsidRPr="00EB3F05" w:rsidRDefault="00EB3F05" w:rsidP="00177DCA">
      <w:pPr>
        <w:pStyle w:val="ListParagraph"/>
        <w:numPr>
          <w:ilvl w:val="0"/>
          <w:numId w:val="7"/>
        </w:numPr>
        <w:spacing w:after="0" w:line="240" w:lineRule="auto"/>
        <w:rPr>
          <w:rFonts w:ascii="Arial" w:eastAsia="Calibri" w:hAnsi="Arial" w:cs="Arial"/>
          <w:sz w:val="16"/>
          <w:szCs w:val="16"/>
        </w:rPr>
      </w:pPr>
      <w:r w:rsidRPr="00EB3F05">
        <w:rPr>
          <w:rFonts w:ascii="Arial" w:eastAsiaTheme="minorEastAsia" w:hAnsi="Arial" w:cs="Arial"/>
          <w:sz w:val="16"/>
          <w:szCs w:val="16"/>
          <w:lang w:eastAsia="ja-JP"/>
        </w:rPr>
        <w:t xml:space="preserve">Knowledge for Health (K4 Health) Project. Georgetown Institute for Reproductive Health (IRH). 2015, from </w:t>
      </w:r>
      <w:hyperlink r:id="rId35" w:history="1">
        <w:r w:rsidRPr="00EB3F05">
          <w:rPr>
            <w:rStyle w:val="Hyperlink"/>
            <w:rFonts w:ascii="Arial" w:eastAsiaTheme="minorEastAsia" w:hAnsi="Arial" w:cs="Arial"/>
            <w:sz w:val="16"/>
            <w:szCs w:val="16"/>
            <w:lang w:eastAsia="ja-JP"/>
          </w:rPr>
          <w:t>https://www.k4health.org/tags/georgetown-university-institute-reproductive-health-irh</w:t>
        </w:r>
      </w:hyperlink>
    </w:p>
    <w:p w14:paraId="43B50436" w14:textId="77777777" w:rsidR="00EB3F05" w:rsidRPr="00EB3F05" w:rsidRDefault="00EB3F05" w:rsidP="00177DCA">
      <w:pPr>
        <w:pStyle w:val="ListParagraph"/>
        <w:numPr>
          <w:ilvl w:val="0"/>
          <w:numId w:val="7"/>
        </w:numPr>
        <w:spacing w:after="0" w:line="240" w:lineRule="auto"/>
        <w:rPr>
          <w:rFonts w:ascii="Arial" w:hAnsi="Arial" w:cs="Arial"/>
          <w:sz w:val="16"/>
          <w:szCs w:val="16"/>
        </w:rPr>
      </w:pPr>
      <w:r w:rsidRPr="00EB3F05">
        <w:rPr>
          <w:rFonts w:ascii="Arial" w:eastAsiaTheme="minorEastAsia" w:hAnsi="Arial" w:cs="Arial"/>
          <w:sz w:val="16"/>
          <w:szCs w:val="16"/>
          <w:lang w:eastAsia="ja-JP"/>
        </w:rPr>
        <w:t xml:space="preserve">Kakaire, O., Kaye, D., Osinde, M. O.,. (2011). Male involvement in birth preparedness and complication readiness for emergency obstetric referrals in rural Uganda. </w:t>
      </w:r>
      <w:r w:rsidRPr="00EB3F05">
        <w:rPr>
          <w:rFonts w:ascii="Arial" w:eastAsiaTheme="minorEastAsia" w:hAnsi="Arial" w:cs="Arial"/>
          <w:i/>
          <w:iCs/>
          <w:sz w:val="16"/>
          <w:szCs w:val="16"/>
          <w:lang w:eastAsia="ja-JP"/>
        </w:rPr>
        <w:t>Reproductive Health, 8</w:t>
      </w:r>
      <w:r w:rsidRPr="00EB3F05">
        <w:rPr>
          <w:rFonts w:ascii="Arial" w:eastAsiaTheme="minorEastAsia" w:hAnsi="Arial" w:cs="Arial"/>
          <w:sz w:val="16"/>
          <w:szCs w:val="16"/>
          <w:lang w:eastAsia="ja-JP"/>
        </w:rPr>
        <w:t>(12).</w:t>
      </w:r>
    </w:p>
    <w:p w14:paraId="126F605D" w14:textId="77777777" w:rsidR="00EB3F05" w:rsidRPr="00EB3F05" w:rsidRDefault="00EB3F05" w:rsidP="00177DCA">
      <w:pPr>
        <w:pStyle w:val="ListParagraph"/>
        <w:numPr>
          <w:ilvl w:val="0"/>
          <w:numId w:val="7"/>
        </w:numPr>
        <w:spacing w:after="0" w:line="240" w:lineRule="auto"/>
        <w:rPr>
          <w:rFonts w:ascii="Arial" w:hAnsi="Arial" w:cs="Arial"/>
          <w:sz w:val="16"/>
          <w:szCs w:val="16"/>
        </w:rPr>
      </w:pPr>
      <w:r w:rsidRPr="00EB3F05">
        <w:rPr>
          <w:rFonts w:ascii="Arial" w:eastAsiaTheme="minorEastAsia" w:hAnsi="Arial" w:cs="Arial"/>
          <w:sz w:val="16"/>
          <w:szCs w:val="16"/>
          <w:lang w:eastAsia="ja-JP"/>
        </w:rPr>
        <w:t xml:space="preserve">Kabagenyi, A., Jennings, L., Reid, A., Nalwadda, G., Ntozi, J., Atuyambe, L.,. (2014). Barriers to male involvement in contraceptive uptake and reproductive health services: a qualitative study of men and women's perceptions in two rural districts in Uganda. </w:t>
      </w:r>
      <w:r w:rsidRPr="00EB3F05">
        <w:rPr>
          <w:rFonts w:ascii="Arial" w:eastAsiaTheme="minorEastAsia" w:hAnsi="Arial" w:cs="Arial"/>
          <w:i/>
          <w:iCs/>
          <w:sz w:val="16"/>
          <w:szCs w:val="16"/>
          <w:lang w:eastAsia="ja-JP"/>
        </w:rPr>
        <w:t>Reproductive Health, 11</w:t>
      </w:r>
      <w:r w:rsidRPr="00EB3F05">
        <w:rPr>
          <w:rFonts w:ascii="Arial" w:eastAsiaTheme="minorEastAsia" w:hAnsi="Arial" w:cs="Arial"/>
          <w:sz w:val="16"/>
          <w:szCs w:val="16"/>
          <w:lang w:eastAsia="ja-JP"/>
        </w:rPr>
        <w:t>(1), 1.</w:t>
      </w:r>
    </w:p>
    <w:p w14:paraId="55D093F8" w14:textId="77777777" w:rsidR="00EB3F05" w:rsidRPr="00EB3F05" w:rsidRDefault="00EB3F05" w:rsidP="00177DCA">
      <w:pPr>
        <w:pStyle w:val="ListParagraph"/>
        <w:numPr>
          <w:ilvl w:val="0"/>
          <w:numId w:val="7"/>
        </w:numPr>
        <w:spacing w:after="0" w:line="240" w:lineRule="auto"/>
        <w:rPr>
          <w:rFonts w:ascii="Arial" w:hAnsi="Arial" w:cs="Arial"/>
          <w:sz w:val="16"/>
          <w:szCs w:val="16"/>
        </w:rPr>
      </w:pPr>
      <w:r w:rsidRPr="00EB3F05">
        <w:rPr>
          <w:rFonts w:ascii="Arial" w:eastAsiaTheme="minorEastAsia" w:hAnsi="Arial" w:cs="Arial"/>
          <w:sz w:val="16"/>
          <w:szCs w:val="16"/>
          <w:lang w:eastAsia="ja-JP"/>
        </w:rPr>
        <w:t xml:space="preserve">Mifumi. Bride Price. 2015, from </w:t>
      </w:r>
      <w:hyperlink r:id="rId36" w:history="1">
        <w:r w:rsidRPr="00EB3F05">
          <w:rPr>
            <w:rStyle w:val="Hyperlink"/>
            <w:rFonts w:ascii="Arial" w:eastAsiaTheme="minorEastAsia" w:hAnsi="Arial" w:cs="Arial"/>
            <w:sz w:val="16"/>
            <w:szCs w:val="16"/>
            <w:lang w:eastAsia="ja-JP"/>
          </w:rPr>
          <w:t>http://www.mifumi.org/bride_price.php</w:t>
        </w:r>
      </w:hyperlink>
    </w:p>
    <w:p w14:paraId="3DC9762C" w14:textId="77777777" w:rsidR="00EB3F05" w:rsidRPr="00EB3F05" w:rsidRDefault="00EB3F05" w:rsidP="00177DCA">
      <w:pPr>
        <w:pStyle w:val="FootnoteText"/>
        <w:numPr>
          <w:ilvl w:val="0"/>
          <w:numId w:val="7"/>
        </w:numPr>
        <w:rPr>
          <w:sz w:val="16"/>
          <w:szCs w:val="16"/>
        </w:rPr>
      </w:pPr>
      <w:r w:rsidRPr="00EB3F05">
        <w:rPr>
          <w:rFonts w:eastAsiaTheme="minorEastAsia"/>
          <w:sz w:val="16"/>
          <w:szCs w:val="16"/>
          <w:lang w:eastAsia="ja-JP"/>
        </w:rPr>
        <w:t>USAID. (2012). Ending Child Marriage and Meeting the Needs of Married Children: The USAID Vision for Action. Washington, District of Columbia: USAID.</w:t>
      </w:r>
    </w:p>
    <w:p w14:paraId="74C75118" w14:textId="77777777" w:rsidR="00EB3F05" w:rsidRPr="00EB3F05" w:rsidRDefault="00EB3F05" w:rsidP="00177DCA">
      <w:pPr>
        <w:pStyle w:val="ListParagraph"/>
        <w:numPr>
          <w:ilvl w:val="0"/>
          <w:numId w:val="7"/>
        </w:numPr>
        <w:spacing w:after="0" w:line="240" w:lineRule="auto"/>
        <w:rPr>
          <w:rFonts w:ascii="Arial" w:hAnsi="Arial" w:cs="Arial"/>
          <w:sz w:val="16"/>
          <w:szCs w:val="16"/>
        </w:rPr>
      </w:pPr>
      <w:r w:rsidRPr="00EB3F05">
        <w:rPr>
          <w:rFonts w:ascii="Arial" w:eastAsiaTheme="minorEastAsia" w:hAnsi="Arial" w:cs="Arial"/>
          <w:sz w:val="16"/>
          <w:szCs w:val="16"/>
          <w:lang w:eastAsia="ja-JP"/>
        </w:rPr>
        <w:t>28 Too Many. (2013). FGM in Uganda. Uganda: 28 Too Many.</w:t>
      </w:r>
    </w:p>
    <w:p w14:paraId="1D7F0121" w14:textId="77777777" w:rsidR="00EB3F05" w:rsidRPr="00EB3F05" w:rsidRDefault="00EB3F05" w:rsidP="00177DCA">
      <w:pPr>
        <w:pStyle w:val="ListParagraph"/>
        <w:numPr>
          <w:ilvl w:val="0"/>
          <w:numId w:val="7"/>
        </w:numPr>
        <w:spacing w:after="0" w:line="240" w:lineRule="auto"/>
        <w:rPr>
          <w:rFonts w:ascii="Arial" w:hAnsi="Arial" w:cs="Arial"/>
          <w:sz w:val="16"/>
          <w:szCs w:val="16"/>
        </w:rPr>
      </w:pPr>
      <w:r w:rsidRPr="00EB3F05">
        <w:rPr>
          <w:rFonts w:ascii="Arial" w:eastAsiaTheme="minorEastAsia" w:hAnsi="Arial" w:cs="Arial"/>
          <w:sz w:val="16"/>
          <w:szCs w:val="16"/>
          <w:lang w:eastAsia="ja-JP"/>
        </w:rPr>
        <w:lastRenderedPageBreak/>
        <w:t xml:space="preserve">Nabusoba, I. FGM in Karamoja: we either 'kill' culture or preserve life. </w:t>
      </w:r>
      <w:r w:rsidRPr="00EB3F05">
        <w:rPr>
          <w:rFonts w:ascii="Arial" w:eastAsiaTheme="minorEastAsia" w:hAnsi="Arial" w:cs="Arial"/>
          <w:i/>
          <w:iCs/>
          <w:sz w:val="16"/>
          <w:szCs w:val="16"/>
          <w:lang w:eastAsia="ja-JP"/>
        </w:rPr>
        <w:t>Daily Monitor</w:t>
      </w:r>
      <w:r w:rsidRPr="00EB3F05">
        <w:rPr>
          <w:rFonts w:ascii="Arial" w:eastAsiaTheme="minorEastAsia" w:hAnsi="Arial" w:cs="Arial"/>
          <w:sz w:val="16"/>
          <w:szCs w:val="16"/>
          <w:lang w:eastAsia="ja-JP"/>
        </w:rPr>
        <w:t xml:space="preserve">. </w:t>
      </w:r>
      <w:hyperlink r:id="rId37" w:history="1">
        <w:r w:rsidRPr="00EB3F05">
          <w:rPr>
            <w:rStyle w:val="Hyperlink"/>
            <w:rFonts w:ascii="Arial" w:eastAsiaTheme="minorEastAsia" w:hAnsi="Arial" w:cs="Arial"/>
            <w:sz w:val="16"/>
            <w:szCs w:val="16"/>
            <w:lang w:eastAsia="ja-JP"/>
          </w:rPr>
          <w:t>http://www.monitor.co.ug/artsculture/Reviews/-/691232/1321578/-/9or11/-/index.html</w:t>
        </w:r>
      </w:hyperlink>
    </w:p>
    <w:p w14:paraId="2C5B08C2" w14:textId="77777777" w:rsidR="00EB3F05" w:rsidRPr="00EB3F05" w:rsidRDefault="00EB3F05" w:rsidP="00177DCA">
      <w:pPr>
        <w:pStyle w:val="ListParagraph"/>
        <w:numPr>
          <w:ilvl w:val="0"/>
          <w:numId w:val="7"/>
        </w:numPr>
        <w:spacing w:after="0" w:line="240" w:lineRule="auto"/>
        <w:rPr>
          <w:rFonts w:ascii="Arial" w:hAnsi="Arial" w:cs="Arial"/>
          <w:sz w:val="16"/>
          <w:szCs w:val="16"/>
        </w:rPr>
      </w:pPr>
      <w:r w:rsidRPr="00EB3F05">
        <w:rPr>
          <w:rFonts w:ascii="Arial" w:eastAsiaTheme="minorEastAsia" w:hAnsi="Arial" w:cs="Arial"/>
          <w:sz w:val="16"/>
          <w:szCs w:val="16"/>
          <w:lang w:eastAsia="ja-JP"/>
        </w:rPr>
        <w:t>Garde, M. (2013). Research Briefing: Assessing Child Protection, Safety &amp; Security Issues for Children in Ugandan Primary and Secondary Schools. Uganda: UNICEF Uganda.</w:t>
      </w:r>
    </w:p>
    <w:p w14:paraId="3B6BD60A" w14:textId="77777777" w:rsidR="00EB3F05" w:rsidRPr="00EB3F05" w:rsidRDefault="00EB3F05" w:rsidP="00177DCA">
      <w:pPr>
        <w:pStyle w:val="ListParagraph"/>
        <w:numPr>
          <w:ilvl w:val="0"/>
          <w:numId w:val="7"/>
        </w:numPr>
        <w:spacing w:after="0" w:line="240" w:lineRule="auto"/>
        <w:rPr>
          <w:rFonts w:ascii="Arial" w:hAnsi="Arial" w:cs="Arial"/>
          <w:sz w:val="16"/>
          <w:szCs w:val="16"/>
        </w:rPr>
      </w:pPr>
      <w:r w:rsidRPr="00EB3F05">
        <w:rPr>
          <w:rFonts w:ascii="Arial" w:eastAsiaTheme="minorEastAsia" w:hAnsi="Arial" w:cs="Arial"/>
          <w:sz w:val="16"/>
          <w:szCs w:val="16"/>
          <w:lang w:eastAsia="ja-JP"/>
        </w:rPr>
        <w:t xml:space="preserve">Annan, J., Brier, M.,. (2010). The risk of return: Intimate partner violence in Northern Uganda's armed conflict. </w:t>
      </w:r>
      <w:r w:rsidRPr="00EB3F05">
        <w:rPr>
          <w:rFonts w:ascii="Arial" w:eastAsiaTheme="minorEastAsia" w:hAnsi="Arial" w:cs="Arial"/>
          <w:i/>
          <w:iCs/>
          <w:sz w:val="16"/>
          <w:szCs w:val="16"/>
          <w:lang w:eastAsia="ja-JP"/>
        </w:rPr>
        <w:t>Social Science &amp; Medicine, 70</w:t>
      </w:r>
      <w:r w:rsidRPr="00EB3F05">
        <w:rPr>
          <w:rFonts w:ascii="Arial" w:eastAsiaTheme="minorEastAsia" w:hAnsi="Arial" w:cs="Arial"/>
          <w:sz w:val="16"/>
          <w:szCs w:val="16"/>
          <w:lang w:eastAsia="ja-JP"/>
        </w:rPr>
        <w:t>, 7.</w:t>
      </w:r>
    </w:p>
    <w:p w14:paraId="32FF1620" w14:textId="77777777" w:rsidR="00EB3F05" w:rsidRPr="00EB3F05" w:rsidRDefault="00EB3F05" w:rsidP="00177DCA">
      <w:pPr>
        <w:pStyle w:val="ListParagraph"/>
        <w:numPr>
          <w:ilvl w:val="0"/>
          <w:numId w:val="7"/>
        </w:numPr>
        <w:spacing w:after="0" w:line="240" w:lineRule="auto"/>
        <w:rPr>
          <w:rFonts w:ascii="Arial" w:hAnsi="Arial" w:cs="Arial"/>
          <w:sz w:val="16"/>
          <w:szCs w:val="16"/>
        </w:rPr>
      </w:pPr>
      <w:r w:rsidRPr="00EB3F05">
        <w:rPr>
          <w:rFonts w:ascii="Arial" w:eastAsiaTheme="minorEastAsia" w:hAnsi="Arial" w:cs="Arial"/>
          <w:sz w:val="16"/>
          <w:szCs w:val="16"/>
          <w:lang w:eastAsia="ja-JP"/>
        </w:rPr>
        <w:t xml:space="preserve">Breaking the stigma around mental illness in Uganda. (2015). </w:t>
      </w:r>
      <w:r w:rsidRPr="00EB3F05">
        <w:rPr>
          <w:rFonts w:ascii="Arial" w:eastAsiaTheme="minorEastAsia" w:hAnsi="Arial" w:cs="Arial"/>
          <w:i/>
          <w:iCs/>
          <w:sz w:val="16"/>
          <w:szCs w:val="16"/>
          <w:lang w:eastAsia="ja-JP"/>
        </w:rPr>
        <w:t>BBC News</w:t>
      </w:r>
      <w:r w:rsidRPr="00EB3F05">
        <w:rPr>
          <w:rFonts w:ascii="Arial" w:eastAsiaTheme="minorEastAsia" w:hAnsi="Arial" w:cs="Arial"/>
          <w:sz w:val="16"/>
          <w:szCs w:val="16"/>
          <w:lang w:eastAsia="ja-JP"/>
        </w:rPr>
        <w:t xml:space="preserve">. Retrieved from BBC News website: </w:t>
      </w:r>
      <w:hyperlink r:id="rId38" w:history="1">
        <w:r w:rsidRPr="00EB3F05">
          <w:rPr>
            <w:rStyle w:val="Hyperlink"/>
            <w:rFonts w:ascii="Arial" w:eastAsiaTheme="minorEastAsia" w:hAnsi="Arial" w:cs="Arial"/>
            <w:sz w:val="16"/>
            <w:szCs w:val="16"/>
            <w:lang w:eastAsia="ja-JP"/>
          </w:rPr>
          <w:t>http://www.bbc.com/news/world-africa-31557295</w:t>
        </w:r>
      </w:hyperlink>
    </w:p>
    <w:p w14:paraId="7F0090F4" w14:textId="77777777" w:rsidR="00EB3F05" w:rsidRPr="00EB3F05" w:rsidRDefault="00EB3F05" w:rsidP="00177DCA">
      <w:pPr>
        <w:pStyle w:val="ListParagraph"/>
        <w:numPr>
          <w:ilvl w:val="0"/>
          <w:numId w:val="7"/>
        </w:numPr>
        <w:spacing w:after="0" w:line="240" w:lineRule="auto"/>
        <w:rPr>
          <w:rFonts w:ascii="Arial" w:hAnsi="Arial" w:cs="Arial"/>
          <w:sz w:val="16"/>
          <w:szCs w:val="16"/>
        </w:rPr>
      </w:pPr>
      <w:r w:rsidRPr="00EB3F05">
        <w:rPr>
          <w:rFonts w:ascii="Arial" w:eastAsiaTheme="minorEastAsia" w:hAnsi="Arial" w:cs="Arial"/>
          <w:sz w:val="16"/>
          <w:szCs w:val="16"/>
          <w:lang w:eastAsia="ja-JP"/>
        </w:rPr>
        <w:t>East African Sub-Regional Support Initiative for the Advancement of Women. (2015). JOINT PRESS STATEMENT ON THE DEHUMANIZING AND DEGRADING TREATMENT OF WOMEN IN ACTIVE POLITICS BY THE UGANDA POLICE FORCE. Uganda: East African Sub-Regional Support Initiative for the Advancement of Women.</w:t>
      </w:r>
    </w:p>
    <w:p w14:paraId="7A85E4B7" w14:textId="77777777" w:rsidR="008F70FA" w:rsidRPr="008F70FA" w:rsidRDefault="008F70FA" w:rsidP="00177DCA">
      <w:pPr>
        <w:pStyle w:val="ListParagraph"/>
        <w:numPr>
          <w:ilvl w:val="0"/>
          <w:numId w:val="7"/>
        </w:numPr>
        <w:spacing w:after="0" w:line="240" w:lineRule="auto"/>
        <w:rPr>
          <w:rFonts w:ascii="Arial" w:hAnsi="Arial" w:cs="Arial"/>
          <w:sz w:val="16"/>
          <w:szCs w:val="16"/>
        </w:rPr>
      </w:pPr>
      <w:r w:rsidRPr="008F70FA">
        <w:rPr>
          <w:rFonts w:ascii="Arial" w:hAnsi="Arial" w:cs="Arial"/>
          <w:sz w:val="16"/>
          <w:szCs w:val="16"/>
        </w:rPr>
        <w:t xml:space="preserve">Ricotta, E., Koenker, H., Kilian, A., Lynch, M.,. (2014). Are women prioritized over bed nets? An assessment using survey data from 10 African countries. </w:t>
      </w:r>
      <w:r w:rsidRPr="008F70FA">
        <w:rPr>
          <w:rFonts w:ascii="Arial" w:hAnsi="Arial" w:cs="Arial"/>
          <w:i/>
          <w:iCs/>
          <w:sz w:val="16"/>
          <w:szCs w:val="16"/>
        </w:rPr>
        <w:t>Global Health Science and Practice, 2</w:t>
      </w:r>
      <w:r w:rsidRPr="008F70FA">
        <w:rPr>
          <w:rFonts w:ascii="Arial" w:hAnsi="Arial" w:cs="Arial"/>
          <w:sz w:val="16"/>
          <w:szCs w:val="16"/>
        </w:rPr>
        <w:t xml:space="preserve">(2). </w:t>
      </w:r>
    </w:p>
    <w:p w14:paraId="68DC9563" w14:textId="7DA44480" w:rsidR="00EB3F05" w:rsidRPr="00EB3F05" w:rsidRDefault="00EB3F05" w:rsidP="00177DCA">
      <w:pPr>
        <w:pStyle w:val="ListParagraph"/>
        <w:numPr>
          <w:ilvl w:val="0"/>
          <w:numId w:val="7"/>
        </w:numPr>
        <w:spacing w:after="0" w:line="240" w:lineRule="auto"/>
        <w:rPr>
          <w:rFonts w:ascii="Arial" w:hAnsi="Arial" w:cs="Arial"/>
          <w:sz w:val="16"/>
          <w:szCs w:val="16"/>
        </w:rPr>
      </w:pPr>
      <w:r w:rsidRPr="00EB3F05">
        <w:rPr>
          <w:rFonts w:ascii="Arial" w:eastAsiaTheme="minorEastAsia" w:hAnsi="Arial" w:cs="Arial"/>
          <w:sz w:val="16"/>
          <w:szCs w:val="16"/>
          <w:lang w:eastAsia="ja-JP"/>
        </w:rPr>
        <w:t xml:space="preserve">index mundi. Uganda - Prevalence of anemia. 2015, from </w:t>
      </w:r>
      <w:hyperlink r:id="rId39" w:history="1">
        <w:r w:rsidRPr="00EB3F05">
          <w:rPr>
            <w:rStyle w:val="Hyperlink"/>
            <w:rFonts w:ascii="Arial" w:eastAsiaTheme="minorEastAsia" w:hAnsi="Arial" w:cs="Arial"/>
            <w:sz w:val="16"/>
            <w:szCs w:val="16"/>
            <w:lang w:eastAsia="ja-JP"/>
          </w:rPr>
          <w:t>http://www.indexmundi.com/facts/uganda/prevalence-of-anemia</w:t>
        </w:r>
      </w:hyperlink>
    </w:p>
    <w:p w14:paraId="715BE2B6" w14:textId="77777777" w:rsidR="00EB3F05" w:rsidRPr="00EB3F05" w:rsidRDefault="00EB3F05" w:rsidP="00177DCA">
      <w:pPr>
        <w:pStyle w:val="ListParagraph"/>
        <w:numPr>
          <w:ilvl w:val="0"/>
          <w:numId w:val="7"/>
        </w:numPr>
        <w:spacing w:after="0" w:line="240" w:lineRule="auto"/>
        <w:rPr>
          <w:rFonts w:ascii="Arial" w:hAnsi="Arial" w:cs="Arial"/>
          <w:sz w:val="16"/>
          <w:szCs w:val="16"/>
        </w:rPr>
      </w:pPr>
      <w:r w:rsidRPr="00EB3F05">
        <w:rPr>
          <w:rFonts w:ascii="Arial" w:eastAsiaTheme="minorEastAsia" w:hAnsi="Arial" w:cs="Arial"/>
          <w:sz w:val="16"/>
          <w:szCs w:val="16"/>
          <w:lang w:eastAsia="ja-JP"/>
        </w:rPr>
        <w:t>International Food Policy Research Institute. (2014). 2014 Nutritional Country Profile Uganda. Uganda: International Food Policy Research Institute.</w:t>
      </w:r>
    </w:p>
    <w:p w14:paraId="6D154199" w14:textId="77777777" w:rsidR="00EB3F05" w:rsidRPr="00EB3F05" w:rsidRDefault="00EB3F05" w:rsidP="00177DCA">
      <w:pPr>
        <w:pStyle w:val="ListParagraph"/>
        <w:numPr>
          <w:ilvl w:val="0"/>
          <w:numId w:val="7"/>
        </w:numPr>
        <w:spacing w:after="0" w:line="240" w:lineRule="auto"/>
        <w:rPr>
          <w:rFonts w:ascii="Arial" w:hAnsi="Arial" w:cs="Arial"/>
          <w:sz w:val="16"/>
          <w:szCs w:val="16"/>
        </w:rPr>
      </w:pPr>
      <w:r w:rsidRPr="00EB3F05">
        <w:rPr>
          <w:rFonts w:ascii="Arial" w:eastAsiaTheme="minorEastAsia" w:hAnsi="Arial" w:cs="Arial"/>
          <w:sz w:val="16"/>
          <w:szCs w:val="16"/>
          <w:lang w:eastAsia="ja-JP"/>
        </w:rPr>
        <w:t>Vigoda, M. (2012). Reaching New Heights: The Case for Measuring Women's Empowerment: CARE.</w:t>
      </w:r>
    </w:p>
    <w:p w14:paraId="6382708F" w14:textId="77777777" w:rsidR="00EB3F05" w:rsidRPr="00EB3F05" w:rsidRDefault="00EB3F05" w:rsidP="00177DCA">
      <w:pPr>
        <w:pStyle w:val="ListParagraph"/>
        <w:numPr>
          <w:ilvl w:val="0"/>
          <w:numId w:val="7"/>
        </w:numPr>
        <w:autoSpaceDE w:val="0"/>
        <w:autoSpaceDN w:val="0"/>
        <w:adjustRightInd w:val="0"/>
        <w:spacing w:after="0" w:line="240" w:lineRule="auto"/>
        <w:rPr>
          <w:rFonts w:ascii="Arial" w:eastAsiaTheme="minorEastAsia" w:hAnsi="Arial" w:cs="Arial"/>
          <w:sz w:val="16"/>
          <w:szCs w:val="16"/>
          <w:lang w:eastAsia="ja-JP"/>
        </w:rPr>
      </w:pPr>
      <w:r w:rsidRPr="00EB3F05">
        <w:rPr>
          <w:rFonts w:ascii="Arial" w:eastAsiaTheme="minorEastAsia" w:hAnsi="Arial" w:cs="Arial"/>
          <w:sz w:val="16"/>
          <w:szCs w:val="16"/>
          <w:lang w:eastAsia="ja-JP"/>
        </w:rPr>
        <w:t>USAID Uganda. (2015). State of the Ugandan Child: USAID Uganda.</w:t>
      </w:r>
    </w:p>
    <w:p w14:paraId="1E250008" w14:textId="77777777" w:rsidR="00EB3F05" w:rsidRPr="00EB3F05" w:rsidRDefault="00EB3F05" w:rsidP="00177DCA">
      <w:pPr>
        <w:pStyle w:val="ListParagraph"/>
        <w:numPr>
          <w:ilvl w:val="0"/>
          <w:numId w:val="7"/>
        </w:numPr>
        <w:autoSpaceDE w:val="0"/>
        <w:autoSpaceDN w:val="0"/>
        <w:adjustRightInd w:val="0"/>
        <w:spacing w:after="0" w:line="240" w:lineRule="auto"/>
        <w:rPr>
          <w:rFonts w:ascii="Arial" w:eastAsiaTheme="minorEastAsia" w:hAnsi="Arial" w:cs="Arial"/>
          <w:sz w:val="16"/>
          <w:szCs w:val="16"/>
          <w:lang w:eastAsia="ja-JP"/>
        </w:rPr>
      </w:pPr>
      <w:r w:rsidRPr="00EB3F05">
        <w:rPr>
          <w:rFonts w:ascii="Arial" w:eastAsiaTheme="minorEastAsia" w:hAnsi="Arial" w:cs="Arial"/>
          <w:sz w:val="16"/>
          <w:szCs w:val="16"/>
          <w:lang w:eastAsia="ja-JP"/>
        </w:rPr>
        <w:t>Caffrey, P., Finan, T., Trzaska, S., Miller, D., Laker-Ojok, R., Huston, S.,. (2013). Uganda Climate Change Vulnerability Assessment: USAID Uganda.</w:t>
      </w:r>
    </w:p>
    <w:p w14:paraId="0C7F03D5" w14:textId="77777777" w:rsidR="00EB3F05" w:rsidRPr="00EB3F05" w:rsidRDefault="00EB3F05" w:rsidP="00177DCA">
      <w:pPr>
        <w:pStyle w:val="ListParagraph"/>
        <w:numPr>
          <w:ilvl w:val="0"/>
          <w:numId w:val="7"/>
        </w:numPr>
        <w:spacing w:after="0" w:line="240" w:lineRule="auto"/>
        <w:rPr>
          <w:rFonts w:ascii="Arial" w:hAnsi="Arial" w:cs="Arial"/>
          <w:sz w:val="16"/>
          <w:szCs w:val="16"/>
        </w:rPr>
      </w:pPr>
      <w:r w:rsidRPr="00EB3F05">
        <w:rPr>
          <w:rFonts w:ascii="Arial" w:eastAsiaTheme="minorEastAsia" w:hAnsi="Arial" w:cs="Arial"/>
          <w:sz w:val="16"/>
          <w:szCs w:val="16"/>
          <w:lang w:eastAsia="ja-JP"/>
        </w:rPr>
        <w:t>USAID. USAID Land Tenure and Property Rights Profile: USAID.</w:t>
      </w:r>
    </w:p>
    <w:p w14:paraId="7FC2BC72" w14:textId="77777777" w:rsidR="00EB3F05" w:rsidRPr="00EB3F05" w:rsidRDefault="00EB3F05" w:rsidP="00177DCA">
      <w:pPr>
        <w:pStyle w:val="ListParagraph"/>
        <w:numPr>
          <w:ilvl w:val="0"/>
          <w:numId w:val="7"/>
        </w:numPr>
        <w:spacing w:line="240" w:lineRule="auto"/>
        <w:rPr>
          <w:rFonts w:ascii="Arial" w:hAnsi="Arial" w:cs="Arial"/>
          <w:sz w:val="16"/>
          <w:szCs w:val="16"/>
        </w:rPr>
      </w:pPr>
      <w:r w:rsidRPr="00EB3F05">
        <w:rPr>
          <w:rFonts w:ascii="Arial" w:hAnsi="Arial" w:cs="Arial"/>
          <w:sz w:val="16"/>
          <w:szCs w:val="16"/>
        </w:rPr>
        <w:t>International Justice Mission. Property Grabbing from Ugandan Widows: International Justice Mission.</w:t>
      </w:r>
    </w:p>
    <w:p w14:paraId="6CC458D9" w14:textId="77777777" w:rsidR="00EB3F05" w:rsidRPr="00EB3F05" w:rsidRDefault="00EB3F05" w:rsidP="00177DCA">
      <w:pPr>
        <w:pStyle w:val="ListParagraph"/>
        <w:numPr>
          <w:ilvl w:val="0"/>
          <w:numId w:val="7"/>
        </w:numPr>
        <w:spacing w:after="0" w:line="240" w:lineRule="auto"/>
        <w:rPr>
          <w:rFonts w:ascii="Arial" w:eastAsia="Calibri" w:hAnsi="Arial" w:cs="Arial"/>
          <w:sz w:val="16"/>
          <w:szCs w:val="16"/>
        </w:rPr>
      </w:pPr>
      <w:r w:rsidRPr="00EB3F05">
        <w:rPr>
          <w:rFonts w:ascii="Arial" w:eastAsia="Calibri" w:hAnsi="Arial" w:cs="Arial"/>
          <w:sz w:val="16"/>
          <w:szCs w:val="16"/>
        </w:rPr>
        <w:t xml:space="preserve">Asiimwe, J. (2014). Making Women's Land Rights a Reality in Uganda: Advocacy for Co-Ownership by Spouses. Yale Human Rights and Development Journal, 4(1). </w:t>
      </w:r>
    </w:p>
    <w:p w14:paraId="43916B34" w14:textId="77777777" w:rsidR="00EB3F05" w:rsidRPr="00EB3F05" w:rsidRDefault="00EB3F05" w:rsidP="00177DCA">
      <w:pPr>
        <w:pStyle w:val="ListParagraph"/>
        <w:numPr>
          <w:ilvl w:val="0"/>
          <w:numId w:val="7"/>
        </w:numPr>
        <w:spacing w:after="0" w:line="240" w:lineRule="auto"/>
        <w:rPr>
          <w:rFonts w:ascii="Arial" w:hAnsi="Arial" w:cs="Arial"/>
          <w:sz w:val="16"/>
          <w:szCs w:val="16"/>
        </w:rPr>
      </w:pPr>
      <w:r w:rsidRPr="00EB3F05">
        <w:rPr>
          <w:rFonts w:ascii="Arial" w:eastAsiaTheme="minorEastAsia" w:hAnsi="Arial" w:cs="Arial"/>
          <w:sz w:val="16"/>
          <w:szCs w:val="16"/>
          <w:lang w:eastAsia="ja-JP"/>
        </w:rPr>
        <w:t xml:space="preserve">. Unfinished Business: The Women's Manifesto 2016 to 2021. (2015). </w:t>
      </w:r>
    </w:p>
    <w:p w14:paraId="3CCA72CC" w14:textId="77777777" w:rsidR="00EB3F05" w:rsidRPr="00EB3F05" w:rsidRDefault="00EB3F05" w:rsidP="00177DCA">
      <w:pPr>
        <w:pStyle w:val="ListParagraph"/>
        <w:numPr>
          <w:ilvl w:val="0"/>
          <w:numId w:val="7"/>
        </w:numPr>
        <w:spacing w:after="0" w:line="240" w:lineRule="auto"/>
        <w:rPr>
          <w:rFonts w:ascii="Arial" w:eastAsia="Calibri" w:hAnsi="Arial" w:cs="Arial"/>
          <w:sz w:val="16"/>
          <w:szCs w:val="16"/>
        </w:rPr>
      </w:pPr>
      <w:r w:rsidRPr="00EB3F05">
        <w:rPr>
          <w:rFonts w:ascii="Arial" w:eastAsiaTheme="minorEastAsia" w:hAnsi="Arial" w:cs="Arial"/>
          <w:sz w:val="16"/>
          <w:szCs w:val="16"/>
          <w:lang w:eastAsia="ja-JP"/>
        </w:rPr>
        <w:t>Palacio-Lopez, A., Christiaensen, L., Kilic, T.,. (2015). How Much of the Labor in African Agriculture is Provided by Women? : World Bank.</w:t>
      </w:r>
    </w:p>
    <w:p w14:paraId="3DA2CBD5" w14:textId="77777777" w:rsidR="00EB3F05" w:rsidRPr="00EB3F05" w:rsidRDefault="00EB3F05" w:rsidP="00177DCA">
      <w:pPr>
        <w:pStyle w:val="ListParagraph"/>
        <w:numPr>
          <w:ilvl w:val="0"/>
          <w:numId w:val="7"/>
        </w:numPr>
        <w:spacing w:after="0" w:line="240" w:lineRule="auto"/>
        <w:rPr>
          <w:rFonts w:ascii="Arial" w:eastAsia="Calibri" w:hAnsi="Arial" w:cs="Arial"/>
          <w:sz w:val="16"/>
          <w:szCs w:val="16"/>
        </w:rPr>
      </w:pPr>
      <w:r w:rsidRPr="00EB3F05">
        <w:rPr>
          <w:rFonts w:ascii="Arial" w:eastAsiaTheme="minorEastAsia" w:hAnsi="Arial" w:cs="Arial"/>
          <w:sz w:val="16"/>
          <w:szCs w:val="16"/>
          <w:lang w:eastAsia="ja-JP"/>
        </w:rPr>
        <w:t>Byamugish, J., Shamchiyeva, L., Kizu, T.,. (2014). Labour market transitions of young women and men in Uganda: International Labour Organization.</w:t>
      </w:r>
    </w:p>
    <w:p w14:paraId="29728E69" w14:textId="77777777" w:rsidR="00EB3F05" w:rsidRPr="00EB3F05" w:rsidRDefault="00EB3F05" w:rsidP="00177DCA">
      <w:pPr>
        <w:pStyle w:val="ListParagraph"/>
        <w:numPr>
          <w:ilvl w:val="0"/>
          <w:numId w:val="7"/>
        </w:numPr>
        <w:spacing w:after="0" w:line="240" w:lineRule="auto"/>
        <w:rPr>
          <w:rFonts w:ascii="Arial" w:hAnsi="Arial" w:cs="Arial"/>
          <w:sz w:val="16"/>
          <w:szCs w:val="16"/>
        </w:rPr>
      </w:pPr>
      <w:r w:rsidRPr="00EB3F05">
        <w:rPr>
          <w:rFonts w:ascii="Arial" w:eastAsiaTheme="minorEastAsia" w:hAnsi="Arial" w:cs="Arial"/>
          <w:sz w:val="16"/>
          <w:szCs w:val="16"/>
          <w:lang w:eastAsia="ja-JP"/>
        </w:rPr>
        <w:t>Uganda Bureau of Statistics. (2009). Gender and Productivity Survey: Analytical Report. Uganda: Uganda Bureau of Statistics.</w:t>
      </w:r>
    </w:p>
    <w:p w14:paraId="2ACE186E" w14:textId="77777777" w:rsidR="00EB3F05" w:rsidRPr="00EB3F05" w:rsidRDefault="00EB3F05" w:rsidP="00177DCA">
      <w:pPr>
        <w:pStyle w:val="ListParagraph"/>
        <w:numPr>
          <w:ilvl w:val="0"/>
          <w:numId w:val="7"/>
        </w:numPr>
        <w:spacing w:after="0" w:line="240" w:lineRule="auto"/>
        <w:rPr>
          <w:rFonts w:ascii="Arial" w:hAnsi="Arial" w:cs="Arial"/>
          <w:sz w:val="16"/>
          <w:szCs w:val="16"/>
        </w:rPr>
      </w:pPr>
      <w:r w:rsidRPr="00EB3F05">
        <w:rPr>
          <w:rFonts w:ascii="Arial" w:eastAsiaTheme="minorEastAsia" w:hAnsi="Arial" w:cs="Arial"/>
          <w:sz w:val="16"/>
          <w:szCs w:val="16"/>
          <w:lang w:eastAsia="ja-JP"/>
        </w:rPr>
        <w:t>Sraboni, E., Quisumbing, A., Ahmed, A.,. (2013). The Women's Empowerment in Agriculture Index: Results from the 2011-2012 Bangladesh Integrated Household Survey. Bangladesh: USAID.</w:t>
      </w:r>
    </w:p>
    <w:p w14:paraId="3F8BF5F9" w14:textId="77777777" w:rsidR="00EB3F05" w:rsidRPr="00EB3F05" w:rsidRDefault="00EB3F05" w:rsidP="00177DCA">
      <w:pPr>
        <w:pStyle w:val="FootnoteText"/>
        <w:numPr>
          <w:ilvl w:val="0"/>
          <w:numId w:val="7"/>
        </w:numPr>
        <w:rPr>
          <w:sz w:val="16"/>
          <w:szCs w:val="16"/>
        </w:rPr>
      </w:pPr>
      <w:r w:rsidRPr="00EB3F05">
        <w:rPr>
          <w:rFonts w:eastAsiaTheme="minorEastAsia"/>
          <w:sz w:val="16"/>
          <w:szCs w:val="16"/>
          <w:lang w:eastAsia="ja-JP"/>
        </w:rPr>
        <w:t xml:space="preserve">Leveling the Field: Improving Opportunities for Women Farmers in Africa. </w:t>
      </w:r>
      <w:hyperlink r:id="rId40" w:history="1">
        <w:r w:rsidRPr="00EB3F05">
          <w:rPr>
            <w:rStyle w:val="Hyperlink"/>
            <w:rFonts w:eastAsiaTheme="minorEastAsia"/>
            <w:sz w:val="16"/>
            <w:szCs w:val="16"/>
            <w:lang w:eastAsia="ja-JP"/>
          </w:rPr>
          <w:t>http://www.worldbank.org/en/region/afr/publication/levelling-the-field-improving-opportunities-for-women-farmers-in-africa</w:t>
        </w:r>
      </w:hyperlink>
    </w:p>
    <w:p w14:paraId="77682C44" w14:textId="77777777" w:rsidR="00EB3F05" w:rsidRPr="00EB3F05" w:rsidRDefault="00EB3F05" w:rsidP="00177DCA">
      <w:pPr>
        <w:pStyle w:val="ListParagraph"/>
        <w:numPr>
          <w:ilvl w:val="0"/>
          <w:numId w:val="7"/>
        </w:numPr>
        <w:spacing w:after="0" w:line="240" w:lineRule="auto"/>
        <w:rPr>
          <w:rFonts w:ascii="Arial" w:hAnsi="Arial" w:cs="Arial"/>
          <w:sz w:val="16"/>
          <w:szCs w:val="16"/>
        </w:rPr>
      </w:pPr>
      <w:r w:rsidRPr="00EB3F05">
        <w:rPr>
          <w:rFonts w:ascii="Arial" w:eastAsiaTheme="minorEastAsia" w:hAnsi="Arial" w:cs="Arial"/>
          <w:sz w:val="16"/>
          <w:szCs w:val="16"/>
          <w:lang w:eastAsia="ja-JP"/>
        </w:rPr>
        <w:t>Ndiwalana, A., Morawczynski, O., Popov, O.,. (2013). Mobile Money Use in Uganda: A Preliminary Study.</w:t>
      </w:r>
    </w:p>
    <w:p w14:paraId="72773299" w14:textId="77777777" w:rsidR="00EB3F05" w:rsidRPr="00EB3F05" w:rsidRDefault="00EB3F05" w:rsidP="00177DCA">
      <w:pPr>
        <w:pStyle w:val="ListParagraph"/>
        <w:numPr>
          <w:ilvl w:val="0"/>
          <w:numId w:val="7"/>
        </w:numPr>
        <w:spacing w:after="0" w:line="240" w:lineRule="auto"/>
        <w:rPr>
          <w:rFonts w:ascii="Arial" w:hAnsi="Arial" w:cs="Arial"/>
          <w:sz w:val="16"/>
          <w:szCs w:val="16"/>
        </w:rPr>
      </w:pPr>
      <w:r w:rsidRPr="00EB3F05">
        <w:rPr>
          <w:rFonts w:ascii="Arial" w:eastAsiaTheme="minorEastAsia" w:hAnsi="Arial" w:cs="Arial"/>
          <w:sz w:val="16"/>
          <w:szCs w:val="16"/>
          <w:lang w:eastAsia="ja-JP"/>
        </w:rPr>
        <w:t xml:space="preserve">Attansio, O., Augsburg, B., De Haas, R., Fitzsimons, E., Harmgart, H., Meghir, C.,. (2015). Microcredit: Neither miracle nor mirage. </w:t>
      </w:r>
      <w:r w:rsidRPr="00EB3F05">
        <w:rPr>
          <w:rFonts w:ascii="Arial" w:eastAsiaTheme="minorEastAsia" w:hAnsi="Arial" w:cs="Arial"/>
          <w:i/>
          <w:iCs/>
          <w:sz w:val="16"/>
          <w:szCs w:val="16"/>
          <w:lang w:eastAsia="ja-JP"/>
        </w:rPr>
        <w:t>CEPR's Policy Portal</w:t>
      </w:r>
      <w:r w:rsidRPr="00EB3F05">
        <w:rPr>
          <w:rFonts w:ascii="Arial" w:eastAsiaTheme="minorEastAsia" w:hAnsi="Arial" w:cs="Arial"/>
          <w:sz w:val="16"/>
          <w:szCs w:val="16"/>
          <w:lang w:eastAsia="ja-JP"/>
        </w:rPr>
        <w:t xml:space="preserve">. </w:t>
      </w:r>
      <w:hyperlink r:id="rId41" w:history="1">
        <w:r w:rsidRPr="00EB3F05">
          <w:rPr>
            <w:rStyle w:val="Hyperlink"/>
            <w:rFonts w:ascii="Arial" w:eastAsiaTheme="minorEastAsia" w:hAnsi="Arial" w:cs="Arial"/>
            <w:sz w:val="16"/>
            <w:szCs w:val="16"/>
            <w:lang w:eastAsia="ja-JP"/>
          </w:rPr>
          <w:t>http://www.voxeu.org/article/microcredit-neither-miracle-nor-mirage</w:t>
        </w:r>
      </w:hyperlink>
    </w:p>
    <w:p w14:paraId="61DD0833" w14:textId="77777777" w:rsidR="00EB3F05" w:rsidRPr="00EB3F05" w:rsidRDefault="00EB3F05" w:rsidP="00177DCA">
      <w:pPr>
        <w:pStyle w:val="ListParagraph"/>
        <w:numPr>
          <w:ilvl w:val="0"/>
          <w:numId w:val="7"/>
        </w:numPr>
        <w:spacing w:after="0" w:line="240" w:lineRule="auto"/>
        <w:rPr>
          <w:rFonts w:ascii="Arial" w:hAnsi="Arial" w:cs="Arial"/>
          <w:sz w:val="16"/>
          <w:szCs w:val="16"/>
        </w:rPr>
      </w:pPr>
      <w:r w:rsidRPr="00EB3F05">
        <w:rPr>
          <w:rFonts w:ascii="Arial" w:eastAsiaTheme="minorEastAsia" w:hAnsi="Arial" w:cs="Arial"/>
          <w:sz w:val="16"/>
          <w:szCs w:val="16"/>
          <w:lang w:eastAsia="ja-JP"/>
        </w:rPr>
        <w:t>Ministry of Finance, P. a. E. D. (2006). Gender Inequality in Uganda: The status, causes and effects. Uganda: Ministry of Finance, Planning and Economic Development.</w:t>
      </w:r>
    </w:p>
    <w:p w14:paraId="779066AA" w14:textId="77777777" w:rsidR="00EB3F05" w:rsidRPr="00EB3F05" w:rsidRDefault="00EB3F05" w:rsidP="00177DCA">
      <w:pPr>
        <w:pStyle w:val="ListParagraph"/>
        <w:numPr>
          <w:ilvl w:val="0"/>
          <w:numId w:val="7"/>
        </w:numPr>
        <w:spacing w:after="0" w:line="240" w:lineRule="auto"/>
        <w:rPr>
          <w:rFonts w:ascii="Arial" w:hAnsi="Arial" w:cs="Arial"/>
          <w:sz w:val="16"/>
          <w:szCs w:val="16"/>
        </w:rPr>
      </w:pPr>
      <w:r w:rsidRPr="00EB3F05">
        <w:rPr>
          <w:rFonts w:ascii="Arial" w:eastAsiaTheme="minorEastAsia" w:hAnsi="Arial" w:cs="Arial"/>
          <w:sz w:val="16"/>
          <w:szCs w:val="16"/>
          <w:lang w:eastAsia="ja-JP"/>
        </w:rPr>
        <w:t>Butler, E., Kebba, A., . (2014). Youth and Agriculture in Uganda: An Assessment. Uganda: USAID Uganda.</w:t>
      </w:r>
    </w:p>
    <w:p w14:paraId="79BF754D" w14:textId="77777777" w:rsidR="00EB3F05" w:rsidRPr="00EB3F05" w:rsidRDefault="00EB3F05" w:rsidP="00177DCA">
      <w:pPr>
        <w:pStyle w:val="ListParagraph"/>
        <w:numPr>
          <w:ilvl w:val="0"/>
          <w:numId w:val="7"/>
        </w:numPr>
        <w:spacing w:after="0" w:line="240" w:lineRule="auto"/>
        <w:rPr>
          <w:rFonts w:ascii="Arial" w:eastAsia="Calibri" w:hAnsi="Arial" w:cs="Arial"/>
          <w:sz w:val="16"/>
          <w:szCs w:val="16"/>
        </w:rPr>
      </w:pPr>
      <w:r w:rsidRPr="00EB3F05">
        <w:rPr>
          <w:rFonts w:ascii="Arial" w:eastAsia="Calibri" w:hAnsi="Arial" w:cs="Arial"/>
          <w:sz w:val="16"/>
          <w:szCs w:val="16"/>
        </w:rPr>
        <w:t xml:space="preserve">Urban prevalence among women is 10.7% vs. 6.1% among men.  Rural prevalence is 7.7% among women and 6.1% among men.  </w:t>
      </w:r>
    </w:p>
    <w:p w14:paraId="4103FA3E" w14:textId="77777777" w:rsidR="00EB3F05" w:rsidRPr="00EB3F05" w:rsidRDefault="00EB3F05" w:rsidP="00177DCA">
      <w:pPr>
        <w:pStyle w:val="ListParagraph"/>
        <w:numPr>
          <w:ilvl w:val="0"/>
          <w:numId w:val="7"/>
        </w:numPr>
        <w:spacing w:after="0" w:line="240" w:lineRule="auto"/>
        <w:rPr>
          <w:rFonts w:ascii="Arial" w:hAnsi="Arial" w:cs="Arial"/>
          <w:sz w:val="16"/>
          <w:szCs w:val="16"/>
        </w:rPr>
      </w:pPr>
      <w:r w:rsidRPr="00EB3F05">
        <w:rPr>
          <w:rFonts w:ascii="Arial" w:eastAsiaTheme="minorEastAsia" w:hAnsi="Arial" w:cs="Arial"/>
          <w:sz w:val="16"/>
          <w:szCs w:val="16"/>
          <w:lang w:eastAsia="ja-JP"/>
        </w:rPr>
        <w:t xml:space="preserve">Boily, M., Pickles, M., Alary, M., Baral, S., Blanchard, J., Moses, S., Vickerman, P., Mishra, S.,. (2015). What Really Is a Concentrated HIV Epidemic and What Does It Mean for West and Central Africa? Insights From Mathematical Modeling. </w:t>
      </w:r>
      <w:r w:rsidRPr="00EB3F05">
        <w:rPr>
          <w:rFonts w:ascii="Arial" w:eastAsiaTheme="minorEastAsia" w:hAnsi="Arial" w:cs="Arial"/>
          <w:i/>
          <w:iCs/>
          <w:sz w:val="16"/>
          <w:szCs w:val="16"/>
          <w:lang w:eastAsia="ja-JP"/>
        </w:rPr>
        <w:t>Journal of Acquired Immune Deficiency Syndromes, 68</w:t>
      </w:r>
      <w:r w:rsidRPr="00EB3F05">
        <w:rPr>
          <w:rFonts w:ascii="Arial" w:eastAsiaTheme="minorEastAsia" w:hAnsi="Arial" w:cs="Arial"/>
          <w:sz w:val="16"/>
          <w:szCs w:val="16"/>
          <w:lang w:eastAsia="ja-JP"/>
        </w:rPr>
        <w:t>.</w:t>
      </w:r>
    </w:p>
    <w:p w14:paraId="50A3EC52" w14:textId="77777777" w:rsidR="00EB3F05" w:rsidRPr="00EB3F05" w:rsidRDefault="00EB3F05" w:rsidP="00177DCA">
      <w:pPr>
        <w:pStyle w:val="ListParagraph"/>
        <w:numPr>
          <w:ilvl w:val="0"/>
          <w:numId w:val="7"/>
        </w:numPr>
        <w:spacing w:after="0" w:line="240" w:lineRule="auto"/>
        <w:rPr>
          <w:rFonts w:ascii="Arial" w:hAnsi="Arial" w:cs="Arial"/>
          <w:sz w:val="16"/>
          <w:szCs w:val="16"/>
        </w:rPr>
      </w:pPr>
      <w:r w:rsidRPr="00EB3F05">
        <w:rPr>
          <w:rFonts w:ascii="Arial" w:eastAsiaTheme="minorEastAsia" w:hAnsi="Arial" w:cs="Arial"/>
          <w:sz w:val="16"/>
          <w:szCs w:val="16"/>
          <w:lang w:eastAsia="ja-JP"/>
        </w:rPr>
        <w:t>Sexual Minorities Uganda and National LGBTI Security Team. (2014). From Torment to Tyranny: Enhanced Persecution in Uganda Following the Passage of the Anti-Homosexuality Act 2014. Uganda.</w:t>
      </w:r>
    </w:p>
    <w:p w14:paraId="3BADF0CA" w14:textId="77777777" w:rsidR="00EB3F05" w:rsidRPr="00EB3F05" w:rsidRDefault="00EB3F05" w:rsidP="00177DCA">
      <w:pPr>
        <w:pStyle w:val="ListParagraph"/>
        <w:numPr>
          <w:ilvl w:val="0"/>
          <w:numId w:val="7"/>
        </w:numPr>
        <w:spacing w:after="0" w:line="240" w:lineRule="auto"/>
        <w:rPr>
          <w:rFonts w:ascii="Arial" w:eastAsia="Calibri" w:hAnsi="Arial" w:cs="Arial"/>
          <w:sz w:val="16"/>
          <w:szCs w:val="16"/>
        </w:rPr>
      </w:pPr>
      <w:r w:rsidRPr="00EB3F05">
        <w:rPr>
          <w:rFonts w:ascii="Arial" w:eastAsiaTheme="minorEastAsia" w:hAnsi="Arial" w:cs="Arial"/>
          <w:sz w:val="16"/>
          <w:szCs w:val="16"/>
          <w:lang w:eastAsia="ja-JP"/>
        </w:rPr>
        <w:t>Ministry of Health. (2012). Uganda AIDS Indicator Survey. Uganda: Ministry of Health.</w:t>
      </w:r>
    </w:p>
    <w:p w14:paraId="1AFB378C" w14:textId="77777777" w:rsidR="00EB3F05" w:rsidRPr="00EB3F05" w:rsidRDefault="00EB3F05" w:rsidP="00177DCA">
      <w:pPr>
        <w:pStyle w:val="ListParagraph"/>
        <w:numPr>
          <w:ilvl w:val="0"/>
          <w:numId w:val="7"/>
        </w:numPr>
        <w:spacing w:after="0" w:line="240" w:lineRule="auto"/>
        <w:rPr>
          <w:rFonts w:ascii="Arial" w:eastAsia="Calibri" w:hAnsi="Arial" w:cs="Arial"/>
          <w:sz w:val="16"/>
          <w:szCs w:val="16"/>
        </w:rPr>
      </w:pPr>
      <w:r w:rsidRPr="00EB3F05">
        <w:rPr>
          <w:rFonts w:ascii="Arial" w:eastAsiaTheme="minorEastAsia" w:hAnsi="Arial" w:cs="Arial"/>
          <w:sz w:val="16"/>
          <w:szCs w:val="16"/>
          <w:lang w:eastAsia="ja-JP"/>
        </w:rPr>
        <w:t>Gay, J., Croce-Galis, M., Hardee, K.,. (2012). What Works for Women and Girls: Evidence for HIV/AIDS Interventions. Washington, District of Columbia: Futures Group, Health Policy Project.</w:t>
      </w:r>
    </w:p>
    <w:p w14:paraId="328EB83F" w14:textId="77777777" w:rsidR="00EB3F05" w:rsidRPr="00EB3F05" w:rsidRDefault="00EB3F05" w:rsidP="00177DCA">
      <w:pPr>
        <w:pStyle w:val="ListParagraph"/>
        <w:numPr>
          <w:ilvl w:val="0"/>
          <w:numId w:val="7"/>
        </w:numPr>
        <w:spacing w:after="0" w:line="240" w:lineRule="auto"/>
        <w:rPr>
          <w:rFonts w:ascii="Arial" w:eastAsia="Calibri" w:hAnsi="Arial" w:cs="Arial"/>
          <w:sz w:val="16"/>
          <w:szCs w:val="16"/>
        </w:rPr>
      </w:pPr>
      <w:r w:rsidRPr="00EB3F05">
        <w:rPr>
          <w:rFonts w:ascii="Arial" w:eastAsiaTheme="minorEastAsia" w:hAnsi="Arial" w:cs="Arial"/>
          <w:sz w:val="16"/>
          <w:szCs w:val="16"/>
          <w:lang w:eastAsia="ja-JP"/>
        </w:rPr>
        <w:t>Natukunda, H. (2012). The effect of gender relations on access to and utilization of ARVs in Uganda: A Case study of Rushere and Mulago TASO Centers. Uganda: Makerere University.</w:t>
      </w:r>
    </w:p>
    <w:p w14:paraId="283F202E" w14:textId="77777777" w:rsidR="00EB3F05" w:rsidRPr="00EB3F05" w:rsidRDefault="00EB3F05" w:rsidP="00177DCA">
      <w:pPr>
        <w:pStyle w:val="ListParagraph"/>
        <w:numPr>
          <w:ilvl w:val="0"/>
          <w:numId w:val="7"/>
        </w:numPr>
        <w:spacing w:after="0" w:line="240" w:lineRule="auto"/>
        <w:rPr>
          <w:rFonts w:ascii="Arial" w:hAnsi="Arial" w:cs="Arial"/>
          <w:sz w:val="16"/>
          <w:szCs w:val="16"/>
        </w:rPr>
      </w:pPr>
      <w:r w:rsidRPr="00EB3F05">
        <w:rPr>
          <w:rFonts w:ascii="Arial" w:eastAsiaTheme="minorEastAsia" w:hAnsi="Arial" w:cs="Arial"/>
          <w:sz w:val="16"/>
          <w:szCs w:val="16"/>
          <w:lang w:eastAsia="ja-JP"/>
        </w:rPr>
        <w:t>International AIDS Society. (2013). Sex and Gender Differences in ARV Based Prevention Research. Switzerland: International AIDS Society.</w:t>
      </w:r>
    </w:p>
    <w:p w14:paraId="43D2DAFE" w14:textId="1BFC523A" w:rsidR="00530D15" w:rsidRPr="008F7917" w:rsidRDefault="00EB3F05" w:rsidP="00EB3F05">
      <w:pPr>
        <w:pStyle w:val="ListParagraph"/>
        <w:numPr>
          <w:ilvl w:val="0"/>
          <w:numId w:val="7"/>
        </w:numPr>
        <w:spacing w:after="0" w:line="240" w:lineRule="auto"/>
        <w:rPr>
          <w:rFonts w:ascii="Arial" w:hAnsi="Arial" w:cs="Arial"/>
          <w:sz w:val="16"/>
          <w:szCs w:val="16"/>
        </w:rPr>
      </w:pPr>
      <w:r w:rsidRPr="00EB3F05">
        <w:rPr>
          <w:rFonts w:ascii="Arial" w:eastAsiaTheme="minorEastAsia" w:hAnsi="Arial" w:cs="Arial"/>
          <w:sz w:val="16"/>
          <w:szCs w:val="16"/>
          <w:lang w:eastAsia="ja-JP"/>
        </w:rPr>
        <w:t xml:space="preserve">Athena Network, A., Salamander Trust, </w:t>
      </w:r>
      <w:r w:rsidR="00345229" w:rsidRPr="00EB3F05">
        <w:rPr>
          <w:rFonts w:ascii="Arial" w:eastAsiaTheme="minorEastAsia" w:hAnsi="Arial" w:cs="Arial"/>
          <w:sz w:val="16"/>
          <w:szCs w:val="16"/>
          <w:lang w:eastAsia="ja-JP"/>
        </w:rPr>
        <w:t>UN</w:t>
      </w:r>
      <w:r w:rsidR="00345229">
        <w:rPr>
          <w:rFonts w:ascii="Arial" w:eastAsiaTheme="minorEastAsia" w:hAnsi="Arial" w:cs="Arial"/>
          <w:sz w:val="16"/>
          <w:szCs w:val="16"/>
          <w:lang w:eastAsia="ja-JP"/>
        </w:rPr>
        <w:t xml:space="preserve"> </w:t>
      </w:r>
      <w:r w:rsidR="00345229" w:rsidRPr="00EB3F05">
        <w:rPr>
          <w:rFonts w:ascii="Arial" w:eastAsiaTheme="minorEastAsia" w:hAnsi="Arial" w:cs="Arial"/>
          <w:sz w:val="16"/>
          <w:szCs w:val="16"/>
          <w:lang w:eastAsia="ja-JP"/>
        </w:rPr>
        <w:t>Women</w:t>
      </w:r>
      <w:r w:rsidRPr="00EB3F05">
        <w:rPr>
          <w:rFonts w:ascii="Arial" w:eastAsiaTheme="minorEastAsia" w:hAnsi="Arial" w:cs="Arial"/>
          <w:sz w:val="16"/>
          <w:szCs w:val="16"/>
          <w:lang w:eastAsia="ja-JP"/>
        </w:rPr>
        <w:t xml:space="preserve">,. (2015). Key barriers to women's access to HIV treatment: Making 'Fast-Track' a reality: </w:t>
      </w:r>
      <w:r w:rsidR="00345229" w:rsidRPr="00EB3F05">
        <w:rPr>
          <w:rFonts w:ascii="Arial" w:eastAsiaTheme="minorEastAsia" w:hAnsi="Arial" w:cs="Arial"/>
          <w:sz w:val="16"/>
          <w:szCs w:val="16"/>
          <w:lang w:eastAsia="ja-JP"/>
        </w:rPr>
        <w:t>UN</w:t>
      </w:r>
      <w:r w:rsidR="00345229">
        <w:rPr>
          <w:rFonts w:ascii="Arial" w:eastAsiaTheme="minorEastAsia" w:hAnsi="Arial" w:cs="Arial"/>
          <w:sz w:val="16"/>
          <w:szCs w:val="16"/>
          <w:lang w:eastAsia="ja-JP"/>
        </w:rPr>
        <w:t xml:space="preserve"> </w:t>
      </w:r>
      <w:r w:rsidR="00345229" w:rsidRPr="00EB3F05">
        <w:rPr>
          <w:rFonts w:ascii="Arial" w:eastAsiaTheme="minorEastAsia" w:hAnsi="Arial" w:cs="Arial"/>
          <w:sz w:val="16"/>
          <w:szCs w:val="16"/>
          <w:lang w:eastAsia="ja-JP"/>
        </w:rPr>
        <w:t>Women</w:t>
      </w:r>
      <w:r w:rsidRPr="00EB3F05">
        <w:rPr>
          <w:rFonts w:ascii="Arial" w:eastAsiaTheme="minorEastAsia" w:hAnsi="Arial" w:cs="Arial"/>
          <w:sz w:val="16"/>
          <w:szCs w:val="16"/>
          <w:lang w:eastAsia="ja-JP"/>
        </w:rPr>
        <w:t>.</w:t>
      </w:r>
    </w:p>
    <w:sectPr w:rsidR="00530D15" w:rsidRPr="008F79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A6DBE7" w14:textId="77777777" w:rsidR="003758A6" w:rsidRDefault="003758A6" w:rsidP="00F92D8F">
      <w:pPr>
        <w:spacing w:after="0" w:line="240" w:lineRule="auto"/>
      </w:pPr>
      <w:r>
        <w:separator/>
      </w:r>
    </w:p>
  </w:endnote>
  <w:endnote w:type="continuationSeparator" w:id="0">
    <w:p w14:paraId="06650FF8" w14:textId="77777777" w:rsidR="003758A6" w:rsidRDefault="003758A6" w:rsidP="00F92D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0214FE" w14:textId="77777777" w:rsidR="003758A6" w:rsidRDefault="003758A6" w:rsidP="00F92D8F">
      <w:pPr>
        <w:spacing w:after="0" w:line="240" w:lineRule="auto"/>
      </w:pPr>
      <w:r>
        <w:separator/>
      </w:r>
    </w:p>
  </w:footnote>
  <w:footnote w:type="continuationSeparator" w:id="0">
    <w:p w14:paraId="2D5C5221" w14:textId="77777777" w:rsidR="003758A6" w:rsidRDefault="003758A6" w:rsidP="00F92D8F">
      <w:pPr>
        <w:spacing w:after="0" w:line="240" w:lineRule="auto"/>
      </w:pPr>
      <w:r>
        <w:continuationSeparator/>
      </w:r>
    </w:p>
  </w:footnote>
  <w:footnote w:id="1">
    <w:p w14:paraId="4A981E02" w14:textId="1FB604E3" w:rsidR="00345229" w:rsidRPr="00CB48F5" w:rsidRDefault="00345229" w:rsidP="00F92D8F">
      <w:pPr>
        <w:pStyle w:val="FootnoteText"/>
        <w:rPr>
          <w:sz w:val="16"/>
          <w:szCs w:val="16"/>
        </w:rPr>
      </w:pPr>
      <w:r w:rsidRPr="00064135">
        <w:rPr>
          <w:rStyle w:val="FootnoteReference"/>
          <w:sz w:val="16"/>
          <w:szCs w:val="16"/>
        </w:rPr>
        <w:footnoteRef/>
      </w:r>
      <w:r w:rsidRPr="00064135">
        <w:rPr>
          <w:sz w:val="16"/>
          <w:szCs w:val="16"/>
        </w:rPr>
        <w:t xml:space="preserve"> </w:t>
      </w:r>
      <w:r w:rsidRPr="008E1EE1">
        <w:rPr>
          <w:rFonts w:eastAsiaTheme="minorEastAsia"/>
          <w:sz w:val="16"/>
          <w:szCs w:val="16"/>
          <w:lang w:eastAsia="ja-JP"/>
        </w:rPr>
        <w:t>Central Intelligence Agency. T</w:t>
      </w:r>
      <w:r>
        <w:rPr>
          <w:rFonts w:eastAsiaTheme="minorEastAsia"/>
          <w:sz w:val="16"/>
          <w:szCs w:val="16"/>
          <w:lang w:eastAsia="ja-JP"/>
        </w:rPr>
        <w:t>he World Factbook: Uganda. 2015.</w:t>
      </w:r>
    </w:p>
  </w:footnote>
  <w:footnote w:id="2">
    <w:p w14:paraId="083FBE36" w14:textId="77777777" w:rsidR="00345229" w:rsidRDefault="00345229" w:rsidP="00F92D8F">
      <w:pPr>
        <w:pStyle w:val="FootnoteText"/>
      </w:pPr>
      <w:r w:rsidRPr="00CB48F5">
        <w:rPr>
          <w:rStyle w:val="FootnoteReference"/>
          <w:sz w:val="16"/>
          <w:szCs w:val="16"/>
        </w:rPr>
        <w:footnoteRef/>
      </w:r>
      <w:r w:rsidRPr="00CB48F5">
        <w:rPr>
          <w:sz w:val="16"/>
          <w:szCs w:val="16"/>
        </w:rPr>
        <w:t xml:space="preserve"> </w:t>
      </w:r>
      <w:r w:rsidRPr="008E1EE1">
        <w:rPr>
          <w:rFonts w:eastAsiaTheme="minorEastAsia"/>
          <w:sz w:val="16"/>
          <w:szCs w:val="16"/>
          <w:lang w:eastAsia="ja-JP"/>
        </w:rPr>
        <w:t xml:space="preserve">Hanley, P., &amp; Lee, J.-M. (2015). Leviticus Rising: The Origin of Uganda's Anti-Gay Law. </w:t>
      </w:r>
      <w:r w:rsidRPr="008E1EE1">
        <w:rPr>
          <w:rFonts w:eastAsiaTheme="minorEastAsia"/>
          <w:i/>
          <w:iCs/>
          <w:sz w:val="16"/>
          <w:szCs w:val="16"/>
          <w:lang w:eastAsia="ja-JP"/>
        </w:rPr>
        <w:t>International Policy Digest, 2015</w:t>
      </w:r>
      <w:r w:rsidRPr="008E1EE1">
        <w:rPr>
          <w:rFonts w:eastAsiaTheme="minorEastAsia"/>
          <w:sz w:val="16"/>
          <w:szCs w:val="16"/>
          <w:lang w:eastAsia="ja-JP"/>
        </w:rPr>
        <w:t>.</w:t>
      </w:r>
    </w:p>
  </w:footnote>
  <w:footnote w:id="3">
    <w:p w14:paraId="25D214F3" w14:textId="5263E1E5" w:rsidR="00345229" w:rsidRDefault="00345229" w:rsidP="00F92D8F">
      <w:pPr>
        <w:pStyle w:val="FootnoteText"/>
      </w:pPr>
      <w:r w:rsidRPr="00064135">
        <w:rPr>
          <w:rStyle w:val="FootnoteReference"/>
          <w:sz w:val="16"/>
          <w:szCs w:val="16"/>
        </w:rPr>
        <w:footnoteRef/>
      </w:r>
      <w:r w:rsidRPr="00064135">
        <w:rPr>
          <w:sz w:val="16"/>
          <w:szCs w:val="16"/>
        </w:rPr>
        <w:t xml:space="preserve"> </w:t>
      </w:r>
      <w:r w:rsidRPr="008E1EE1">
        <w:rPr>
          <w:rFonts w:eastAsiaTheme="minorEastAsia"/>
          <w:sz w:val="16"/>
          <w:szCs w:val="16"/>
          <w:lang w:eastAsia="ja-JP"/>
        </w:rPr>
        <w:t>Murray, S. O. Homosexuality in "Traditional" Sub-Saharan Africa and Contemporary South Africa.</w:t>
      </w:r>
    </w:p>
  </w:footnote>
  <w:footnote w:id="4">
    <w:p w14:paraId="5F789DFF" w14:textId="31523307" w:rsidR="00345229" w:rsidRPr="00177DCA" w:rsidRDefault="00345229">
      <w:pPr>
        <w:pStyle w:val="FootnoteText"/>
        <w:rPr>
          <w:rFonts w:eastAsiaTheme="minorEastAsia"/>
          <w:sz w:val="16"/>
          <w:szCs w:val="16"/>
          <w:lang w:eastAsia="ja-JP"/>
        </w:rPr>
      </w:pPr>
      <w:r w:rsidRPr="00177DCA">
        <w:rPr>
          <w:rStyle w:val="FootnoteReference"/>
          <w:sz w:val="16"/>
          <w:szCs w:val="16"/>
        </w:rPr>
        <w:footnoteRef/>
      </w:r>
      <w:r w:rsidRPr="00177DCA">
        <w:rPr>
          <w:sz w:val="16"/>
          <w:szCs w:val="16"/>
        </w:rPr>
        <w:t xml:space="preserve"> </w:t>
      </w:r>
      <w:r w:rsidRPr="00177DCA">
        <w:rPr>
          <w:rFonts w:eastAsiaTheme="minorEastAsia"/>
          <w:sz w:val="16"/>
          <w:szCs w:val="16"/>
          <w:lang w:eastAsia="ja-JP"/>
        </w:rPr>
        <w:t xml:space="preserve">Pew Research Center. (2013). The Global Divide on Homosexuality: Greater Acceptance in More Secular and Affluent Countries. </w:t>
      </w:r>
      <w:r w:rsidRPr="00177DCA">
        <w:rPr>
          <w:rFonts w:eastAsiaTheme="minorEastAsia"/>
          <w:i/>
          <w:iCs/>
          <w:sz w:val="16"/>
          <w:szCs w:val="16"/>
          <w:lang w:eastAsia="ja-JP"/>
        </w:rPr>
        <w:t>Pew Research Center: Global Attitudes and Trends</w:t>
      </w:r>
      <w:r w:rsidRPr="00177DCA">
        <w:rPr>
          <w:rFonts w:eastAsiaTheme="minorEastAsia"/>
          <w:sz w:val="16"/>
          <w:szCs w:val="16"/>
          <w:lang w:eastAsia="ja-JP"/>
        </w:rPr>
        <w:t>.</w:t>
      </w:r>
    </w:p>
  </w:footnote>
  <w:footnote w:id="5">
    <w:p w14:paraId="01CE15D6" w14:textId="3A900A52" w:rsidR="00345229" w:rsidRPr="00177DCA" w:rsidRDefault="00345229">
      <w:pPr>
        <w:pStyle w:val="FootnoteText"/>
        <w:rPr>
          <w:sz w:val="16"/>
          <w:szCs w:val="16"/>
        </w:rPr>
      </w:pPr>
      <w:r w:rsidRPr="00005DAB">
        <w:rPr>
          <w:rFonts w:eastAsiaTheme="minorEastAsia"/>
          <w:sz w:val="16"/>
          <w:szCs w:val="16"/>
          <w:vertAlign w:val="superscript"/>
          <w:lang w:eastAsia="ja-JP"/>
        </w:rPr>
        <w:footnoteRef/>
      </w:r>
      <w:r w:rsidRPr="00177DCA">
        <w:rPr>
          <w:rFonts w:eastAsiaTheme="minorEastAsia"/>
          <w:sz w:val="16"/>
          <w:szCs w:val="16"/>
          <w:lang w:eastAsia="ja-JP"/>
        </w:rPr>
        <w:t xml:space="preserve"> Ugandan Anti-Pornography Act  (2014) Part I. </w:t>
      </w:r>
    </w:p>
  </w:footnote>
  <w:footnote w:id="6">
    <w:p w14:paraId="39E1C5BE" w14:textId="5BFDB0E7" w:rsidR="00345229" w:rsidRPr="00177DCA" w:rsidRDefault="00345229" w:rsidP="00407B30">
      <w:pPr>
        <w:pStyle w:val="FootnoteText"/>
        <w:rPr>
          <w:rFonts w:eastAsiaTheme="minorEastAsia"/>
          <w:sz w:val="16"/>
          <w:szCs w:val="16"/>
          <w:lang w:eastAsia="ja-JP"/>
        </w:rPr>
      </w:pPr>
      <w:r w:rsidRPr="00005DAB">
        <w:rPr>
          <w:rFonts w:eastAsiaTheme="minorEastAsia"/>
          <w:sz w:val="16"/>
          <w:szCs w:val="16"/>
          <w:vertAlign w:val="superscript"/>
          <w:lang w:eastAsia="ja-JP"/>
        </w:rPr>
        <w:footnoteRef/>
      </w:r>
      <w:r w:rsidRPr="00005DAB">
        <w:rPr>
          <w:rFonts w:eastAsiaTheme="minorEastAsia"/>
          <w:sz w:val="16"/>
          <w:szCs w:val="16"/>
          <w:vertAlign w:val="superscript"/>
          <w:lang w:eastAsia="ja-JP"/>
        </w:rPr>
        <w:t xml:space="preserve"> </w:t>
      </w:r>
      <w:r w:rsidRPr="00177DCA">
        <w:rPr>
          <w:sz w:val="16"/>
          <w:szCs w:val="16"/>
        </w:rPr>
        <w:t>Amnesty International. (2014). Rule by Law: Discriminatory Legislation and Legitimized Abuses in Uganda. London.</w:t>
      </w:r>
    </w:p>
  </w:footnote>
  <w:footnote w:id="7">
    <w:p w14:paraId="4957DAB1" w14:textId="1992B9A1" w:rsidR="00345229" w:rsidRDefault="00345229">
      <w:pPr>
        <w:pStyle w:val="FootnoteText"/>
      </w:pPr>
      <w:r w:rsidRPr="00177DCA">
        <w:rPr>
          <w:rStyle w:val="FootnoteReference"/>
          <w:sz w:val="16"/>
          <w:szCs w:val="16"/>
        </w:rPr>
        <w:footnoteRef/>
      </w:r>
      <w:r w:rsidRPr="00177DCA">
        <w:rPr>
          <w:sz w:val="16"/>
          <w:szCs w:val="16"/>
        </w:rPr>
        <w:t xml:space="preserve"> </w:t>
      </w:r>
      <w:r w:rsidRPr="00177DCA">
        <w:rPr>
          <w:rFonts w:eastAsiaTheme="minorEastAsia"/>
          <w:sz w:val="16"/>
          <w:szCs w:val="16"/>
          <w:lang w:eastAsia="ja-JP"/>
        </w:rPr>
        <w:t>Uganda Bureau of Statistics. (2012). Uganda Demographic and Health Survey. Uganda: Uganda Bureau of Statistics.</w:t>
      </w:r>
    </w:p>
  </w:footnote>
  <w:footnote w:id="8">
    <w:p w14:paraId="077A8353" w14:textId="2E38D3AC" w:rsidR="00345229" w:rsidRPr="002C3F80" w:rsidRDefault="00345229" w:rsidP="00CF0028">
      <w:pPr>
        <w:spacing w:after="0" w:line="240" w:lineRule="auto"/>
        <w:rPr>
          <w:rFonts w:ascii="Arial" w:hAnsi="Arial" w:cs="Arial"/>
          <w:sz w:val="16"/>
          <w:szCs w:val="16"/>
        </w:rPr>
      </w:pPr>
      <w:r w:rsidRPr="002C3F80">
        <w:rPr>
          <w:rFonts w:ascii="Arial" w:hAnsi="Arial" w:cs="Arial"/>
          <w:sz w:val="16"/>
          <w:szCs w:val="16"/>
          <w:vertAlign w:val="superscript"/>
        </w:rPr>
        <w:footnoteRef/>
      </w:r>
      <w:r w:rsidRPr="002C3F80">
        <w:rPr>
          <w:rFonts w:ascii="Arial" w:eastAsia="Calibri" w:hAnsi="Arial" w:cs="Arial"/>
          <w:sz w:val="16"/>
          <w:szCs w:val="16"/>
        </w:rPr>
        <w:t xml:space="preserve"> </w:t>
      </w:r>
      <w:r w:rsidRPr="008E1EE1">
        <w:rPr>
          <w:rFonts w:ascii="Arial" w:eastAsiaTheme="minorEastAsia" w:hAnsi="Arial" w:cs="Arial"/>
          <w:sz w:val="16"/>
          <w:szCs w:val="16"/>
          <w:lang w:eastAsia="ja-JP"/>
        </w:rPr>
        <w:t>USAID. (2014). Women's Leadership as a Route to Greater Empowerment: USAID.</w:t>
      </w:r>
    </w:p>
  </w:footnote>
  <w:footnote w:id="9">
    <w:p w14:paraId="020CC0DA" w14:textId="3FF40952" w:rsidR="00345229" w:rsidRPr="002C3F80" w:rsidRDefault="00345229" w:rsidP="00CF0028">
      <w:pPr>
        <w:spacing w:after="0" w:line="240" w:lineRule="auto"/>
        <w:rPr>
          <w:rFonts w:ascii="Arial" w:hAnsi="Arial" w:cs="Arial"/>
          <w:sz w:val="16"/>
          <w:szCs w:val="16"/>
        </w:rPr>
      </w:pPr>
      <w:r w:rsidRPr="002C3F80">
        <w:rPr>
          <w:rFonts w:ascii="Arial" w:hAnsi="Arial" w:cs="Arial"/>
          <w:sz w:val="16"/>
          <w:szCs w:val="16"/>
          <w:vertAlign w:val="superscript"/>
        </w:rPr>
        <w:footnoteRef/>
      </w:r>
      <w:r w:rsidRPr="002C3F80">
        <w:rPr>
          <w:rFonts w:ascii="Arial" w:eastAsia="Calibri" w:hAnsi="Arial" w:cs="Arial"/>
          <w:sz w:val="16"/>
          <w:szCs w:val="16"/>
        </w:rPr>
        <w:t xml:space="preserve"> </w:t>
      </w:r>
      <w:r w:rsidRPr="008E1EE1">
        <w:rPr>
          <w:rFonts w:ascii="Arial" w:eastAsiaTheme="minorEastAsia" w:hAnsi="Arial" w:cs="Arial"/>
          <w:sz w:val="16"/>
          <w:szCs w:val="16"/>
          <w:lang w:eastAsia="ja-JP"/>
        </w:rPr>
        <w:t>World Bank. World Data Bank Gender Statistics (Onl</w:t>
      </w:r>
      <w:r>
        <w:rPr>
          <w:rFonts w:ascii="Arial" w:eastAsiaTheme="minorEastAsia" w:hAnsi="Arial" w:cs="Arial"/>
          <w:sz w:val="16"/>
          <w:szCs w:val="16"/>
          <w:lang w:eastAsia="ja-JP"/>
        </w:rPr>
        <w:t>ine database).  Retrieved 2015,</w:t>
      </w:r>
      <w:r w:rsidRPr="008E1EE1">
        <w:rPr>
          <w:rFonts w:ascii="Arial" w:eastAsiaTheme="minorEastAsia" w:hAnsi="Arial" w:cs="Arial"/>
          <w:sz w:val="16"/>
          <w:szCs w:val="16"/>
          <w:lang w:eastAsia="ja-JP"/>
        </w:rPr>
        <w:t>from World Bank</w:t>
      </w:r>
      <w:r>
        <w:rPr>
          <w:rFonts w:ascii="Arial" w:eastAsiaTheme="minorEastAsia" w:hAnsi="Arial" w:cs="Arial"/>
          <w:sz w:val="16"/>
          <w:szCs w:val="16"/>
          <w:lang w:eastAsia="ja-JP"/>
        </w:rPr>
        <w:t>.</w:t>
      </w:r>
    </w:p>
  </w:footnote>
  <w:footnote w:id="10">
    <w:p w14:paraId="4D64F969" w14:textId="77777777" w:rsidR="00345229" w:rsidRPr="002C3F80" w:rsidRDefault="00345229" w:rsidP="00CF0028">
      <w:pPr>
        <w:spacing w:after="0" w:line="240" w:lineRule="auto"/>
        <w:rPr>
          <w:rFonts w:ascii="Arial" w:hAnsi="Arial" w:cs="Arial"/>
          <w:sz w:val="16"/>
          <w:szCs w:val="16"/>
        </w:rPr>
      </w:pPr>
      <w:r w:rsidRPr="002C3F80">
        <w:rPr>
          <w:rFonts w:ascii="Arial" w:hAnsi="Arial" w:cs="Arial"/>
          <w:sz w:val="16"/>
          <w:szCs w:val="16"/>
          <w:vertAlign w:val="superscript"/>
        </w:rPr>
        <w:footnoteRef/>
      </w:r>
      <w:r w:rsidRPr="002C3F80">
        <w:rPr>
          <w:rFonts w:ascii="Arial" w:eastAsia="Calibri" w:hAnsi="Arial" w:cs="Arial"/>
          <w:sz w:val="16"/>
          <w:szCs w:val="16"/>
        </w:rPr>
        <w:t xml:space="preserve"> Ibid. </w:t>
      </w:r>
    </w:p>
  </w:footnote>
  <w:footnote w:id="11">
    <w:p w14:paraId="7B8F4735" w14:textId="5EC7043A" w:rsidR="00345229" w:rsidRDefault="00345229" w:rsidP="00CF0028">
      <w:pPr>
        <w:spacing w:after="0" w:line="240" w:lineRule="auto"/>
      </w:pPr>
      <w:r w:rsidRPr="002C3F80">
        <w:rPr>
          <w:rFonts w:ascii="Arial" w:hAnsi="Arial" w:cs="Arial"/>
          <w:sz w:val="16"/>
          <w:szCs w:val="16"/>
          <w:vertAlign w:val="superscript"/>
        </w:rPr>
        <w:footnoteRef/>
      </w:r>
      <w:r w:rsidRPr="002C3F80">
        <w:rPr>
          <w:rFonts w:ascii="Arial" w:eastAsia="Calibri" w:hAnsi="Arial" w:cs="Arial"/>
          <w:sz w:val="16"/>
          <w:szCs w:val="16"/>
        </w:rPr>
        <w:t xml:space="preserve"> </w:t>
      </w:r>
      <w:r>
        <w:rPr>
          <w:rFonts w:ascii="Arial" w:eastAsia="Calibri" w:hAnsi="Arial" w:cs="Arial"/>
          <w:sz w:val="16"/>
          <w:szCs w:val="16"/>
        </w:rPr>
        <w:t>Women’s Democracy Group. (2015). Unfinished Business: The Women’s Manifesto 2016 to 2021.</w:t>
      </w:r>
    </w:p>
  </w:footnote>
  <w:footnote w:id="12">
    <w:p w14:paraId="42ABC094" w14:textId="7D70CF1F" w:rsidR="00345229" w:rsidRPr="002C3F80" w:rsidRDefault="00345229" w:rsidP="00CF0028">
      <w:pPr>
        <w:spacing w:after="0" w:line="240" w:lineRule="auto"/>
        <w:rPr>
          <w:rFonts w:ascii="Arial" w:hAnsi="Arial" w:cs="Arial"/>
          <w:sz w:val="16"/>
          <w:szCs w:val="16"/>
        </w:rPr>
      </w:pPr>
      <w:r w:rsidRPr="002C3F80">
        <w:rPr>
          <w:rFonts w:ascii="Arial" w:hAnsi="Arial" w:cs="Arial"/>
          <w:sz w:val="16"/>
          <w:szCs w:val="16"/>
          <w:vertAlign w:val="superscript"/>
        </w:rPr>
        <w:footnoteRef/>
      </w:r>
      <w:r>
        <w:rPr>
          <w:rFonts w:ascii="Arial" w:eastAsia="Calibri" w:hAnsi="Arial" w:cs="Arial"/>
          <w:sz w:val="16"/>
          <w:szCs w:val="16"/>
        </w:rPr>
        <w:t xml:space="preserve"> </w:t>
      </w:r>
      <w:r w:rsidRPr="002673ED">
        <w:rPr>
          <w:rFonts w:ascii="Arial" w:eastAsia="Calibri" w:hAnsi="Arial" w:cs="Arial"/>
          <w:sz w:val="16"/>
          <w:szCs w:val="16"/>
        </w:rPr>
        <w:t>Dexis Consulting Group. (2015). Ugandan Decentralization Policy and Issues Arising in the Health and Education Sectors: A Political Economy Study (L. a. M. L. contract, Trans.): USAID.</w:t>
      </w:r>
    </w:p>
  </w:footnote>
  <w:footnote w:id="13">
    <w:p w14:paraId="5207BF36" w14:textId="77777777" w:rsidR="00345229" w:rsidRPr="002C3F80" w:rsidRDefault="00345229" w:rsidP="00CF0028">
      <w:pPr>
        <w:spacing w:after="0" w:line="240" w:lineRule="auto"/>
        <w:rPr>
          <w:rFonts w:ascii="Arial" w:hAnsi="Arial" w:cs="Arial"/>
          <w:sz w:val="16"/>
          <w:szCs w:val="16"/>
        </w:rPr>
      </w:pPr>
      <w:r w:rsidRPr="002C3F80">
        <w:rPr>
          <w:rFonts w:ascii="Arial" w:hAnsi="Arial" w:cs="Arial"/>
          <w:sz w:val="16"/>
          <w:szCs w:val="16"/>
          <w:vertAlign w:val="superscript"/>
        </w:rPr>
        <w:footnoteRef/>
      </w:r>
      <w:r w:rsidRPr="002C3F80">
        <w:rPr>
          <w:rFonts w:ascii="Arial" w:eastAsia="Calibri" w:hAnsi="Arial" w:cs="Arial"/>
          <w:sz w:val="16"/>
          <w:szCs w:val="16"/>
        </w:rPr>
        <w:t xml:space="preserve"> Ibid</w:t>
      </w:r>
    </w:p>
  </w:footnote>
  <w:footnote w:id="14">
    <w:p w14:paraId="0E3F6578" w14:textId="5CEBD1F5" w:rsidR="00345229" w:rsidRPr="002C3F80" w:rsidRDefault="00345229" w:rsidP="00CF0028">
      <w:pPr>
        <w:spacing w:after="0" w:line="240" w:lineRule="auto"/>
        <w:rPr>
          <w:rFonts w:ascii="Arial" w:hAnsi="Arial" w:cs="Arial"/>
          <w:sz w:val="16"/>
          <w:szCs w:val="16"/>
        </w:rPr>
      </w:pPr>
      <w:r w:rsidRPr="002C3F80">
        <w:rPr>
          <w:rFonts w:ascii="Arial" w:hAnsi="Arial" w:cs="Arial"/>
          <w:sz w:val="16"/>
          <w:szCs w:val="16"/>
          <w:vertAlign w:val="superscript"/>
        </w:rPr>
        <w:footnoteRef/>
      </w:r>
      <w:r w:rsidRPr="002C3F80">
        <w:rPr>
          <w:rFonts w:ascii="Arial" w:eastAsia="Calibri" w:hAnsi="Arial" w:cs="Arial"/>
          <w:sz w:val="16"/>
          <w:szCs w:val="16"/>
        </w:rPr>
        <w:t xml:space="preserve"> </w:t>
      </w:r>
      <w:r w:rsidRPr="002673ED">
        <w:rPr>
          <w:rFonts w:ascii="Arial" w:eastAsia="Calibri" w:hAnsi="Arial" w:cs="Arial"/>
          <w:sz w:val="16"/>
          <w:szCs w:val="16"/>
        </w:rPr>
        <w:t>Uganda Bureau of Statistics. (2013). National Labour Force Survey Report. Uganda: Uganda Bureau of Statistics.</w:t>
      </w:r>
    </w:p>
  </w:footnote>
  <w:footnote w:id="15">
    <w:p w14:paraId="312460D2" w14:textId="77777777" w:rsidR="00345229" w:rsidRDefault="00345229" w:rsidP="00CF0028">
      <w:pPr>
        <w:spacing w:after="0" w:line="240" w:lineRule="auto"/>
      </w:pPr>
      <w:r w:rsidRPr="002C3F80">
        <w:rPr>
          <w:rFonts w:ascii="Arial" w:hAnsi="Arial" w:cs="Arial"/>
          <w:sz w:val="16"/>
          <w:szCs w:val="16"/>
          <w:vertAlign w:val="superscript"/>
        </w:rPr>
        <w:footnoteRef/>
      </w:r>
      <w:r w:rsidRPr="002C3F80">
        <w:rPr>
          <w:rFonts w:ascii="Arial" w:eastAsia="Calibri" w:hAnsi="Arial" w:cs="Arial"/>
          <w:sz w:val="16"/>
          <w:szCs w:val="16"/>
        </w:rPr>
        <w:t xml:space="preserve"> Ibid</w:t>
      </w:r>
    </w:p>
  </w:footnote>
  <w:footnote w:id="16">
    <w:p w14:paraId="1C7F67EA" w14:textId="26226AAF" w:rsidR="00345229" w:rsidRPr="002C3F80" w:rsidRDefault="00345229" w:rsidP="00CF0028">
      <w:pPr>
        <w:spacing w:after="0" w:line="240" w:lineRule="auto"/>
        <w:rPr>
          <w:rFonts w:ascii="Arial" w:hAnsi="Arial" w:cs="Arial"/>
          <w:sz w:val="16"/>
          <w:szCs w:val="16"/>
        </w:rPr>
      </w:pPr>
      <w:r w:rsidRPr="002C3F80">
        <w:rPr>
          <w:rFonts w:ascii="Arial" w:hAnsi="Arial" w:cs="Arial"/>
          <w:sz w:val="16"/>
          <w:szCs w:val="16"/>
          <w:vertAlign w:val="superscript"/>
        </w:rPr>
        <w:footnoteRef/>
      </w:r>
      <w:r w:rsidRPr="002C3F80">
        <w:rPr>
          <w:rFonts w:ascii="Arial" w:eastAsia="Calibri" w:hAnsi="Arial" w:cs="Arial"/>
          <w:sz w:val="16"/>
          <w:szCs w:val="16"/>
        </w:rPr>
        <w:t xml:space="preserve"> </w:t>
      </w:r>
      <w:r w:rsidRPr="00AF2EDB">
        <w:rPr>
          <w:rFonts w:ascii="Arial" w:eastAsia="Calibri" w:hAnsi="Arial" w:cs="Arial"/>
          <w:sz w:val="16"/>
          <w:szCs w:val="16"/>
        </w:rPr>
        <w:t>Joint Press Statement on the dehumanizing and degrading treatment of women in active politics by the Uganda Police Force, Women’s Democracy Group, Oct 2015</w:t>
      </w:r>
    </w:p>
  </w:footnote>
  <w:footnote w:id="17">
    <w:p w14:paraId="5EC24DFA" w14:textId="78D018AD" w:rsidR="00345229" w:rsidRDefault="00345229" w:rsidP="00CF0028">
      <w:pPr>
        <w:spacing w:after="0" w:line="240" w:lineRule="auto"/>
      </w:pPr>
      <w:r w:rsidRPr="002C3F80">
        <w:rPr>
          <w:rFonts w:ascii="Arial" w:hAnsi="Arial" w:cs="Arial"/>
          <w:sz w:val="16"/>
          <w:szCs w:val="16"/>
          <w:vertAlign w:val="superscript"/>
        </w:rPr>
        <w:footnoteRef/>
      </w:r>
      <w:r w:rsidRPr="002C3F80">
        <w:rPr>
          <w:rFonts w:ascii="Arial" w:eastAsia="Calibri" w:hAnsi="Arial" w:cs="Arial"/>
          <w:sz w:val="16"/>
          <w:szCs w:val="16"/>
        </w:rPr>
        <w:t xml:space="preserve"> </w:t>
      </w:r>
      <w:r w:rsidRPr="00AF2EDB">
        <w:rPr>
          <w:rFonts w:ascii="Arial" w:eastAsia="Calibri" w:hAnsi="Arial" w:cs="Arial"/>
          <w:sz w:val="16"/>
          <w:szCs w:val="16"/>
        </w:rPr>
        <w:t>Aritua, P. (2013). Women's Political and Civic Participation in Uganda: Opportunities and Challenges to the Full Realization of Democracy. International Women's Democracy Network.</w:t>
      </w:r>
    </w:p>
  </w:footnote>
  <w:footnote w:id="18">
    <w:p w14:paraId="5F366515" w14:textId="0E412685" w:rsidR="00345229" w:rsidRPr="002C3F80" w:rsidRDefault="00345229" w:rsidP="00CF0028">
      <w:pPr>
        <w:spacing w:after="0" w:line="240" w:lineRule="auto"/>
        <w:rPr>
          <w:rFonts w:ascii="Arial" w:hAnsi="Arial" w:cs="Arial"/>
          <w:sz w:val="16"/>
          <w:szCs w:val="16"/>
        </w:rPr>
      </w:pPr>
      <w:r w:rsidRPr="002C3F80">
        <w:rPr>
          <w:rFonts w:ascii="Arial" w:hAnsi="Arial" w:cs="Arial"/>
          <w:sz w:val="16"/>
          <w:szCs w:val="16"/>
          <w:vertAlign w:val="superscript"/>
        </w:rPr>
        <w:footnoteRef/>
      </w:r>
      <w:r w:rsidRPr="002C3F80">
        <w:rPr>
          <w:rFonts w:ascii="Arial" w:eastAsia="Calibri" w:hAnsi="Arial" w:cs="Arial"/>
          <w:sz w:val="16"/>
          <w:szCs w:val="16"/>
        </w:rPr>
        <w:t xml:space="preserve"> </w:t>
      </w:r>
      <w:r w:rsidRPr="00AF2EDB">
        <w:rPr>
          <w:rFonts w:ascii="Arial" w:hAnsi="Arial" w:cs="Arial"/>
          <w:sz w:val="16"/>
          <w:szCs w:val="16"/>
        </w:rPr>
        <w:t>Mallick, C. (2015). Uganda Supreme court outlaws dowry refund on divorce. Jurist</w:t>
      </w:r>
      <w:r>
        <w:rPr>
          <w:rFonts w:ascii="Arial" w:hAnsi="Arial" w:cs="Arial"/>
          <w:sz w:val="16"/>
          <w:szCs w:val="16"/>
        </w:rPr>
        <w:t>.</w:t>
      </w:r>
    </w:p>
  </w:footnote>
  <w:footnote w:id="19">
    <w:p w14:paraId="44D0BABC" w14:textId="68361017" w:rsidR="00345229" w:rsidRPr="002C3F80" w:rsidRDefault="00345229" w:rsidP="00CF0028">
      <w:pPr>
        <w:spacing w:after="0" w:line="240" w:lineRule="auto"/>
        <w:rPr>
          <w:rFonts w:ascii="Arial" w:hAnsi="Arial" w:cs="Arial"/>
          <w:sz w:val="16"/>
          <w:szCs w:val="16"/>
        </w:rPr>
      </w:pPr>
      <w:r w:rsidRPr="002C3F80">
        <w:rPr>
          <w:rFonts w:ascii="Arial" w:hAnsi="Arial" w:cs="Arial"/>
          <w:sz w:val="16"/>
          <w:szCs w:val="16"/>
          <w:vertAlign w:val="superscript"/>
        </w:rPr>
        <w:footnoteRef/>
      </w:r>
      <w:r w:rsidRPr="002C3F80">
        <w:rPr>
          <w:rFonts w:ascii="Arial" w:eastAsia="Calibri" w:hAnsi="Arial" w:cs="Arial"/>
          <w:sz w:val="16"/>
          <w:szCs w:val="16"/>
        </w:rPr>
        <w:t xml:space="preserve"> </w:t>
      </w:r>
      <w:r w:rsidRPr="00AF2EDB">
        <w:rPr>
          <w:rFonts w:ascii="Arial" w:hAnsi="Arial" w:cs="Arial"/>
          <w:sz w:val="16"/>
          <w:szCs w:val="16"/>
        </w:rPr>
        <w:t>Emodek J., Kwesiga, P., &amp; Nsambu, H. (2013). Domestic violence cases soar. New Vision.</w:t>
      </w:r>
    </w:p>
  </w:footnote>
  <w:footnote w:id="20">
    <w:p w14:paraId="16988B8D" w14:textId="42EA7B70" w:rsidR="00345229" w:rsidRPr="002C3F80" w:rsidRDefault="00345229" w:rsidP="00CF0028">
      <w:pPr>
        <w:spacing w:after="0" w:line="240" w:lineRule="auto"/>
        <w:rPr>
          <w:rFonts w:ascii="Arial" w:hAnsi="Arial" w:cs="Arial"/>
          <w:sz w:val="16"/>
          <w:szCs w:val="16"/>
        </w:rPr>
      </w:pPr>
      <w:r w:rsidRPr="002C3F80">
        <w:rPr>
          <w:rFonts w:ascii="Arial" w:hAnsi="Arial" w:cs="Arial"/>
          <w:sz w:val="16"/>
          <w:szCs w:val="16"/>
          <w:vertAlign w:val="superscript"/>
        </w:rPr>
        <w:footnoteRef/>
      </w:r>
      <w:r w:rsidRPr="002C3F80">
        <w:rPr>
          <w:rFonts w:ascii="Arial" w:eastAsia="Calibri" w:hAnsi="Arial" w:cs="Arial"/>
          <w:sz w:val="16"/>
          <w:szCs w:val="16"/>
        </w:rPr>
        <w:t xml:space="preserve"> </w:t>
      </w:r>
      <w:r w:rsidRPr="00E8371C">
        <w:rPr>
          <w:rFonts w:ascii="Arial" w:hAnsi="Arial" w:cs="Arial"/>
          <w:sz w:val="16"/>
          <w:szCs w:val="16"/>
        </w:rPr>
        <w:t xml:space="preserve">Uganda Parliament. (2007). </w:t>
      </w:r>
      <w:r w:rsidRPr="00E8371C">
        <w:rPr>
          <w:rFonts w:ascii="Arial" w:hAnsi="Arial" w:cs="Arial"/>
          <w:i/>
          <w:iCs/>
          <w:sz w:val="16"/>
          <w:szCs w:val="16"/>
        </w:rPr>
        <w:t>Penal Code (Amendment) Act 2007</w:t>
      </w:r>
      <w:r w:rsidRPr="00E8371C">
        <w:rPr>
          <w:rFonts w:ascii="Arial" w:hAnsi="Arial" w:cs="Arial"/>
          <w:sz w:val="16"/>
          <w:szCs w:val="16"/>
        </w:rPr>
        <w:t>.  Uganda: Uganda Parliament Retrieved from International Committee for the Red Cross Uganda website.</w:t>
      </w:r>
    </w:p>
  </w:footnote>
  <w:footnote w:id="21">
    <w:p w14:paraId="752E5E1C" w14:textId="3890193B" w:rsidR="00345229" w:rsidRDefault="00345229" w:rsidP="00EB3F05">
      <w:pPr>
        <w:spacing w:after="0" w:line="240" w:lineRule="auto"/>
      </w:pPr>
      <w:r w:rsidRPr="002C3F80">
        <w:rPr>
          <w:rFonts w:ascii="Arial" w:hAnsi="Arial" w:cs="Arial"/>
          <w:sz w:val="16"/>
          <w:szCs w:val="16"/>
          <w:vertAlign w:val="superscript"/>
        </w:rPr>
        <w:footnoteRef/>
      </w:r>
      <w:r w:rsidRPr="002C3F80">
        <w:rPr>
          <w:rFonts w:ascii="Arial" w:eastAsia="Calibri" w:hAnsi="Arial" w:cs="Arial"/>
          <w:sz w:val="16"/>
          <w:szCs w:val="16"/>
        </w:rPr>
        <w:t xml:space="preserve"> </w:t>
      </w:r>
      <w:r w:rsidRPr="00AF2EDB">
        <w:rPr>
          <w:rFonts w:ascii="Arial" w:hAnsi="Arial" w:cs="Arial"/>
          <w:sz w:val="16"/>
          <w:szCs w:val="16"/>
        </w:rPr>
        <w:t>Central Intelligence Agency. Population Growth Rate. 2015.</w:t>
      </w:r>
    </w:p>
  </w:footnote>
  <w:footnote w:id="22">
    <w:p w14:paraId="0EDD59BA" w14:textId="7B597713" w:rsidR="00345229" w:rsidRPr="002C3F80" w:rsidRDefault="00345229" w:rsidP="00CF0028">
      <w:pPr>
        <w:spacing w:after="0" w:line="240" w:lineRule="auto"/>
        <w:rPr>
          <w:rFonts w:ascii="Arial" w:hAnsi="Arial" w:cs="Arial"/>
          <w:sz w:val="16"/>
          <w:szCs w:val="16"/>
        </w:rPr>
      </w:pPr>
      <w:r w:rsidRPr="002C3F80">
        <w:rPr>
          <w:rFonts w:ascii="Arial" w:hAnsi="Arial" w:cs="Arial"/>
          <w:sz w:val="16"/>
          <w:szCs w:val="16"/>
          <w:vertAlign w:val="superscript"/>
        </w:rPr>
        <w:footnoteRef/>
      </w:r>
      <w:r w:rsidRPr="002C3F80">
        <w:rPr>
          <w:rFonts w:ascii="Arial" w:eastAsia="Calibri" w:hAnsi="Arial" w:cs="Arial"/>
          <w:sz w:val="16"/>
          <w:szCs w:val="16"/>
        </w:rPr>
        <w:t xml:space="preserve"> </w:t>
      </w:r>
      <w:r w:rsidRPr="00AF618F">
        <w:rPr>
          <w:rFonts w:ascii="Arial" w:eastAsia="Calibri" w:hAnsi="Arial" w:cs="Arial"/>
          <w:sz w:val="16"/>
          <w:szCs w:val="16"/>
        </w:rPr>
        <w:t>Central Intelligence Agency. The World Factbook: Uganda. 2015.</w:t>
      </w:r>
    </w:p>
  </w:footnote>
  <w:footnote w:id="23">
    <w:p w14:paraId="5CC7EA4B" w14:textId="6D5422FB" w:rsidR="00345229" w:rsidRPr="002C3F80" w:rsidRDefault="00345229" w:rsidP="00CF0028">
      <w:pPr>
        <w:spacing w:after="0" w:line="240" w:lineRule="auto"/>
        <w:rPr>
          <w:rFonts w:ascii="Arial" w:hAnsi="Arial" w:cs="Arial"/>
          <w:sz w:val="16"/>
          <w:szCs w:val="16"/>
        </w:rPr>
      </w:pPr>
      <w:r w:rsidRPr="002C3F80">
        <w:rPr>
          <w:rFonts w:ascii="Arial" w:hAnsi="Arial" w:cs="Arial"/>
          <w:sz w:val="16"/>
          <w:szCs w:val="16"/>
          <w:vertAlign w:val="superscript"/>
        </w:rPr>
        <w:footnoteRef/>
      </w:r>
      <w:r w:rsidRPr="002C3F80">
        <w:rPr>
          <w:rFonts w:ascii="Arial" w:eastAsia="Calibri" w:hAnsi="Arial" w:cs="Arial"/>
          <w:sz w:val="16"/>
          <w:szCs w:val="16"/>
        </w:rPr>
        <w:t xml:space="preserve"> </w:t>
      </w:r>
      <w:r w:rsidRPr="00AF618F">
        <w:rPr>
          <w:rFonts w:ascii="Arial" w:eastAsia="Calibri" w:hAnsi="Arial" w:cs="Arial"/>
          <w:sz w:val="16"/>
          <w:szCs w:val="16"/>
        </w:rPr>
        <w:t>Central Intelligence Agency. Po</w:t>
      </w:r>
      <w:r>
        <w:rPr>
          <w:rFonts w:ascii="Arial" w:eastAsia="Calibri" w:hAnsi="Arial" w:cs="Arial"/>
          <w:sz w:val="16"/>
          <w:szCs w:val="16"/>
        </w:rPr>
        <w:t>pulation Growth Rate. 2015.</w:t>
      </w:r>
      <w:r w:rsidRPr="002C3F80">
        <w:rPr>
          <w:rFonts w:ascii="Arial" w:eastAsia="Calibri" w:hAnsi="Arial" w:cs="Arial"/>
          <w:sz w:val="16"/>
          <w:szCs w:val="16"/>
        </w:rPr>
        <w:t xml:space="preserve"> Kenya ranks 46</w:t>
      </w:r>
      <w:r w:rsidRPr="002C3F80">
        <w:rPr>
          <w:rFonts w:ascii="Arial" w:eastAsia="Calibri" w:hAnsi="Arial" w:cs="Arial"/>
          <w:sz w:val="16"/>
          <w:szCs w:val="16"/>
          <w:vertAlign w:val="superscript"/>
        </w:rPr>
        <w:t>th</w:t>
      </w:r>
      <w:r w:rsidRPr="002C3F80">
        <w:rPr>
          <w:rFonts w:ascii="Arial" w:eastAsia="Calibri" w:hAnsi="Arial" w:cs="Arial"/>
          <w:sz w:val="16"/>
          <w:szCs w:val="16"/>
        </w:rPr>
        <w:t>, Tanzania ranks 17</w:t>
      </w:r>
      <w:r w:rsidRPr="002C3F80">
        <w:rPr>
          <w:rFonts w:ascii="Arial" w:eastAsia="Calibri" w:hAnsi="Arial" w:cs="Arial"/>
          <w:sz w:val="16"/>
          <w:szCs w:val="16"/>
          <w:vertAlign w:val="superscript"/>
        </w:rPr>
        <w:t>th</w:t>
      </w:r>
      <w:r w:rsidRPr="002C3F80">
        <w:rPr>
          <w:rFonts w:ascii="Arial" w:eastAsia="Calibri" w:hAnsi="Arial" w:cs="Arial"/>
          <w:sz w:val="16"/>
          <w:szCs w:val="16"/>
        </w:rPr>
        <w:t>, DRC ranks 29</w:t>
      </w:r>
      <w:r w:rsidRPr="002C3F80">
        <w:rPr>
          <w:rFonts w:ascii="Arial" w:eastAsia="Calibri" w:hAnsi="Arial" w:cs="Arial"/>
          <w:sz w:val="16"/>
          <w:szCs w:val="16"/>
          <w:vertAlign w:val="superscript"/>
        </w:rPr>
        <w:t>th</w:t>
      </w:r>
      <w:r w:rsidRPr="002C3F80">
        <w:rPr>
          <w:rFonts w:ascii="Arial" w:eastAsia="Calibri" w:hAnsi="Arial" w:cs="Arial"/>
          <w:sz w:val="16"/>
          <w:szCs w:val="16"/>
        </w:rPr>
        <w:t>, Rwanda 23</w:t>
      </w:r>
      <w:r w:rsidRPr="002C3F80">
        <w:rPr>
          <w:rFonts w:ascii="Arial" w:eastAsia="Calibri" w:hAnsi="Arial" w:cs="Arial"/>
          <w:sz w:val="16"/>
          <w:szCs w:val="16"/>
          <w:vertAlign w:val="superscript"/>
        </w:rPr>
        <w:t>rd</w:t>
      </w:r>
      <w:r w:rsidRPr="002C3F80">
        <w:rPr>
          <w:rFonts w:ascii="Arial" w:eastAsia="Calibri" w:hAnsi="Arial" w:cs="Arial"/>
          <w:sz w:val="16"/>
          <w:szCs w:val="16"/>
        </w:rPr>
        <w:t>, South Sudan 227</w:t>
      </w:r>
      <w:r w:rsidRPr="002C3F80">
        <w:rPr>
          <w:rFonts w:ascii="Arial" w:eastAsia="Calibri" w:hAnsi="Arial" w:cs="Arial"/>
          <w:sz w:val="16"/>
          <w:szCs w:val="16"/>
          <w:vertAlign w:val="superscript"/>
        </w:rPr>
        <w:t>th</w:t>
      </w:r>
      <w:r w:rsidRPr="002C3F80">
        <w:rPr>
          <w:rFonts w:ascii="Arial" w:eastAsia="Calibri" w:hAnsi="Arial" w:cs="Arial"/>
          <w:sz w:val="16"/>
          <w:szCs w:val="16"/>
        </w:rPr>
        <w:t xml:space="preserve"> </w:t>
      </w:r>
    </w:p>
  </w:footnote>
  <w:footnote w:id="24">
    <w:p w14:paraId="71281612" w14:textId="253902F7" w:rsidR="00345229" w:rsidRPr="002C3F80" w:rsidRDefault="00345229" w:rsidP="00CF0028">
      <w:pPr>
        <w:pStyle w:val="FootnoteText"/>
        <w:rPr>
          <w:sz w:val="16"/>
          <w:szCs w:val="16"/>
        </w:rPr>
      </w:pPr>
      <w:r w:rsidRPr="002C3F80">
        <w:rPr>
          <w:rStyle w:val="FootnoteReference"/>
          <w:sz w:val="16"/>
          <w:szCs w:val="16"/>
        </w:rPr>
        <w:footnoteRef/>
      </w:r>
      <w:r w:rsidRPr="002C3F80">
        <w:rPr>
          <w:sz w:val="16"/>
          <w:szCs w:val="16"/>
        </w:rPr>
        <w:t xml:space="preserve"> </w:t>
      </w:r>
      <w:r w:rsidRPr="005308E5">
        <w:rPr>
          <w:sz w:val="16"/>
          <w:szCs w:val="16"/>
        </w:rPr>
        <w:t>Ahaibwe, G., Mbowa, S.,. (2014). Youth Unemployment Challenge in Uganda and the Role of Employment Policies in Jobs Creation. Africa in focus.</w:t>
      </w:r>
      <w:r>
        <w:rPr>
          <w:sz w:val="16"/>
          <w:szCs w:val="16"/>
        </w:rPr>
        <w:t xml:space="preserve"> Retrieved from Brookings website.</w:t>
      </w:r>
    </w:p>
  </w:footnote>
  <w:footnote w:id="25">
    <w:p w14:paraId="7C742226" w14:textId="17AE6F35" w:rsidR="00345229" w:rsidRPr="002C3F80" w:rsidRDefault="00345229" w:rsidP="00CF0028">
      <w:pPr>
        <w:pStyle w:val="FootnoteText"/>
        <w:rPr>
          <w:sz w:val="16"/>
          <w:szCs w:val="16"/>
        </w:rPr>
      </w:pPr>
      <w:r w:rsidRPr="002C3F80">
        <w:rPr>
          <w:rStyle w:val="FootnoteReference"/>
          <w:sz w:val="16"/>
          <w:szCs w:val="16"/>
        </w:rPr>
        <w:footnoteRef/>
      </w:r>
      <w:r>
        <w:rPr>
          <w:sz w:val="16"/>
          <w:szCs w:val="16"/>
        </w:rPr>
        <w:t xml:space="preserve"> </w:t>
      </w:r>
      <w:r w:rsidRPr="005308E5">
        <w:rPr>
          <w:sz w:val="16"/>
          <w:szCs w:val="16"/>
        </w:rPr>
        <w:t>Ministry of Health. (2013). Republic of Uganda National Health Accounts.</w:t>
      </w:r>
    </w:p>
  </w:footnote>
  <w:footnote w:id="26">
    <w:p w14:paraId="2EEC530E" w14:textId="5062D64C" w:rsidR="00345229" w:rsidRPr="00566B15" w:rsidRDefault="00345229" w:rsidP="00CF0028">
      <w:pPr>
        <w:pStyle w:val="FootnoteText"/>
        <w:rPr>
          <w:sz w:val="16"/>
          <w:szCs w:val="16"/>
        </w:rPr>
      </w:pPr>
      <w:r w:rsidRPr="00566B15">
        <w:rPr>
          <w:rStyle w:val="FootnoteReference"/>
          <w:sz w:val="16"/>
          <w:szCs w:val="16"/>
        </w:rPr>
        <w:footnoteRef/>
      </w:r>
      <w:r w:rsidRPr="00566B15">
        <w:rPr>
          <w:sz w:val="16"/>
          <w:szCs w:val="16"/>
        </w:rPr>
        <w:t xml:space="preserve"> USAID Uganda. (2015). Karamoja Field-based Portfolio Review. Uganda: USAID Uganda.</w:t>
      </w:r>
    </w:p>
  </w:footnote>
  <w:footnote w:id="27">
    <w:p w14:paraId="759B0A52" w14:textId="5B0D2F03" w:rsidR="00345229" w:rsidRPr="00566B15" w:rsidRDefault="00345229" w:rsidP="00CF0028">
      <w:pPr>
        <w:pStyle w:val="FootnoteText"/>
        <w:rPr>
          <w:sz w:val="16"/>
          <w:szCs w:val="16"/>
        </w:rPr>
      </w:pPr>
      <w:r w:rsidRPr="00566B15">
        <w:rPr>
          <w:rStyle w:val="FootnoteReference"/>
          <w:sz w:val="16"/>
          <w:szCs w:val="16"/>
        </w:rPr>
        <w:footnoteRef/>
      </w:r>
      <w:r w:rsidRPr="00566B15">
        <w:rPr>
          <w:sz w:val="16"/>
          <w:szCs w:val="16"/>
        </w:rPr>
        <w:t xml:space="preserve"> Moyer, J. D., Bohl, D. K., Johnson, S., Moyer, J.,. (2015). Advancing development in Uganda: evaluating policy choices for 2016-</w:t>
      </w:r>
      <w:r w:rsidRPr="00005DAB">
        <w:rPr>
          <w:sz w:val="16"/>
          <w:szCs w:val="16"/>
          <w:vertAlign w:val="superscript"/>
        </w:rPr>
        <w:t>21</w:t>
      </w:r>
      <w:r w:rsidRPr="00566B15">
        <w:rPr>
          <w:sz w:val="16"/>
          <w:szCs w:val="16"/>
        </w:rPr>
        <w:t xml:space="preserve"> and selected impacts to 2040 (Final ed., pp. 33). Denver: Frederick S. Pardee Center for International Futures.</w:t>
      </w:r>
    </w:p>
  </w:footnote>
  <w:footnote w:id="28">
    <w:p w14:paraId="2BB9F570" w14:textId="1B25A31F" w:rsidR="00345229" w:rsidRDefault="00345229" w:rsidP="00CF0028">
      <w:pPr>
        <w:pStyle w:val="FootnoteText"/>
      </w:pPr>
      <w:r w:rsidRPr="00566B15">
        <w:rPr>
          <w:rStyle w:val="FootnoteReference"/>
          <w:sz w:val="16"/>
          <w:szCs w:val="16"/>
        </w:rPr>
        <w:footnoteRef/>
      </w:r>
      <w:r w:rsidRPr="00566B15">
        <w:rPr>
          <w:sz w:val="16"/>
          <w:szCs w:val="16"/>
        </w:rPr>
        <w:t xml:space="preserve"> Gribble, J. N. (2012). South Korea's Demographic Dividend. Population Reference Bureau.; Gupta, M. D. (2015). Reaping the Demographic Dividend: Components and Policies Required. Paper presented at the Population Association of America annual meeting, San Diego.</w:t>
      </w:r>
    </w:p>
  </w:footnote>
  <w:footnote w:id="29">
    <w:p w14:paraId="124A50B5" w14:textId="60875FB0" w:rsidR="00345229" w:rsidRPr="002C3F80" w:rsidRDefault="00345229" w:rsidP="00CF0028">
      <w:pPr>
        <w:pStyle w:val="FootnoteText"/>
        <w:rPr>
          <w:sz w:val="16"/>
          <w:szCs w:val="16"/>
        </w:rPr>
      </w:pPr>
      <w:r w:rsidRPr="002C3F80">
        <w:rPr>
          <w:rStyle w:val="FootnoteReference"/>
          <w:sz w:val="16"/>
          <w:szCs w:val="16"/>
        </w:rPr>
        <w:footnoteRef/>
      </w:r>
      <w:r w:rsidRPr="002C3F80">
        <w:rPr>
          <w:sz w:val="16"/>
          <w:szCs w:val="16"/>
        </w:rPr>
        <w:t xml:space="preserve"> </w:t>
      </w:r>
      <w:r w:rsidRPr="00566B15">
        <w:rPr>
          <w:sz w:val="16"/>
          <w:szCs w:val="16"/>
        </w:rPr>
        <w:t>Reaping the Demographic Dividend: Components and Policies Required. Paper presented at the Population Association of America annual meeting, San Diego.</w:t>
      </w:r>
    </w:p>
  </w:footnote>
  <w:footnote w:id="30">
    <w:p w14:paraId="0E4F0305" w14:textId="6D79282E" w:rsidR="00345229" w:rsidRDefault="00345229" w:rsidP="00CF0028">
      <w:pPr>
        <w:spacing w:after="0" w:line="240" w:lineRule="auto"/>
      </w:pPr>
      <w:r w:rsidRPr="002C3F80">
        <w:rPr>
          <w:rFonts w:ascii="Arial" w:hAnsi="Arial" w:cs="Arial"/>
          <w:sz w:val="16"/>
          <w:szCs w:val="16"/>
          <w:vertAlign w:val="superscript"/>
        </w:rPr>
        <w:footnoteRef/>
      </w:r>
      <w:r w:rsidRPr="002C3F80">
        <w:rPr>
          <w:rFonts w:ascii="Arial" w:eastAsia="Calibri" w:hAnsi="Arial" w:cs="Arial"/>
          <w:sz w:val="16"/>
          <w:szCs w:val="16"/>
        </w:rPr>
        <w:t xml:space="preserve"> </w:t>
      </w:r>
      <w:r w:rsidRPr="00566B15">
        <w:rPr>
          <w:rFonts w:ascii="Arial" w:eastAsia="Calibri" w:hAnsi="Arial" w:cs="Arial"/>
          <w:sz w:val="16"/>
          <w:szCs w:val="16"/>
        </w:rPr>
        <w:t>Aiyar, S., Mody, A. (2011). How big is India's demographic dividend? Evidence from the states. Vox CEPR'</w:t>
      </w:r>
      <w:r>
        <w:rPr>
          <w:rFonts w:ascii="Arial" w:eastAsia="Calibri" w:hAnsi="Arial" w:cs="Arial"/>
          <w:sz w:val="16"/>
          <w:szCs w:val="16"/>
        </w:rPr>
        <w:t>s Policy Portal.</w:t>
      </w:r>
    </w:p>
  </w:footnote>
  <w:footnote w:id="31">
    <w:p w14:paraId="083389FF" w14:textId="0F27211E" w:rsidR="00345229" w:rsidRPr="002C3F80" w:rsidRDefault="00345229" w:rsidP="00CF0028">
      <w:pPr>
        <w:pStyle w:val="FootnoteText"/>
        <w:rPr>
          <w:sz w:val="16"/>
          <w:szCs w:val="16"/>
        </w:rPr>
      </w:pPr>
      <w:r w:rsidRPr="002C3F80">
        <w:rPr>
          <w:rStyle w:val="FootnoteReference"/>
          <w:sz w:val="16"/>
          <w:szCs w:val="16"/>
        </w:rPr>
        <w:footnoteRef/>
      </w:r>
      <w:r>
        <w:rPr>
          <w:sz w:val="16"/>
          <w:szCs w:val="16"/>
        </w:rPr>
        <w:t xml:space="preserve"> </w:t>
      </w:r>
      <w:r w:rsidRPr="00DC511B">
        <w:rPr>
          <w:sz w:val="16"/>
          <w:szCs w:val="16"/>
        </w:rPr>
        <w:t>Uganda Bureau of Statistics. (2012). Uganda Demographic and Health Survey. Uganda: Uganda Bureau of Statistics.</w:t>
      </w:r>
    </w:p>
  </w:footnote>
  <w:footnote w:id="32">
    <w:p w14:paraId="3C41B170" w14:textId="311586C4" w:rsidR="00345229" w:rsidRPr="002C3F80" w:rsidRDefault="00345229" w:rsidP="00CF0028">
      <w:pPr>
        <w:spacing w:after="0" w:line="240" w:lineRule="auto"/>
        <w:rPr>
          <w:rFonts w:ascii="Arial" w:hAnsi="Arial" w:cs="Arial"/>
          <w:sz w:val="16"/>
          <w:szCs w:val="16"/>
        </w:rPr>
      </w:pPr>
      <w:r w:rsidRPr="002C3F80">
        <w:rPr>
          <w:rFonts w:ascii="Arial" w:hAnsi="Arial" w:cs="Arial"/>
          <w:sz w:val="16"/>
          <w:szCs w:val="16"/>
          <w:vertAlign w:val="superscript"/>
        </w:rPr>
        <w:footnoteRef/>
      </w:r>
      <w:r w:rsidRPr="002C3F80">
        <w:rPr>
          <w:rFonts w:ascii="Arial" w:hAnsi="Arial" w:cs="Arial"/>
          <w:sz w:val="16"/>
          <w:szCs w:val="16"/>
        </w:rPr>
        <w:t xml:space="preserve"> </w:t>
      </w:r>
      <w:r w:rsidRPr="00DC511B">
        <w:rPr>
          <w:rFonts w:ascii="Arial" w:hAnsi="Arial" w:cs="Arial"/>
          <w:sz w:val="16"/>
          <w:szCs w:val="16"/>
        </w:rPr>
        <w:t>World Bank. World Data Bank Gender Statistics (Online database).  Retrieved 2015, from World Bank</w:t>
      </w:r>
      <w:r>
        <w:rPr>
          <w:rFonts w:ascii="Arial" w:hAnsi="Arial" w:cs="Arial"/>
          <w:sz w:val="16"/>
          <w:szCs w:val="16"/>
        </w:rPr>
        <w:t>.</w:t>
      </w:r>
    </w:p>
  </w:footnote>
  <w:footnote w:id="33">
    <w:p w14:paraId="3F40D933" w14:textId="6A9BB1CA" w:rsidR="00345229" w:rsidRPr="002C3F80" w:rsidRDefault="00345229" w:rsidP="00CF0028">
      <w:pPr>
        <w:spacing w:after="0" w:line="240" w:lineRule="auto"/>
        <w:rPr>
          <w:rFonts w:ascii="Arial" w:hAnsi="Arial" w:cs="Arial"/>
          <w:sz w:val="16"/>
          <w:szCs w:val="16"/>
        </w:rPr>
      </w:pPr>
      <w:r w:rsidRPr="002C3F80">
        <w:rPr>
          <w:rFonts w:ascii="Arial" w:hAnsi="Arial" w:cs="Arial"/>
          <w:sz w:val="16"/>
          <w:szCs w:val="16"/>
          <w:vertAlign w:val="superscript"/>
        </w:rPr>
        <w:footnoteRef/>
      </w:r>
      <w:r w:rsidRPr="002C3F80">
        <w:rPr>
          <w:rFonts w:ascii="Arial" w:hAnsi="Arial" w:cs="Arial"/>
          <w:sz w:val="16"/>
          <w:szCs w:val="16"/>
        </w:rPr>
        <w:t xml:space="preserve"> </w:t>
      </w:r>
      <w:r w:rsidRPr="00DC511B">
        <w:rPr>
          <w:rFonts w:ascii="Arial" w:hAnsi="Arial" w:cs="Arial"/>
          <w:sz w:val="16"/>
          <w:szCs w:val="16"/>
        </w:rPr>
        <w:t>USAID. (2014). Women's Leadership as a Route to Greater Empowerment: USAID.</w:t>
      </w:r>
    </w:p>
  </w:footnote>
  <w:footnote w:id="34">
    <w:p w14:paraId="35D94641" w14:textId="77777777" w:rsidR="00345229" w:rsidRDefault="00345229" w:rsidP="00CF0028">
      <w:pPr>
        <w:spacing w:after="0" w:line="240" w:lineRule="auto"/>
      </w:pPr>
      <w:r w:rsidRPr="002C3F80">
        <w:rPr>
          <w:rFonts w:ascii="Arial" w:hAnsi="Arial" w:cs="Arial"/>
          <w:sz w:val="16"/>
          <w:szCs w:val="16"/>
          <w:vertAlign w:val="superscript"/>
        </w:rPr>
        <w:footnoteRef/>
      </w:r>
      <w:r w:rsidRPr="002C3F80">
        <w:rPr>
          <w:rFonts w:ascii="Arial" w:hAnsi="Arial" w:cs="Arial"/>
          <w:sz w:val="16"/>
          <w:szCs w:val="16"/>
        </w:rPr>
        <w:t xml:space="preserve"> Ibid.</w:t>
      </w:r>
      <w:r>
        <w:rPr>
          <w:sz w:val="20"/>
          <w:szCs w:val="20"/>
        </w:rPr>
        <w:t xml:space="preserve"> </w:t>
      </w:r>
    </w:p>
  </w:footnote>
  <w:footnote w:id="35">
    <w:p w14:paraId="370304D0" w14:textId="1B712FDE" w:rsidR="00345229" w:rsidRPr="00CF0028" w:rsidRDefault="00345229" w:rsidP="00CF0028">
      <w:pPr>
        <w:spacing w:after="0" w:line="240" w:lineRule="auto"/>
        <w:rPr>
          <w:rFonts w:ascii="Arial" w:hAnsi="Arial" w:cs="Arial"/>
          <w:sz w:val="16"/>
          <w:szCs w:val="16"/>
        </w:rPr>
      </w:pPr>
      <w:r w:rsidRPr="002C3F80">
        <w:rPr>
          <w:rFonts w:ascii="Arial" w:hAnsi="Arial" w:cs="Arial"/>
          <w:sz w:val="16"/>
          <w:szCs w:val="16"/>
          <w:vertAlign w:val="superscript"/>
        </w:rPr>
        <w:footnoteRef/>
      </w:r>
      <w:r w:rsidRPr="002C3F80">
        <w:rPr>
          <w:rFonts w:ascii="Arial" w:hAnsi="Arial" w:cs="Arial"/>
          <w:sz w:val="16"/>
          <w:szCs w:val="16"/>
        </w:rPr>
        <w:t xml:space="preserve"> </w:t>
      </w:r>
      <w:r w:rsidRPr="00E8371C">
        <w:rPr>
          <w:rFonts w:ascii="Arial" w:hAnsi="Arial" w:cs="Arial"/>
          <w:sz w:val="16"/>
          <w:szCs w:val="16"/>
          <w:highlight w:val="white"/>
        </w:rPr>
        <w:t>African Journal of Reproductive Health: Vol.18, No.3 September 2014</w:t>
      </w:r>
    </w:p>
  </w:footnote>
  <w:footnote w:id="36">
    <w:p w14:paraId="77A7CADF" w14:textId="5B3E3A78" w:rsidR="00345229" w:rsidRPr="002C3F80" w:rsidRDefault="00345229" w:rsidP="00CF0028">
      <w:pPr>
        <w:pStyle w:val="FootnoteText"/>
        <w:rPr>
          <w:sz w:val="16"/>
          <w:szCs w:val="16"/>
        </w:rPr>
      </w:pPr>
      <w:r w:rsidRPr="002C3F80">
        <w:rPr>
          <w:rStyle w:val="FootnoteReference"/>
          <w:sz w:val="16"/>
          <w:szCs w:val="16"/>
        </w:rPr>
        <w:footnoteRef/>
      </w:r>
      <w:r w:rsidRPr="002C3F80">
        <w:rPr>
          <w:sz w:val="16"/>
          <w:szCs w:val="16"/>
        </w:rPr>
        <w:t xml:space="preserve"> </w:t>
      </w:r>
      <w:r w:rsidRPr="00E7787C">
        <w:rPr>
          <w:sz w:val="16"/>
          <w:szCs w:val="16"/>
        </w:rPr>
        <w:t>Uganda Bureau of Statistics. (2012). Uganda Demographic and Health Survey. Uganda: Uganda Bureau of Statistics.</w:t>
      </w:r>
    </w:p>
  </w:footnote>
  <w:footnote w:id="37">
    <w:p w14:paraId="09DC791B" w14:textId="14E48E6A" w:rsidR="00345229" w:rsidRPr="002C3F80" w:rsidRDefault="00345229" w:rsidP="00CF0028">
      <w:pPr>
        <w:spacing w:after="0" w:line="240" w:lineRule="auto"/>
        <w:rPr>
          <w:rFonts w:ascii="Arial" w:hAnsi="Arial" w:cs="Arial"/>
          <w:sz w:val="16"/>
          <w:szCs w:val="16"/>
        </w:rPr>
      </w:pPr>
      <w:r w:rsidRPr="002C3F80">
        <w:rPr>
          <w:rFonts w:ascii="Arial" w:hAnsi="Arial" w:cs="Arial"/>
          <w:sz w:val="16"/>
          <w:szCs w:val="16"/>
          <w:vertAlign w:val="superscript"/>
        </w:rPr>
        <w:footnoteRef/>
      </w:r>
      <w:r w:rsidRPr="002C3F80">
        <w:rPr>
          <w:rFonts w:ascii="Arial" w:hAnsi="Arial" w:cs="Arial"/>
          <w:sz w:val="16"/>
          <w:szCs w:val="16"/>
        </w:rPr>
        <w:t xml:space="preserve"> </w:t>
      </w:r>
      <w:r w:rsidRPr="00E07B55">
        <w:rPr>
          <w:rFonts w:ascii="Arial" w:hAnsi="Arial" w:cs="Arial"/>
          <w:sz w:val="16"/>
          <w:szCs w:val="16"/>
        </w:rPr>
        <w:t>Sizomu, A., Brucker, M., Muwonge, M.,. (2014). Family Planning in Uganda: A Review of National and District Policies and Budgets. Uganda: Deutsche Stiftung Weltbevoelkerung.</w:t>
      </w:r>
    </w:p>
  </w:footnote>
  <w:footnote w:id="38">
    <w:p w14:paraId="0BE13823" w14:textId="77CB5202" w:rsidR="00345229" w:rsidRDefault="00345229" w:rsidP="00CF0028">
      <w:pPr>
        <w:pStyle w:val="CommentText"/>
        <w:spacing w:after="0"/>
      </w:pPr>
      <w:r w:rsidRPr="002C3F80">
        <w:rPr>
          <w:rStyle w:val="FootnoteReference"/>
          <w:rFonts w:ascii="Arial" w:hAnsi="Arial" w:cs="Arial"/>
          <w:sz w:val="16"/>
          <w:szCs w:val="16"/>
        </w:rPr>
        <w:footnoteRef/>
      </w:r>
      <w:r w:rsidRPr="002C3F80">
        <w:rPr>
          <w:rFonts w:ascii="Arial" w:hAnsi="Arial" w:cs="Arial"/>
          <w:sz w:val="16"/>
          <w:szCs w:val="16"/>
        </w:rPr>
        <w:t xml:space="preserve"> </w:t>
      </w:r>
      <w:r w:rsidRPr="00E7787C">
        <w:rPr>
          <w:rFonts w:ascii="Arial" w:hAnsi="Arial" w:cs="Arial"/>
          <w:sz w:val="16"/>
          <w:szCs w:val="16"/>
        </w:rPr>
        <w:t>Knowledge for Health (K4 Health) Project. Georgetown Institute for Repro</w:t>
      </w:r>
      <w:r>
        <w:rPr>
          <w:rFonts w:ascii="Arial" w:hAnsi="Arial" w:cs="Arial"/>
          <w:sz w:val="16"/>
          <w:szCs w:val="16"/>
        </w:rPr>
        <w:t>ductive Health (IRH). 2015.</w:t>
      </w:r>
    </w:p>
  </w:footnote>
  <w:footnote w:id="39">
    <w:p w14:paraId="38B82379" w14:textId="5B6F3C12" w:rsidR="00345229" w:rsidRPr="002C3F80" w:rsidRDefault="00345229" w:rsidP="00CF0028">
      <w:pPr>
        <w:pStyle w:val="FootnoteText"/>
        <w:rPr>
          <w:sz w:val="16"/>
          <w:szCs w:val="16"/>
        </w:rPr>
      </w:pPr>
      <w:r w:rsidRPr="002C3F80">
        <w:rPr>
          <w:rStyle w:val="FootnoteReference"/>
          <w:sz w:val="16"/>
          <w:szCs w:val="16"/>
        </w:rPr>
        <w:footnoteRef/>
      </w:r>
      <w:r w:rsidRPr="002C3F80">
        <w:rPr>
          <w:sz w:val="16"/>
          <w:szCs w:val="16"/>
        </w:rPr>
        <w:t xml:space="preserve"> </w:t>
      </w:r>
      <w:r w:rsidRPr="00BB34AA">
        <w:rPr>
          <w:sz w:val="16"/>
          <w:szCs w:val="16"/>
        </w:rPr>
        <w:t>Kakaire, O., Kaye, D., Osinde, M. O.,. (2011). Male involvement in birth preparedness and complication readiness for emergency obstetric referrals in rural Uganda. Reproductive Health, 8(12).</w:t>
      </w:r>
    </w:p>
  </w:footnote>
  <w:footnote w:id="40">
    <w:p w14:paraId="07372478" w14:textId="453EA5E9" w:rsidR="00345229" w:rsidRPr="00C86D9F" w:rsidRDefault="00345229" w:rsidP="00CF0028">
      <w:pPr>
        <w:widowControl w:val="0"/>
        <w:autoSpaceDE w:val="0"/>
        <w:autoSpaceDN w:val="0"/>
        <w:adjustRightInd w:val="0"/>
        <w:spacing w:after="0" w:line="240" w:lineRule="auto"/>
        <w:rPr>
          <w:sz w:val="20"/>
          <w:szCs w:val="20"/>
        </w:rPr>
      </w:pPr>
      <w:r w:rsidRPr="002C3F80">
        <w:rPr>
          <w:rStyle w:val="FootnoteReference"/>
          <w:rFonts w:ascii="Arial" w:hAnsi="Arial" w:cs="Arial"/>
          <w:sz w:val="16"/>
          <w:szCs w:val="16"/>
        </w:rPr>
        <w:footnoteRef/>
      </w:r>
      <w:r w:rsidRPr="002C3F80">
        <w:rPr>
          <w:rFonts w:ascii="Arial" w:hAnsi="Arial" w:cs="Arial"/>
          <w:sz w:val="16"/>
          <w:szCs w:val="16"/>
        </w:rPr>
        <w:t xml:space="preserve"> </w:t>
      </w:r>
      <w:r w:rsidRPr="009F5668">
        <w:rPr>
          <w:rFonts w:ascii="Arial" w:hAnsi="Arial" w:cs="Arial"/>
          <w:sz w:val="16"/>
          <w:szCs w:val="16"/>
        </w:rPr>
        <w:t>Kabagenyi, A., Jennings, L., Reid, A., Nalwadda, G., Ntozi, J., Atuyambe, L.,. (2014). Barriers to male involvement in contraceptive uptake and reproductive health services: a qualitative study of men and women's perceptions in two rural districts in Uganda. Reproductive Health, 11(1), 1.</w:t>
      </w:r>
    </w:p>
  </w:footnote>
  <w:footnote w:id="41">
    <w:p w14:paraId="7A3E5915" w14:textId="5C1E3C84" w:rsidR="00345229" w:rsidRPr="002C3F80" w:rsidRDefault="00345229" w:rsidP="00CF0028">
      <w:pPr>
        <w:pStyle w:val="FootnoteText"/>
        <w:rPr>
          <w:sz w:val="16"/>
          <w:szCs w:val="16"/>
        </w:rPr>
      </w:pPr>
      <w:r w:rsidRPr="002C3F80">
        <w:rPr>
          <w:rStyle w:val="FootnoteReference"/>
          <w:sz w:val="16"/>
          <w:szCs w:val="16"/>
        </w:rPr>
        <w:footnoteRef/>
      </w:r>
      <w:r w:rsidRPr="002C3F80">
        <w:rPr>
          <w:sz w:val="16"/>
          <w:szCs w:val="16"/>
        </w:rPr>
        <w:t xml:space="preserve"> </w:t>
      </w:r>
      <w:r>
        <w:rPr>
          <w:sz w:val="16"/>
          <w:szCs w:val="16"/>
        </w:rPr>
        <w:t>Mifumi. Bride Price. 2015.</w:t>
      </w:r>
    </w:p>
  </w:footnote>
  <w:footnote w:id="42">
    <w:p w14:paraId="782FE9A2" w14:textId="0B5F36F5" w:rsidR="00345229" w:rsidRPr="002C3F80" w:rsidRDefault="00345229" w:rsidP="00CF0028">
      <w:pPr>
        <w:pStyle w:val="FootnoteText"/>
        <w:rPr>
          <w:sz w:val="16"/>
          <w:szCs w:val="16"/>
        </w:rPr>
      </w:pPr>
      <w:r w:rsidRPr="002C3F80">
        <w:rPr>
          <w:rStyle w:val="FootnoteReference"/>
          <w:sz w:val="16"/>
          <w:szCs w:val="16"/>
        </w:rPr>
        <w:footnoteRef/>
      </w:r>
      <w:r w:rsidRPr="002C3F80">
        <w:rPr>
          <w:sz w:val="16"/>
          <w:szCs w:val="16"/>
        </w:rPr>
        <w:t xml:space="preserve"> </w:t>
      </w:r>
      <w:r>
        <w:rPr>
          <w:sz w:val="16"/>
          <w:szCs w:val="16"/>
        </w:rPr>
        <w:t>Ibid.</w:t>
      </w:r>
    </w:p>
  </w:footnote>
  <w:footnote w:id="43">
    <w:p w14:paraId="2677F58F" w14:textId="4FB39CBA" w:rsidR="00345229" w:rsidRPr="00D710A0" w:rsidRDefault="00345229" w:rsidP="00CF0028">
      <w:pPr>
        <w:pStyle w:val="FootnoteText"/>
        <w:rPr>
          <w:rFonts w:asciiTheme="minorHAnsi" w:hAnsiTheme="minorHAnsi"/>
          <w:sz w:val="20"/>
          <w:szCs w:val="20"/>
        </w:rPr>
      </w:pPr>
      <w:r w:rsidRPr="002C3F80">
        <w:rPr>
          <w:rStyle w:val="FootnoteReference"/>
          <w:sz w:val="16"/>
          <w:szCs w:val="16"/>
        </w:rPr>
        <w:footnoteRef/>
      </w:r>
      <w:r w:rsidRPr="002C3F80">
        <w:rPr>
          <w:sz w:val="16"/>
          <w:szCs w:val="16"/>
        </w:rPr>
        <w:t xml:space="preserve"> </w:t>
      </w:r>
      <w:r w:rsidRPr="00F327E3">
        <w:rPr>
          <w:sz w:val="16"/>
          <w:szCs w:val="16"/>
        </w:rPr>
        <w:t>USAID. (2012). Ending Child Marriage and Meeting the Needs of Married Children: The USAID Vision for Action. Washington, District of Columbia: USAID.</w:t>
      </w:r>
    </w:p>
  </w:footnote>
  <w:footnote w:id="44">
    <w:p w14:paraId="2F408661" w14:textId="5AB7E575" w:rsidR="00345229" w:rsidRPr="002C3F80" w:rsidRDefault="00345229" w:rsidP="00CF0028">
      <w:pPr>
        <w:pStyle w:val="FootnoteText"/>
        <w:rPr>
          <w:sz w:val="16"/>
          <w:szCs w:val="16"/>
        </w:rPr>
      </w:pPr>
      <w:r w:rsidRPr="002C3F80">
        <w:rPr>
          <w:rStyle w:val="FootnoteReference"/>
          <w:sz w:val="16"/>
          <w:szCs w:val="16"/>
        </w:rPr>
        <w:footnoteRef/>
      </w:r>
      <w:r>
        <w:rPr>
          <w:sz w:val="16"/>
          <w:szCs w:val="16"/>
        </w:rPr>
        <w:t xml:space="preserve"> </w:t>
      </w:r>
      <w:r w:rsidRPr="00F327E3">
        <w:rPr>
          <w:sz w:val="16"/>
          <w:szCs w:val="16"/>
        </w:rPr>
        <w:t>Uganda Bureau of Statistics. (2012). Uganda Demographic and Health Survey. Uganda: Uganda Bureau of Statistics.</w:t>
      </w:r>
    </w:p>
  </w:footnote>
  <w:footnote w:id="45">
    <w:p w14:paraId="6A1EB69B" w14:textId="54B3E1BE" w:rsidR="00345229" w:rsidRPr="002C3F80" w:rsidRDefault="00345229" w:rsidP="00CF0028">
      <w:pPr>
        <w:spacing w:after="0" w:line="240" w:lineRule="auto"/>
        <w:rPr>
          <w:rFonts w:ascii="Arial" w:hAnsi="Arial" w:cs="Arial"/>
          <w:sz w:val="16"/>
          <w:szCs w:val="16"/>
        </w:rPr>
      </w:pPr>
      <w:r w:rsidRPr="002C3F80">
        <w:rPr>
          <w:rFonts w:ascii="Arial" w:hAnsi="Arial" w:cs="Arial"/>
          <w:sz w:val="16"/>
          <w:szCs w:val="16"/>
          <w:vertAlign w:val="superscript"/>
        </w:rPr>
        <w:footnoteRef/>
      </w:r>
      <w:r w:rsidRPr="002C3F80">
        <w:rPr>
          <w:rFonts w:ascii="Arial" w:eastAsia="Calibri" w:hAnsi="Arial" w:cs="Arial"/>
          <w:sz w:val="16"/>
          <w:szCs w:val="16"/>
        </w:rPr>
        <w:t xml:space="preserve"> </w:t>
      </w:r>
      <w:r w:rsidRPr="00F327E3">
        <w:rPr>
          <w:rFonts w:ascii="Arial" w:eastAsia="Calibri" w:hAnsi="Arial" w:cs="Arial"/>
          <w:sz w:val="16"/>
          <w:szCs w:val="16"/>
        </w:rPr>
        <w:t>28 Too Many. (2013). FGM</w:t>
      </w:r>
      <w:r>
        <w:rPr>
          <w:rFonts w:ascii="Arial" w:eastAsia="Calibri" w:hAnsi="Arial" w:cs="Arial"/>
          <w:sz w:val="16"/>
          <w:szCs w:val="16"/>
        </w:rPr>
        <w:t xml:space="preserve"> in Uganda.</w:t>
      </w:r>
    </w:p>
  </w:footnote>
  <w:footnote w:id="46">
    <w:p w14:paraId="3750422F" w14:textId="69CBC88C" w:rsidR="00345229" w:rsidRPr="002C3F80" w:rsidRDefault="00345229" w:rsidP="00CF0028">
      <w:pPr>
        <w:spacing w:after="0" w:line="240" w:lineRule="auto"/>
        <w:rPr>
          <w:rFonts w:ascii="Arial" w:hAnsi="Arial" w:cs="Arial"/>
          <w:sz w:val="16"/>
          <w:szCs w:val="16"/>
        </w:rPr>
      </w:pPr>
      <w:r w:rsidRPr="002C3F80">
        <w:rPr>
          <w:rFonts w:ascii="Arial" w:hAnsi="Arial" w:cs="Arial"/>
          <w:sz w:val="16"/>
          <w:szCs w:val="16"/>
          <w:vertAlign w:val="superscript"/>
        </w:rPr>
        <w:footnoteRef/>
      </w:r>
      <w:r w:rsidRPr="002C3F80">
        <w:rPr>
          <w:rFonts w:ascii="Arial" w:hAnsi="Arial" w:cs="Arial"/>
          <w:sz w:val="16"/>
          <w:szCs w:val="16"/>
        </w:rPr>
        <w:t xml:space="preserve"> </w:t>
      </w:r>
      <w:r w:rsidRPr="00F327E3">
        <w:rPr>
          <w:rFonts w:ascii="Arial" w:hAnsi="Arial" w:cs="Arial"/>
          <w:sz w:val="16"/>
          <w:szCs w:val="16"/>
        </w:rPr>
        <w:t>Nabusoba, I. FGM in Karamoja: we either 'kill' culture or preserve life. Daily Monitor.</w:t>
      </w:r>
    </w:p>
  </w:footnote>
  <w:footnote w:id="47">
    <w:p w14:paraId="1D07D1CE" w14:textId="77777777" w:rsidR="00345229" w:rsidRDefault="00345229" w:rsidP="00CF0028">
      <w:pPr>
        <w:spacing w:after="0" w:line="240" w:lineRule="auto"/>
      </w:pPr>
      <w:r w:rsidRPr="002C3F80">
        <w:rPr>
          <w:rFonts w:ascii="Arial" w:hAnsi="Arial" w:cs="Arial"/>
          <w:sz w:val="16"/>
          <w:szCs w:val="16"/>
          <w:vertAlign w:val="superscript"/>
        </w:rPr>
        <w:footnoteRef/>
      </w:r>
      <w:r w:rsidRPr="002C3F80">
        <w:rPr>
          <w:rFonts w:ascii="Arial" w:eastAsia="Calibri" w:hAnsi="Arial" w:cs="Arial"/>
          <w:sz w:val="16"/>
          <w:szCs w:val="16"/>
        </w:rPr>
        <w:t xml:space="preserve"> Ibid.</w:t>
      </w:r>
      <w:r>
        <w:rPr>
          <w:rFonts w:ascii="Calibri" w:eastAsia="Calibri" w:hAnsi="Calibri" w:cs="Calibri"/>
          <w:sz w:val="20"/>
          <w:szCs w:val="20"/>
        </w:rPr>
        <w:t xml:space="preserve"> </w:t>
      </w:r>
    </w:p>
  </w:footnote>
  <w:footnote w:id="48">
    <w:p w14:paraId="7108F1BB" w14:textId="7D114ED4" w:rsidR="00345229" w:rsidRPr="002C3F80" w:rsidRDefault="00345229" w:rsidP="00CF0028">
      <w:pPr>
        <w:tabs>
          <w:tab w:val="left" w:pos="548"/>
        </w:tabs>
        <w:spacing w:after="0" w:line="240" w:lineRule="auto"/>
        <w:rPr>
          <w:rFonts w:ascii="Arial" w:hAnsi="Arial" w:cs="Arial"/>
          <w:sz w:val="16"/>
          <w:szCs w:val="16"/>
        </w:rPr>
      </w:pPr>
      <w:r w:rsidRPr="002C3F80">
        <w:rPr>
          <w:rFonts w:ascii="Arial" w:hAnsi="Arial" w:cs="Arial"/>
          <w:sz w:val="16"/>
          <w:szCs w:val="16"/>
          <w:vertAlign w:val="superscript"/>
        </w:rPr>
        <w:footnoteRef/>
      </w:r>
      <w:r>
        <w:rPr>
          <w:rFonts w:ascii="Arial" w:hAnsi="Arial" w:cs="Arial"/>
          <w:sz w:val="16"/>
          <w:szCs w:val="16"/>
        </w:rPr>
        <w:t xml:space="preserve"> </w:t>
      </w:r>
      <w:r w:rsidRPr="008739F9">
        <w:rPr>
          <w:rFonts w:ascii="Arial" w:hAnsi="Arial" w:cs="Arial"/>
          <w:sz w:val="16"/>
          <w:szCs w:val="16"/>
        </w:rPr>
        <w:t>Garde, M. (2013). Research Briefing: Assessing Child Protection, Safety &amp; Security Issues for Children in Ugandan Primary and Secondary Schools. Uganda: UNICEF Uganda.</w:t>
      </w:r>
    </w:p>
  </w:footnote>
  <w:footnote w:id="49">
    <w:p w14:paraId="2F11ECAF" w14:textId="3C894917" w:rsidR="00345229" w:rsidRDefault="00345229" w:rsidP="00CF0028">
      <w:pPr>
        <w:pStyle w:val="FootnoteText"/>
      </w:pPr>
      <w:r w:rsidRPr="002C3F80">
        <w:rPr>
          <w:rStyle w:val="FootnoteReference"/>
          <w:sz w:val="16"/>
          <w:szCs w:val="16"/>
        </w:rPr>
        <w:footnoteRef/>
      </w:r>
      <w:r w:rsidRPr="002C3F80">
        <w:rPr>
          <w:sz w:val="16"/>
          <w:szCs w:val="16"/>
        </w:rPr>
        <w:t xml:space="preserve"> </w:t>
      </w:r>
      <w:r>
        <w:rPr>
          <w:sz w:val="16"/>
          <w:szCs w:val="16"/>
        </w:rPr>
        <w:t>Ibid.</w:t>
      </w:r>
    </w:p>
  </w:footnote>
  <w:footnote w:id="50">
    <w:p w14:paraId="38BE383D" w14:textId="02458050" w:rsidR="00345229" w:rsidRPr="002C3F80" w:rsidRDefault="00345229" w:rsidP="00CF0028">
      <w:pPr>
        <w:spacing w:after="0" w:line="240" w:lineRule="auto"/>
        <w:rPr>
          <w:rFonts w:ascii="Arial" w:hAnsi="Arial" w:cs="Arial"/>
          <w:sz w:val="16"/>
          <w:szCs w:val="16"/>
        </w:rPr>
      </w:pPr>
      <w:r w:rsidRPr="002C3F80">
        <w:rPr>
          <w:rFonts w:ascii="Arial" w:hAnsi="Arial" w:cs="Arial"/>
          <w:sz w:val="16"/>
          <w:szCs w:val="16"/>
          <w:vertAlign w:val="superscript"/>
        </w:rPr>
        <w:footnoteRef/>
      </w:r>
      <w:r w:rsidRPr="002C3F80">
        <w:rPr>
          <w:rFonts w:ascii="Arial" w:hAnsi="Arial" w:cs="Arial"/>
          <w:sz w:val="16"/>
          <w:szCs w:val="16"/>
        </w:rPr>
        <w:t xml:space="preserve"> </w:t>
      </w:r>
      <w:r w:rsidRPr="002B10EE">
        <w:rPr>
          <w:rFonts w:ascii="Arial" w:hAnsi="Arial" w:cs="Arial"/>
          <w:sz w:val="16"/>
          <w:szCs w:val="16"/>
        </w:rPr>
        <w:t>Annan, J., Brier, M.,. (2010). The risk of return: Intimate partner violence in Northern Uganda's armed conflict. Social Science &amp; Medicine, 70, 7.</w:t>
      </w:r>
    </w:p>
  </w:footnote>
  <w:footnote w:id="51">
    <w:p w14:paraId="3CC769C8" w14:textId="3D7C1641" w:rsidR="00345229" w:rsidRDefault="00345229" w:rsidP="00CF0028">
      <w:pPr>
        <w:pStyle w:val="FootnoteText"/>
      </w:pPr>
      <w:r w:rsidRPr="002C3F80">
        <w:rPr>
          <w:rStyle w:val="FootnoteReference"/>
          <w:sz w:val="16"/>
          <w:szCs w:val="16"/>
        </w:rPr>
        <w:footnoteRef/>
      </w:r>
      <w:r w:rsidRPr="002C3F80">
        <w:rPr>
          <w:sz w:val="16"/>
          <w:szCs w:val="16"/>
        </w:rPr>
        <w:t xml:space="preserve"> </w:t>
      </w:r>
      <w:r w:rsidRPr="002B10EE">
        <w:rPr>
          <w:sz w:val="16"/>
          <w:szCs w:val="16"/>
        </w:rPr>
        <w:t>Breaking the stigma around mental illne</w:t>
      </w:r>
      <w:r>
        <w:rPr>
          <w:sz w:val="16"/>
          <w:szCs w:val="16"/>
        </w:rPr>
        <w:t>ss in Uganda. (2015). BBC News.</w:t>
      </w:r>
    </w:p>
  </w:footnote>
  <w:footnote w:id="52">
    <w:p w14:paraId="1FA9D58A" w14:textId="5B8EEA59" w:rsidR="00345229" w:rsidRPr="002C3F80" w:rsidRDefault="00345229" w:rsidP="00653997">
      <w:pPr>
        <w:pStyle w:val="CommentText"/>
        <w:spacing w:after="0"/>
        <w:rPr>
          <w:rFonts w:ascii="Arial" w:hAnsi="Arial" w:cs="Arial"/>
          <w:sz w:val="16"/>
          <w:szCs w:val="16"/>
        </w:rPr>
      </w:pPr>
      <w:r w:rsidRPr="002C3F80">
        <w:rPr>
          <w:rStyle w:val="FootnoteReference"/>
          <w:rFonts w:ascii="Arial" w:hAnsi="Arial" w:cs="Arial"/>
          <w:sz w:val="16"/>
          <w:szCs w:val="16"/>
        </w:rPr>
        <w:footnoteRef/>
      </w:r>
      <w:r>
        <w:rPr>
          <w:rFonts w:ascii="Arial" w:hAnsi="Arial" w:cs="Arial"/>
          <w:sz w:val="16"/>
          <w:szCs w:val="16"/>
        </w:rPr>
        <w:t xml:space="preserve"> </w:t>
      </w:r>
      <w:r w:rsidRPr="00FF7064">
        <w:rPr>
          <w:rFonts w:ascii="Arial" w:hAnsi="Arial" w:cs="Arial"/>
          <w:sz w:val="16"/>
          <w:szCs w:val="16"/>
        </w:rPr>
        <w:t>East African Sub-Regional Support Initiative for the Advancement of Women. (2015). JOINT PRESS STATEMENT ON THE DEHUMANIZING AND DEGRADING TREATMENT OF WOMEN IN ACTIVE POLITICS BY THE UGANDA POLICE FORCE. Uganda: East African Sub-Regional Support Initiative for the Advancement of Women.</w:t>
      </w:r>
    </w:p>
  </w:footnote>
  <w:footnote w:id="53">
    <w:p w14:paraId="74804EF4" w14:textId="6D867AB5" w:rsidR="00345229" w:rsidRPr="002C3F80" w:rsidRDefault="00345229" w:rsidP="00653997">
      <w:pPr>
        <w:spacing w:after="0" w:line="240" w:lineRule="auto"/>
        <w:rPr>
          <w:rFonts w:ascii="Arial" w:hAnsi="Arial" w:cs="Arial"/>
          <w:sz w:val="16"/>
          <w:szCs w:val="16"/>
        </w:rPr>
      </w:pPr>
      <w:r w:rsidRPr="002C3F80">
        <w:rPr>
          <w:rFonts w:ascii="Arial" w:hAnsi="Arial" w:cs="Arial"/>
          <w:sz w:val="16"/>
          <w:szCs w:val="16"/>
          <w:vertAlign w:val="superscript"/>
        </w:rPr>
        <w:footnoteRef/>
      </w:r>
      <w:r w:rsidRPr="002C3F80">
        <w:rPr>
          <w:rFonts w:ascii="Arial" w:hAnsi="Arial" w:cs="Arial"/>
          <w:sz w:val="16"/>
          <w:szCs w:val="16"/>
        </w:rPr>
        <w:t xml:space="preserve"> </w:t>
      </w:r>
      <w:r w:rsidRPr="005162CE">
        <w:rPr>
          <w:rFonts w:ascii="Arial" w:hAnsi="Arial" w:cs="Arial"/>
          <w:sz w:val="16"/>
          <w:szCs w:val="16"/>
        </w:rPr>
        <w:t>Uganda Bureau of Statistics. (2012). Uganda Demographic and Health Survey. Uganda: Uganda Bureau of Statistics.</w:t>
      </w:r>
    </w:p>
  </w:footnote>
  <w:footnote w:id="54">
    <w:p w14:paraId="3C1F520B" w14:textId="56363F04" w:rsidR="00345229" w:rsidRPr="002C3F80" w:rsidRDefault="00345229" w:rsidP="00653997">
      <w:pPr>
        <w:pStyle w:val="FootnoteText"/>
        <w:rPr>
          <w:sz w:val="16"/>
          <w:szCs w:val="16"/>
        </w:rPr>
      </w:pPr>
      <w:r w:rsidRPr="002C3F80">
        <w:rPr>
          <w:rStyle w:val="FootnoteReference"/>
          <w:sz w:val="16"/>
          <w:szCs w:val="16"/>
        </w:rPr>
        <w:footnoteRef/>
      </w:r>
      <w:r w:rsidRPr="002C3F80">
        <w:rPr>
          <w:sz w:val="16"/>
          <w:szCs w:val="16"/>
        </w:rPr>
        <w:t xml:space="preserve"> </w:t>
      </w:r>
      <w:r w:rsidRPr="005162CE">
        <w:rPr>
          <w:sz w:val="16"/>
          <w:szCs w:val="16"/>
        </w:rPr>
        <w:t>Uganda Bureau of Statistics. (2012). Uganda Demographic and Health Survey. Uganda: Uganda Bureau of Statistics.</w:t>
      </w:r>
    </w:p>
  </w:footnote>
  <w:footnote w:id="55">
    <w:p w14:paraId="729E6623" w14:textId="13F9C8B2" w:rsidR="00345229" w:rsidRPr="002C3F80" w:rsidRDefault="00345229" w:rsidP="00653997">
      <w:pPr>
        <w:pStyle w:val="FootnoteText"/>
        <w:rPr>
          <w:sz w:val="16"/>
          <w:szCs w:val="16"/>
        </w:rPr>
      </w:pPr>
      <w:r w:rsidRPr="002C3F80">
        <w:rPr>
          <w:rStyle w:val="FootnoteReference"/>
          <w:sz w:val="16"/>
          <w:szCs w:val="16"/>
        </w:rPr>
        <w:footnoteRef/>
      </w:r>
      <w:r w:rsidRPr="002C3F80">
        <w:rPr>
          <w:sz w:val="16"/>
          <w:szCs w:val="16"/>
        </w:rPr>
        <w:t xml:space="preserve"> </w:t>
      </w:r>
      <w:r>
        <w:rPr>
          <w:sz w:val="16"/>
          <w:szCs w:val="16"/>
        </w:rPr>
        <w:t>Ibid.</w:t>
      </w:r>
    </w:p>
  </w:footnote>
  <w:footnote w:id="56">
    <w:p w14:paraId="639B383B" w14:textId="46691863" w:rsidR="00345229" w:rsidRPr="008F70FA" w:rsidRDefault="00345229" w:rsidP="00653997">
      <w:pPr>
        <w:pStyle w:val="FootnoteText"/>
        <w:rPr>
          <w:rFonts w:ascii="Segoe UI" w:hAnsi="Segoe UI" w:cs="Segoe UI"/>
          <w:sz w:val="18"/>
          <w:szCs w:val="18"/>
        </w:rPr>
      </w:pPr>
      <w:r w:rsidRPr="002C3F80">
        <w:rPr>
          <w:rStyle w:val="FootnoteReference"/>
          <w:sz w:val="16"/>
          <w:szCs w:val="16"/>
        </w:rPr>
        <w:footnoteRef/>
      </w:r>
      <w:r w:rsidRPr="002C3F80">
        <w:rPr>
          <w:sz w:val="16"/>
          <w:szCs w:val="16"/>
        </w:rPr>
        <w:t xml:space="preserve"> </w:t>
      </w:r>
      <w:r w:rsidRPr="008F70FA">
        <w:rPr>
          <w:sz w:val="16"/>
          <w:szCs w:val="16"/>
        </w:rPr>
        <w:t xml:space="preserve">Ricotta, E., Koenker, H., Kilian, A., Lynch, M.,. (2014). Are women prioritized over bed nets? An assessment using survey data from 10 African countries. </w:t>
      </w:r>
      <w:r w:rsidRPr="008F70FA">
        <w:rPr>
          <w:i/>
          <w:iCs/>
          <w:sz w:val="16"/>
          <w:szCs w:val="16"/>
        </w:rPr>
        <w:t>Global Health Science and Practice, 2</w:t>
      </w:r>
      <w:r>
        <w:rPr>
          <w:sz w:val="16"/>
          <w:szCs w:val="16"/>
        </w:rPr>
        <w:t>(2).</w:t>
      </w:r>
    </w:p>
  </w:footnote>
  <w:footnote w:id="57">
    <w:p w14:paraId="7961DBD3" w14:textId="3830A3B6" w:rsidR="00345229" w:rsidRPr="002C3F80" w:rsidRDefault="00345229" w:rsidP="00653997">
      <w:pPr>
        <w:spacing w:after="0" w:line="240" w:lineRule="auto"/>
        <w:rPr>
          <w:rFonts w:ascii="Arial" w:hAnsi="Arial" w:cs="Arial"/>
          <w:sz w:val="16"/>
          <w:szCs w:val="16"/>
        </w:rPr>
      </w:pPr>
      <w:r w:rsidRPr="002C3F80">
        <w:rPr>
          <w:rFonts w:ascii="Arial" w:hAnsi="Arial" w:cs="Arial"/>
          <w:sz w:val="16"/>
          <w:szCs w:val="16"/>
          <w:vertAlign w:val="superscript"/>
        </w:rPr>
        <w:footnoteRef/>
      </w:r>
      <w:r w:rsidRPr="002C3F80">
        <w:rPr>
          <w:rFonts w:ascii="Arial" w:hAnsi="Arial" w:cs="Arial"/>
          <w:sz w:val="16"/>
          <w:szCs w:val="16"/>
        </w:rPr>
        <w:t xml:space="preserve"> </w:t>
      </w:r>
      <w:r w:rsidRPr="005162CE">
        <w:rPr>
          <w:rFonts w:ascii="Arial" w:hAnsi="Arial" w:cs="Arial"/>
          <w:sz w:val="16"/>
          <w:szCs w:val="16"/>
        </w:rPr>
        <w:t>index mundi. Ugan</w:t>
      </w:r>
      <w:r>
        <w:rPr>
          <w:rFonts w:ascii="Arial" w:hAnsi="Arial" w:cs="Arial"/>
          <w:sz w:val="16"/>
          <w:szCs w:val="16"/>
        </w:rPr>
        <w:t>da - Prevalence of anemia. 2015.</w:t>
      </w:r>
    </w:p>
  </w:footnote>
  <w:footnote w:id="58">
    <w:p w14:paraId="3A3B3127" w14:textId="011FE9E2" w:rsidR="00345229" w:rsidRDefault="00345229" w:rsidP="00653997">
      <w:pPr>
        <w:spacing w:after="0" w:line="240" w:lineRule="auto"/>
      </w:pPr>
      <w:r w:rsidRPr="002C3F80">
        <w:rPr>
          <w:rFonts w:ascii="Arial" w:hAnsi="Arial" w:cs="Arial"/>
          <w:sz w:val="16"/>
          <w:szCs w:val="16"/>
          <w:vertAlign w:val="superscript"/>
        </w:rPr>
        <w:footnoteRef/>
      </w:r>
      <w:r w:rsidRPr="002C3F80">
        <w:rPr>
          <w:rFonts w:ascii="Arial" w:hAnsi="Arial" w:cs="Arial"/>
          <w:sz w:val="16"/>
          <w:szCs w:val="16"/>
        </w:rPr>
        <w:t xml:space="preserve"> </w:t>
      </w:r>
      <w:r w:rsidRPr="00032477">
        <w:rPr>
          <w:rFonts w:ascii="Arial" w:hAnsi="Arial" w:cs="Arial"/>
          <w:sz w:val="16"/>
          <w:szCs w:val="16"/>
        </w:rPr>
        <w:t>International Food Policy Research Institute. (2014). 2014 Nutritional Country Profile Uganda. Uganda: International Food Policy Research Institute.</w:t>
      </w:r>
    </w:p>
  </w:footnote>
  <w:footnote w:id="59">
    <w:p w14:paraId="0BD9769E" w14:textId="04021516" w:rsidR="00345229" w:rsidRPr="002C3F80" w:rsidRDefault="00345229" w:rsidP="00653997">
      <w:pPr>
        <w:spacing w:after="0" w:line="240" w:lineRule="auto"/>
        <w:rPr>
          <w:rFonts w:ascii="Arial" w:hAnsi="Arial" w:cs="Arial"/>
          <w:sz w:val="16"/>
          <w:szCs w:val="16"/>
        </w:rPr>
      </w:pPr>
      <w:r w:rsidRPr="002C3F80">
        <w:rPr>
          <w:rFonts w:ascii="Arial" w:hAnsi="Arial" w:cs="Arial"/>
          <w:sz w:val="16"/>
          <w:szCs w:val="16"/>
          <w:vertAlign w:val="superscript"/>
        </w:rPr>
        <w:footnoteRef/>
      </w:r>
      <w:r w:rsidRPr="002C3F80">
        <w:rPr>
          <w:rFonts w:ascii="Arial" w:hAnsi="Arial" w:cs="Arial"/>
          <w:sz w:val="16"/>
          <w:szCs w:val="16"/>
        </w:rPr>
        <w:t xml:space="preserve"> </w:t>
      </w:r>
      <w:r w:rsidRPr="00032477">
        <w:rPr>
          <w:rFonts w:ascii="Arial" w:hAnsi="Arial" w:cs="Arial"/>
          <w:sz w:val="16"/>
          <w:szCs w:val="16"/>
        </w:rPr>
        <w:t>Vigoda, M. (2012). Reaching New Heights: The Case for Measuring Women's Empowerment: CARE.</w:t>
      </w:r>
    </w:p>
  </w:footnote>
  <w:footnote w:id="60">
    <w:p w14:paraId="30A84FE2" w14:textId="5C64B196" w:rsidR="00345229" w:rsidRPr="002C3F80" w:rsidRDefault="00345229" w:rsidP="00653997">
      <w:pPr>
        <w:spacing w:after="0" w:line="240" w:lineRule="auto"/>
        <w:rPr>
          <w:rFonts w:ascii="Arial" w:hAnsi="Arial" w:cs="Arial"/>
          <w:sz w:val="16"/>
          <w:szCs w:val="16"/>
        </w:rPr>
      </w:pPr>
      <w:r w:rsidRPr="002C3F80">
        <w:rPr>
          <w:rFonts w:ascii="Arial" w:hAnsi="Arial" w:cs="Arial"/>
          <w:sz w:val="16"/>
          <w:szCs w:val="16"/>
          <w:vertAlign w:val="superscript"/>
        </w:rPr>
        <w:footnoteRef/>
      </w:r>
      <w:r w:rsidRPr="002C3F80">
        <w:rPr>
          <w:rFonts w:ascii="Arial" w:hAnsi="Arial" w:cs="Arial"/>
          <w:sz w:val="16"/>
          <w:szCs w:val="16"/>
        </w:rPr>
        <w:t xml:space="preserve"> </w:t>
      </w:r>
      <w:r w:rsidRPr="00032477">
        <w:rPr>
          <w:rFonts w:ascii="Arial" w:hAnsi="Arial" w:cs="Arial"/>
          <w:sz w:val="16"/>
          <w:szCs w:val="16"/>
        </w:rPr>
        <w:t>USAID Uganda. (2015). State of the Ugandan Child: USAID Uganda.</w:t>
      </w:r>
    </w:p>
  </w:footnote>
  <w:footnote w:id="61">
    <w:p w14:paraId="440D6BB1" w14:textId="77777777" w:rsidR="00345229" w:rsidRDefault="00345229" w:rsidP="00653997">
      <w:pPr>
        <w:spacing w:after="0" w:line="240" w:lineRule="auto"/>
      </w:pPr>
      <w:r w:rsidRPr="002C3F80">
        <w:rPr>
          <w:rFonts w:ascii="Arial" w:hAnsi="Arial" w:cs="Arial"/>
          <w:sz w:val="16"/>
          <w:szCs w:val="16"/>
          <w:vertAlign w:val="superscript"/>
        </w:rPr>
        <w:footnoteRef/>
      </w:r>
      <w:r w:rsidRPr="002C3F80">
        <w:rPr>
          <w:rFonts w:ascii="Arial" w:hAnsi="Arial" w:cs="Arial"/>
          <w:sz w:val="16"/>
          <w:szCs w:val="16"/>
        </w:rPr>
        <w:t xml:space="preserve"> Ibid.</w:t>
      </w:r>
    </w:p>
  </w:footnote>
  <w:footnote w:id="62">
    <w:p w14:paraId="0425B99F" w14:textId="46E0BFED" w:rsidR="00345229" w:rsidRPr="002C3F80" w:rsidRDefault="00345229" w:rsidP="00653997">
      <w:pPr>
        <w:pStyle w:val="FootnoteText"/>
        <w:rPr>
          <w:sz w:val="16"/>
          <w:szCs w:val="16"/>
        </w:rPr>
      </w:pPr>
      <w:r w:rsidRPr="002C3F80">
        <w:rPr>
          <w:rStyle w:val="FootnoteReference"/>
          <w:sz w:val="16"/>
          <w:szCs w:val="16"/>
        </w:rPr>
        <w:footnoteRef/>
      </w:r>
      <w:r w:rsidRPr="002C3F80">
        <w:rPr>
          <w:sz w:val="16"/>
          <w:szCs w:val="16"/>
        </w:rPr>
        <w:t xml:space="preserve"> </w:t>
      </w:r>
      <w:r w:rsidRPr="00032477">
        <w:rPr>
          <w:sz w:val="16"/>
          <w:szCs w:val="16"/>
        </w:rPr>
        <w:t>Caffrey, P., Finan, T., Trzaska, S., Miller, D., Laker-Ojok, R., Huston, S.,. (2013). Uganda Climate Change Vulnerability Assessment: USAID Uganda.</w:t>
      </w:r>
    </w:p>
  </w:footnote>
  <w:footnote w:id="63">
    <w:p w14:paraId="51E92FEE" w14:textId="1C4558A9" w:rsidR="00345229" w:rsidRPr="002C3F80" w:rsidRDefault="00345229" w:rsidP="00653997">
      <w:pPr>
        <w:spacing w:after="0" w:line="240" w:lineRule="auto"/>
        <w:rPr>
          <w:rFonts w:ascii="Arial" w:hAnsi="Arial" w:cs="Arial"/>
          <w:sz w:val="16"/>
          <w:szCs w:val="16"/>
        </w:rPr>
      </w:pPr>
      <w:r w:rsidRPr="002C3F80">
        <w:rPr>
          <w:rFonts w:ascii="Arial" w:hAnsi="Arial" w:cs="Arial"/>
          <w:sz w:val="16"/>
          <w:szCs w:val="16"/>
          <w:vertAlign w:val="superscript"/>
        </w:rPr>
        <w:footnoteRef/>
      </w:r>
      <w:r>
        <w:rPr>
          <w:rFonts w:ascii="Arial" w:hAnsi="Arial" w:cs="Arial"/>
          <w:sz w:val="16"/>
          <w:szCs w:val="16"/>
        </w:rPr>
        <w:t xml:space="preserve"> </w:t>
      </w:r>
      <w:r w:rsidRPr="00CD1F2E">
        <w:rPr>
          <w:rFonts w:ascii="Arial" w:hAnsi="Arial" w:cs="Arial"/>
          <w:sz w:val="16"/>
          <w:szCs w:val="16"/>
        </w:rPr>
        <w:t>USAID. USAID Land Tenure and Property Rights Profile: USAID.</w:t>
      </w:r>
    </w:p>
  </w:footnote>
  <w:footnote w:id="64">
    <w:p w14:paraId="0007177D" w14:textId="4CD7AEB6" w:rsidR="00345229" w:rsidRDefault="00345229" w:rsidP="00653997">
      <w:pPr>
        <w:pStyle w:val="FootnoteText"/>
      </w:pPr>
      <w:r w:rsidRPr="002C3F80">
        <w:rPr>
          <w:rStyle w:val="FootnoteReference"/>
          <w:sz w:val="16"/>
          <w:szCs w:val="16"/>
        </w:rPr>
        <w:footnoteRef/>
      </w:r>
      <w:r w:rsidRPr="002C3F80">
        <w:rPr>
          <w:sz w:val="16"/>
          <w:szCs w:val="16"/>
        </w:rPr>
        <w:t xml:space="preserve"> </w:t>
      </w:r>
      <w:r w:rsidRPr="00CD1F2E">
        <w:rPr>
          <w:sz w:val="16"/>
          <w:szCs w:val="16"/>
        </w:rPr>
        <w:t>International Justice Mission. Property Grabbing from Ugandan Widows: International Justice Mission.</w:t>
      </w:r>
    </w:p>
  </w:footnote>
  <w:footnote w:id="65">
    <w:p w14:paraId="79E09400" w14:textId="77777777" w:rsidR="00345229" w:rsidRPr="00CD1F2E" w:rsidRDefault="00345229" w:rsidP="00653997">
      <w:pPr>
        <w:spacing w:after="0" w:line="240" w:lineRule="auto"/>
        <w:rPr>
          <w:rFonts w:ascii="Arial" w:hAnsi="Arial" w:cs="Arial"/>
          <w:sz w:val="16"/>
          <w:szCs w:val="16"/>
        </w:rPr>
      </w:pPr>
      <w:r w:rsidRPr="002C3F80">
        <w:rPr>
          <w:rFonts w:ascii="Arial" w:hAnsi="Arial" w:cs="Arial"/>
          <w:sz w:val="16"/>
          <w:szCs w:val="16"/>
          <w:vertAlign w:val="superscript"/>
        </w:rPr>
        <w:footnoteRef/>
      </w:r>
      <w:r w:rsidRPr="002C3F80">
        <w:rPr>
          <w:rFonts w:ascii="Arial" w:eastAsia="Calibri" w:hAnsi="Arial" w:cs="Arial"/>
          <w:sz w:val="16"/>
          <w:szCs w:val="16"/>
        </w:rPr>
        <w:t xml:space="preserve"> Ibid</w:t>
      </w:r>
    </w:p>
  </w:footnote>
  <w:footnote w:id="66">
    <w:p w14:paraId="025E5DBD" w14:textId="77777777" w:rsidR="00345229" w:rsidRPr="002C3F80" w:rsidRDefault="00345229" w:rsidP="00653997">
      <w:pPr>
        <w:spacing w:after="0" w:line="240" w:lineRule="auto"/>
        <w:rPr>
          <w:rFonts w:ascii="Arial" w:hAnsi="Arial" w:cs="Arial"/>
          <w:sz w:val="16"/>
          <w:szCs w:val="16"/>
        </w:rPr>
      </w:pPr>
      <w:r w:rsidRPr="00CD1F2E">
        <w:rPr>
          <w:rFonts w:ascii="Arial" w:hAnsi="Arial" w:cs="Arial"/>
          <w:sz w:val="16"/>
          <w:szCs w:val="16"/>
          <w:vertAlign w:val="superscript"/>
        </w:rPr>
        <w:footnoteRef/>
      </w:r>
      <w:r w:rsidRPr="00CD1F2E">
        <w:rPr>
          <w:rFonts w:ascii="Arial" w:eastAsia="Calibri" w:hAnsi="Arial" w:cs="Arial"/>
          <w:sz w:val="16"/>
          <w:szCs w:val="16"/>
        </w:rPr>
        <w:t xml:space="preserve"> Asiimwe, J. (2014). Making Women's Land Rights a Reality in Uganda: Advocacy for Co-Ownership by Spouses. Yale Human Rights and Development Journal, 4(1).</w:t>
      </w:r>
    </w:p>
  </w:footnote>
  <w:footnote w:id="67">
    <w:p w14:paraId="4637FE4B" w14:textId="29302F07" w:rsidR="00345229" w:rsidRDefault="00345229" w:rsidP="00653997">
      <w:pPr>
        <w:spacing w:after="0" w:line="240" w:lineRule="auto"/>
      </w:pPr>
      <w:r w:rsidRPr="002C3F80">
        <w:rPr>
          <w:rFonts w:ascii="Arial" w:hAnsi="Arial" w:cs="Arial"/>
          <w:sz w:val="16"/>
          <w:szCs w:val="16"/>
          <w:vertAlign w:val="superscript"/>
        </w:rPr>
        <w:footnoteRef/>
      </w:r>
      <w:r w:rsidRPr="002C3F80">
        <w:rPr>
          <w:rFonts w:ascii="Arial" w:eastAsia="Calibri" w:hAnsi="Arial" w:cs="Arial"/>
          <w:sz w:val="16"/>
          <w:szCs w:val="16"/>
        </w:rPr>
        <w:t xml:space="preserve"> </w:t>
      </w:r>
      <w:r w:rsidRPr="00CD1F2E">
        <w:rPr>
          <w:rFonts w:ascii="Arial" w:eastAsia="Calibri" w:hAnsi="Arial" w:cs="Arial"/>
          <w:sz w:val="16"/>
          <w:szCs w:val="16"/>
        </w:rPr>
        <w:t>International Justice Mission. Property Grabbing from Ugandan Widows: International Justice Mission.</w:t>
      </w:r>
    </w:p>
  </w:footnote>
  <w:footnote w:id="68">
    <w:p w14:paraId="6D234EEC" w14:textId="0BEB283F" w:rsidR="00345229" w:rsidRPr="00326C5D" w:rsidRDefault="00345229" w:rsidP="00653997">
      <w:pPr>
        <w:spacing w:after="0" w:line="240" w:lineRule="auto"/>
        <w:rPr>
          <w:rFonts w:ascii="Arial" w:hAnsi="Arial" w:cs="Arial"/>
          <w:sz w:val="16"/>
          <w:szCs w:val="16"/>
        </w:rPr>
      </w:pPr>
      <w:r w:rsidRPr="00326C5D">
        <w:rPr>
          <w:rFonts w:ascii="Arial" w:hAnsi="Arial" w:cs="Arial"/>
          <w:sz w:val="16"/>
          <w:szCs w:val="16"/>
          <w:vertAlign w:val="superscript"/>
        </w:rPr>
        <w:footnoteRef/>
      </w:r>
      <w:r w:rsidRPr="00326C5D">
        <w:rPr>
          <w:rFonts w:ascii="Arial" w:hAnsi="Arial" w:cs="Arial"/>
          <w:sz w:val="16"/>
          <w:szCs w:val="16"/>
        </w:rPr>
        <w:t xml:space="preserve"> </w:t>
      </w:r>
      <w:r w:rsidRPr="00326C5D">
        <w:rPr>
          <w:rFonts w:ascii="Arial" w:eastAsiaTheme="minorEastAsia" w:hAnsi="Arial" w:cs="Arial"/>
          <w:sz w:val="16"/>
          <w:szCs w:val="16"/>
          <w:lang w:eastAsia="ja-JP"/>
        </w:rPr>
        <w:t xml:space="preserve">. Unfinished Business: The Women's Manifesto 2016 to 2021. (2015). </w:t>
      </w:r>
    </w:p>
  </w:footnote>
  <w:footnote w:id="69">
    <w:p w14:paraId="7E979F1A" w14:textId="141355E2" w:rsidR="00345229" w:rsidRPr="00326C5D" w:rsidRDefault="00345229" w:rsidP="00653997">
      <w:pPr>
        <w:spacing w:after="0" w:line="240" w:lineRule="auto"/>
        <w:rPr>
          <w:rFonts w:ascii="Arial" w:hAnsi="Arial" w:cs="Arial"/>
          <w:sz w:val="16"/>
          <w:szCs w:val="16"/>
        </w:rPr>
      </w:pPr>
      <w:r w:rsidRPr="00326C5D">
        <w:rPr>
          <w:rFonts w:ascii="Arial" w:hAnsi="Arial" w:cs="Arial"/>
          <w:sz w:val="16"/>
          <w:szCs w:val="16"/>
          <w:vertAlign w:val="superscript"/>
        </w:rPr>
        <w:footnoteRef/>
      </w:r>
      <w:r w:rsidRPr="00326C5D">
        <w:rPr>
          <w:rFonts w:ascii="Arial" w:eastAsia="Calibri" w:hAnsi="Arial" w:cs="Arial"/>
          <w:sz w:val="16"/>
          <w:szCs w:val="16"/>
        </w:rPr>
        <w:t xml:space="preserve"> </w:t>
      </w:r>
      <w:r w:rsidRPr="00326C5D">
        <w:rPr>
          <w:rFonts w:ascii="Arial" w:hAnsi="Arial" w:cs="Arial"/>
          <w:sz w:val="16"/>
          <w:szCs w:val="16"/>
        </w:rPr>
        <w:t>Palacio-Lopez, A., Christiaensen, L., Kilic, T.,. (2015). How Much of the Labor in African Agriculture is Provided by Women? : World Bank.</w:t>
      </w:r>
    </w:p>
  </w:footnote>
  <w:footnote w:id="70">
    <w:p w14:paraId="3B8235BA" w14:textId="381B66D7" w:rsidR="00345229" w:rsidRPr="00326C5D" w:rsidRDefault="00345229" w:rsidP="00653997">
      <w:pPr>
        <w:pStyle w:val="FootnoteText"/>
        <w:rPr>
          <w:sz w:val="16"/>
          <w:szCs w:val="16"/>
        </w:rPr>
      </w:pPr>
      <w:r w:rsidRPr="00326C5D">
        <w:rPr>
          <w:rStyle w:val="FootnoteReference"/>
          <w:sz w:val="16"/>
          <w:szCs w:val="16"/>
        </w:rPr>
        <w:footnoteRef/>
      </w:r>
      <w:r w:rsidRPr="00326C5D">
        <w:rPr>
          <w:sz w:val="16"/>
          <w:szCs w:val="16"/>
        </w:rPr>
        <w:t xml:space="preserve"> Uganda Bureau of Statistics. (2013). The National Labour Force and Child Activities Survey, 2011/12. Uganda: Uganda Bureau of Statistics.</w:t>
      </w:r>
    </w:p>
  </w:footnote>
  <w:footnote w:id="71">
    <w:p w14:paraId="19BFB3E4" w14:textId="06532CA7" w:rsidR="00345229" w:rsidRDefault="00345229" w:rsidP="00653997">
      <w:pPr>
        <w:spacing w:after="0" w:line="240" w:lineRule="auto"/>
      </w:pPr>
      <w:r w:rsidRPr="00326C5D">
        <w:rPr>
          <w:rFonts w:ascii="Arial" w:hAnsi="Arial" w:cs="Arial"/>
          <w:sz w:val="16"/>
          <w:szCs w:val="16"/>
          <w:vertAlign w:val="superscript"/>
        </w:rPr>
        <w:footnoteRef/>
      </w:r>
      <w:r w:rsidRPr="00326C5D">
        <w:rPr>
          <w:rFonts w:ascii="Arial" w:eastAsia="Calibri" w:hAnsi="Arial" w:cs="Arial"/>
          <w:sz w:val="16"/>
          <w:szCs w:val="16"/>
        </w:rPr>
        <w:t xml:space="preserve"> </w:t>
      </w:r>
      <w:r>
        <w:rPr>
          <w:rFonts w:ascii="Arial" w:hAnsi="Arial" w:cs="Arial"/>
          <w:sz w:val="16"/>
          <w:szCs w:val="16"/>
        </w:rPr>
        <w:t>Ibid.</w:t>
      </w:r>
    </w:p>
  </w:footnote>
  <w:footnote w:id="72">
    <w:p w14:paraId="6A64E6A6" w14:textId="77777777" w:rsidR="00345229" w:rsidRPr="002C3F80" w:rsidRDefault="00345229" w:rsidP="00653997">
      <w:pPr>
        <w:spacing w:after="0" w:line="240" w:lineRule="auto"/>
        <w:rPr>
          <w:rFonts w:ascii="Arial" w:hAnsi="Arial" w:cs="Arial"/>
          <w:sz w:val="16"/>
          <w:szCs w:val="16"/>
        </w:rPr>
      </w:pPr>
      <w:r w:rsidRPr="002C3F80">
        <w:rPr>
          <w:rFonts w:ascii="Arial" w:hAnsi="Arial" w:cs="Arial"/>
          <w:sz w:val="16"/>
          <w:szCs w:val="16"/>
          <w:vertAlign w:val="superscript"/>
        </w:rPr>
        <w:footnoteRef/>
      </w:r>
      <w:r w:rsidRPr="002C3F80">
        <w:rPr>
          <w:rFonts w:ascii="Arial" w:eastAsia="Calibri" w:hAnsi="Arial" w:cs="Arial"/>
          <w:sz w:val="16"/>
          <w:szCs w:val="16"/>
        </w:rPr>
        <w:t xml:space="preserve"> Ibid</w:t>
      </w:r>
    </w:p>
  </w:footnote>
  <w:footnote w:id="73">
    <w:p w14:paraId="3BF170AE" w14:textId="77777777" w:rsidR="00345229" w:rsidRPr="002C3F80" w:rsidRDefault="00345229" w:rsidP="00EB3F05">
      <w:pPr>
        <w:spacing w:after="0" w:line="240" w:lineRule="auto"/>
        <w:rPr>
          <w:rFonts w:ascii="Arial" w:hAnsi="Arial" w:cs="Arial"/>
          <w:sz w:val="16"/>
          <w:szCs w:val="16"/>
        </w:rPr>
      </w:pPr>
      <w:r w:rsidRPr="002C3F80">
        <w:rPr>
          <w:rFonts w:ascii="Arial" w:hAnsi="Arial" w:cs="Arial"/>
          <w:sz w:val="16"/>
          <w:szCs w:val="16"/>
          <w:vertAlign w:val="superscript"/>
        </w:rPr>
        <w:footnoteRef/>
      </w:r>
      <w:r w:rsidRPr="002C3F80">
        <w:rPr>
          <w:rFonts w:ascii="Arial" w:eastAsia="Calibri" w:hAnsi="Arial" w:cs="Arial"/>
          <w:sz w:val="16"/>
          <w:szCs w:val="16"/>
        </w:rPr>
        <w:t xml:space="preserve"> Ibid</w:t>
      </w:r>
    </w:p>
  </w:footnote>
  <w:footnote w:id="74">
    <w:p w14:paraId="387C9F26" w14:textId="5209FE51" w:rsidR="00345229" w:rsidRPr="00EB3F05" w:rsidRDefault="00345229" w:rsidP="00EB3F05">
      <w:pPr>
        <w:spacing w:after="0" w:line="240" w:lineRule="auto"/>
        <w:rPr>
          <w:rFonts w:ascii="Arial" w:eastAsia="Calibri" w:hAnsi="Arial" w:cs="Arial"/>
          <w:sz w:val="16"/>
          <w:szCs w:val="16"/>
        </w:rPr>
      </w:pPr>
      <w:r w:rsidRPr="002C3F80">
        <w:rPr>
          <w:vertAlign w:val="superscript"/>
        </w:rPr>
        <w:footnoteRef/>
      </w:r>
      <w:r w:rsidRPr="00D54F95">
        <w:rPr>
          <w:rFonts w:ascii="Arial" w:eastAsia="Calibri" w:hAnsi="Arial" w:cs="Arial"/>
          <w:sz w:val="16"/>
          <w:szCs w:val="16"/>
        </w:rPr>
        <w:t xml:space="preserve"> </w:t>
      </w:r>
      <w:r w:rsidRPr="00D54F95">
        <w:rPr>
          <w:rFonts w:ascii="Arial" w:eastAsiaTheme="minorEastAsia" w:hAnsi="Arial" w:cs="Arial"/>
          <w:sz w:val="16"/>
          <w:szCs w:val="16"/>
          <w:lang w:eastAsia="ja-JP"/>
        </w:rPr>
        <w:t>Byamugish, J., Shamchiyeva, L., Kizu, T.,. (2014). Labour market transitions of young women and men in Uganda: International Labour Organization.</w:t>
      </w:r>
    </w:p>
  </w:footnote>
  <w:footnote w:id="75">
    <w:p w14:paraId="1FF249C7" w14:textId="646E4403" w:rsidR="00345229" w:rsidRPr="002C3F80" w:rsidRDefault="00345229" w:rsidP="00EB3F05">
      <w:pPr>
        <w:spacing w:after="0" w:line="240" w:lineRule="auto"/>
        <w:rPr>
          <w:rFonts w:ascii="Arial" w:hAnsi="Arial" w:cs="Arial"/>
          <w:sz w:val="16"/>
          <w:szCs w:val="16"/>
        </w:rPr>
      </w:pPr>
      <w:r w:rsidRPr="002C3F80">
        <w:rPr>
          <w:vertAlign w:val="superscript"/>
        </w:rPr>
        <w:footnoteRef/>
      </w:r>
      <w:r w:rsidRPr="00D54F95">
        <w:rPr>
          <w:rFonts w:ascii="Arial" w:eastAsia="Calibri" w:hAnsi="Arial" w:cs="Arial"/>
          <w:sz w:val="16"/>
          <w:szCs w:val="16"/>
        </w:rPr>
        <w:t xml:space="preserve"> </w:t>
      </w:r>
      <w:r w:rsidRPr="00D54F95">
        <w:rPr>
          <w:rFonts w:ascii="Arial" w:eastAsiaTheme="minorEastAsia" w:hAnsi="Arial" w:cs="Arial"/>
          <w:sz w:val="16"/>
          <w:szCs w:val="16"/>
          <w:lang w:eastAsia="ja-JP"/>
        </w:rPr>
        <w:t>Uganda Bureau of Statistics. (2009). Gender and Productivity Survey: Analytical Report. Uganda: Uganda Bureau of Statistics.</w:t>
      </w:r>
    </w:p>
  </w:footnote>
  <w:footnote w:id="76">
    <w:p w14:paraId="2D050A05" w14:textId="75341814" w:rsidR="00345229" w:rsidRPr="002C3F80" w:rsidRDefault="00345229" w:rsidP="00EB3F05">
      <w:pPr>
        <w:spacing w:after="0" w:line="240" w:lineRule="auto"/>
        <w:rPr>
          <w:rFonts w:ascii="Arial" w:hAnsi="Arial" w:cs="Arial"/>
          <w:sz w:val="16"/>
          <w:szCs w:val="16"/>
        </w:rPr>
      </w:pPr>
      <w:r w:rsidRPr="002C3F80">
        <w:rPr>
          <w:vertAlign w:val="superscript"/>
        </w:rPr>
        <w:footnoteRef/>
      </w:r>
      <w:r w:rsidRPr="00D54F95">
        <w:rPr>
          <w:rFonts w:ascii="Arial" w:hAnsi="Arial" w:cs="Arial"/>
          <w:sz w:val="16"/>
          <w:szCs w:val="16"/>
        </w:rPr>
        <w:t xml:space="preserve"> </w:t>
      </w:r>
      <w:r w:rsidRPr="00D54F95">
        <w:rPr>
          <w:rFonts w:ascii="Arial" w:eastAsiaTheme="minorEastAsia" w:hAnsi="Arial" w:cs="Arial"/>
          <w:sz w:val="16"/>
          <w:szCs w:val="16"/>
          <w:lang w:eastAsia="ja-JP"/>
        </w:rPr>
        <w:t>Sraboni, E., Quisumbing, A., Ahmed, A.,. (2013). The Women's Empowerment in Agriculture Index: Results from the 2011-2012 Bangladesh Integrated Household Survey. Bangladesh: USAID.</w:t>
      </w:r>
    </w:p>
  </w:footnote>
  <w:footnote w:id="77">
    <w:p w14:paraId="355E3A88" w14:textId="77777777" w:rsidR="00345229" w:rsidRDefault="00345229" w:rsidP="00EB3F05">
      <w:pPr>
        <w:spacing w:after="0" w:line="240" w:lineRule="auto"/>
      </w:pPr>
      <w:r w:rsidRPr="002C3F80">
        <w:rPr>
          <w:rFonts w:ascii="Arial" w:hAnsi="Arial" w:cs="Arial"/>
          <w:sz w:val="16"/>
          <w:szCs w:val="16"/>
          <w:vertAlign w:val="superscript"/>
        </w:rPr>
        <w:footnoteRef/>
      </w:r>
      <w:r w:rsidRPr="002C3F80">
        <w:rPr>
          <w:rFonts w:ascii="Arial" w:hAnsi="Arial" w:cs="Arial"/>
          <w:sz w:val="16"/>
          <w:szCs w:val="16"/>
        </w:rPr>
        <w:t xml:space="preserve"> Ibid</w:t>
      </w:r>
    </w:p>
  </w:footnote>
  <w:footnote w:id="78">
    <w:p w14:paraId="78AA57BB" w14:textId="39F4A722" w:rsidR="00345229" w:rsidRPr="004F4C8D" w:rsidRDefault="00345229" w:rsidP="00EB3F05">
      <w:pPr>
        <w:pStyle w:val="FootnoteText"/>
        <w:rPr>
          <w:sz w:val="16"/>
          <w:szCs w:val="16"/>
        </w:rPr>
      </w:pPr>
      <w:r w:rsidRPr="002C3F80">
        <w:rPr>
          <w:sz w:val="16"/>
          <w:szCs w:val="16"/>
          <w:vertAlign w:val="superscript"/>
        </w:rPr>
        <w:footnoteRef/>
      </w:r>
      <w:r w:rsidRPr="002C3F80">
        <w:rPr>
          <w:rFonts w:eastAsia="Calibri"/>
          <w:sz w:val="16"/>
          <w:szCs w:val="16"/>
        </w:rPr>
        <w:t xml:space="preserve"> </w:t>
      </w:r>
      <w:r w:rsidRPr="004F4C8D">
        <w:rPr>
          <w:rFonts w:eastAsiaTheme="minorEastAsia"/>
          <w:sz w:val="16"/>
          <w:szCs w:val="16"/>
          <w:lang w:eastAsia="ja-JP"/>
        </w:rPr>
        <w:t xml:space="preserve">Leveling the Field: Improving Opportunities for Women Farmers in Africa. </w:t>
      </w:r>
    </w:p>
    <w:p w14:paraId="7AF84FA4" w14:textId="68A40D97" w:rsidR="00345229" w:rsidRPr="002C3F80" w:rsidRDefault="00345229" w:rsidP="00653997">
      <w:pPr>
        <w:spacing w:after="0" w:line="240" w:lineRule="auto"/>
        <w:rPr>
          <w:rFonts w:ascii="Arial" w:hAnsi="Arial" w:cs="Arial"/>
          <w:sz w:val="16"/>
          <w:szCs w:val="16"/>
        </w:rPr>
      </w:pPr>
    </w:p>
  </w:footnote>
  <w:footnote w:id="79">
    <w:p w14:paraId="24DB65F2" w14:textId="2F105D27" w:rsidR="00345229" w:rsidRPr="00EB3F05" w:rsidRDefault="00345229" w:rsidP="00EB3F05">
      <w:pPr>
        <w:spacing w:after="0" w:line="240" w:lineRule="auto"/>
        <w:rPr>
          <w:rFonts w:ascii="Arial" w:hAnsi="Arial" w:cs="Arial"/>
          <w:sz w:val="16"/>
          <w:szCs w:val="16"/>
        </w:rPr>
      </w:pPr>
      <w:r w:rsidRPr="00A40B64">
        <w:rPr>
          <w:rStyle w:val="FootnoteReference"/>
          <w:sz w:val="16"/>
          <w:szCs w:val="16"/>
        </w:rPr>
        <w:footnoteRef/>
      </w:r>
      <w:r w:rsidRPr="00A40B64">
        <w:rPr>
          <w:sz w:val="16"/>
          <w:szCs w:val="16"/>
        </w:rPr>
        <w:t xml:space="preserve"> </w:t>
      </w:r>
      <w:r w:rsidRPr="00A40B64">
        <w:rPr>
          <w:rFonts w:ascii="Arial" w:eastAsiaTheme="minorEastAsia" w:hAnsi="Arial" w:cs="Arial"/>
          <w:sz w:val="16"/>
          <w:szCs w:val="16"/>
          <w:lang w:eastAsia="ja-JP"/>
        </w:rPr>
        <w:t>Sraboni, E., Quisumbing, A., Ahmed, A.,. (2013). The Women's Empowerment in Agriculture Index: Results from the 2011-2012 Bangladesh Integrated Household Survey. Bangladesh: USAID.</w:t>
      </w:r>
    </w:p>
  </w:footnote>
  <w:footnote w:id="80">
    <w:p w14:paraId="2314376C" w14:textId="2EE68BB4" w:rsidR="00345229" w:rsidRPr="002C3F80" w:rsidRDefault="00345229" w:rsidP="00653997">
      <w:pPr>
        <w:spacing w:after="0" w:line="240" w:lineRule="auto"/>
        <w:rPr>
          <w:rFonts w:ascii="Arial" w:hAnsi="Arial" w:cs="Arial"/>
          <w:sz w:val="16"/>
          <w:szCs w:val="16"/>
        </w:rPr>
      </w:pPr>
      <w:r w:rsidRPr="002C3F80">
        <w:rPr>
          <w:rFonts w:ascii="Arial" w:hAnsi="Arial" w:cs="Arial"/>
          <w:sz w:val="16"/>
          <w:szCs w:val="16"/>
          <w:vertAlign w:val="superscript"/>
        </w:rPr>
        <w:footnoteRef/>
      </w:r>
      <w:r w:rsidRPr="002C3F80">
        <w:rPr>
          <w:rFonts w:ascii="Arial" w:eastAsia="Calibri" w:hAnsi="Arial" w:cs="Arial"/>
          <w:sz w:val="16"/>
          <w:szCs w:val="16"/>
        </w:rPr>
        <w:t xml:space="preserve"> </w:t>
      </w:r>
      <w:r w:rsidRPr="004F4C8D">
        <w:rPr>
          <w:rFonts w:ascii="Arial" w:eastAsiaTheme="minorEastAsia" w:hAnsi="Arial" w:cs="Arial"/>
          <w:sz w:val="16"/>
          <w:szCs w:val="16"/>
          <w:lang w:eastAsia="ja-JP"/>
        </w:rPr>
        <w:t>Ndiwalana, A., Morawczynski, O., Popov, O.,. (2013). Mobile Money Use in Uganda: A Preliminary Study.</w:t>
      </w:r>
    </w:p>
  </w:footnote>
  <w:footnote w:id="81">
    <w:p w14:paraId="599EF2FD" w14:textId="444A3531" w:rsidR="00345229" w:rsidRPr="002C3F80" w:rsidRDefault="00345229" w:rsidP="00653997">
      <w:pPr>
        <w:spacing w:after="0" w:line="240" w:lineRule="auto"/>
        <w:rPr>
          <w:rFonts w:ascii="Arial" w:hAnsi="Arial" w:cs="Arial"/>
          <w:sz w:val="16"/>
          <w:szCs w:val="16"/>
        </w:rPr>
      </w:pPr>
      <w:r w:rsidRPr="002C3F80">
        <w:rPr>
          <w:rFonts w:ascii="Arial" w:hAnsi="Arial" w:cs="Arial"/>
          <w:sz w:val="16"/>
          <w:szCs w:val="16"/>
          <w:vertAlign w:val="superscript"/>
        </w:rPr>
        <w:footnoteRef/>
      </w:r>
      <w:r w:rsidRPr="002C3F80">
        <w:rPr>
          <w:rFonts w:ascii="Arial" w:hAnsi="Arial" w:cs="Arial"/>
          <w:sz w:val="16"/>
          <w:szCs w:val="16"/>
        </w:rPr>
        <w:t xml:space="preserve"> </w:t>
      </w:r>
      <w:r w:rsidRPr="004F4C8D">
        <w:rPr>
          <w:rFonts w:ascii="Arial" w:eastAsiaTheme="minorEastAsia" w:hAnsi="Arial" w:cs="Arial"/>
          <w:sz w:val="16"/>
          <w:szCs w:val="16"/>
          <w:lang w:eastAsia="ja-JP"/>
        </w:rPr>
        <w:t xml:space="preserve">Attansio, O., Augsburg, B., De Haas, R., Fitzsimons, E., Harmgart, H., Meghir, C.,. (2015). Microcredit: Neither miracle nor mirage. </w:t>
      </w:r>
      <w:r w:rsidRPr="004F4C8D">
        <w:rPr>
          <w:rFonts w:ascii="Arial" w:eastAsiaTheme="minorEastAsia" w:hAnsi="Arial" w:cs="Arial"/>
          <w:i/>
          <w:iCs/>
          <w:sz w:val="16"/>
          <w:szCs w:val="16"/>
          <w:lang w:eastAsia="ja-JP"/>
        </w:rPr>
        <w:t>CEPR's Policy Portal</w:t>
      </w:r>
      <w:r w:rsidRPr="004F4C8D">
        <w:rPr>
          <w:rFonts w:ascii="Arial" w:eastAsiaTheme="minorEastAsia" w:hAnsi="Arial" w:cs="Arial"/>
          <w:sz w:val="16"/>
          <w:szCs w:val="16"/>
          <w:lang w:eastAsia="ja-JP"/>
        </w:rPr>
        <w:t>.</w:t>
      </w:r>
    </w:p>
  </w:footnote>
  <w:footnote w:id="82">
    <w:p w14:paraId="779747D8" w14:textId="77777777" w:rsidR="00345229" w:rsidRPr="00D54F95" w:rsidRDefault="00345229" w:rsidP="00D54F95">
      <w:pPr>
        <w:spacing w:after="0" w:line="240" w:lineRule="auto"/>
        <w:rPr>
          <w:rFonts w:ascii="Arial" w:hAnsi="Arial" w:cs="Arial"/>
          <w:sz w:val="16"/>
          <w:szCs w:val="16"/>
        </w:rPr>
      </w:pPr>
      <w:r w:rsidRPr="002C3F80">
        <w:rPr>
          <w:vertAlign w:val="superscript"/>
        </w:rPr>
        <w:footnoteRef/>
      </w:r>
      <w:r w:rsidRPr="00D54F95">
        <w:rPr>
          <w:rFonts w:ascii="Arial" w:hAnsi="Arial" w:cs="Arial"/>
          <w:sz w:val="16"/>
          <w:szCs w:val="16"/>
        </w:rPr>
        <w:t xml:space="preserve"> </w:t>
      </w:r>
      <w:r w:rsidRPr="00D54F95">
        <w:rPr>
          <w:rFonts w:ascii="Arial" w:eastAsiaTheme="minorEastAsia" w:hAnsi="Arial" w:cs="Arial"/>
          <w:sz w:val="16"/>
          <w:szCs w:val="16"/>
          <w:lang w:eastAsia="ja-JP"/>
        </w:rPr>
        <w:t>Ministry of Finance, P. a. E. D. (2006). Gender Inequality in Uganda: The status, causes and effects. Uganda: Ministry of Finance, Planning and Economic Development.</w:t>
      </w:r>
    </w:p>
    <w:p w14:paraId="41DCBC10" w14:textId="2C5C9A46" w:rsidR="00345229" w:rsidRDefault="00345229" w:rsidP="00653997">
      <w:pPr>
        <w:spacing w:after="0" w:line="240" w:lineRule="auto"/>
      </w:pPr>
    </w:p>
  </w:footnote>
  <w:footnote w:id="83">
    <w:p w14:paraId="0FEAFB21" w14:textId="77777777" w:rsidR="00345229" w:rsidRPr="00D54F95" w:rsidRDefault="00345229" w:rsidP="00EB3F05">
      <w:pPr>
        <w:spacing w:after="0" w:line="240" w:lineRule="auto"/>
        <w:rPr>
          <w:rFonts w:ascii="Arial" w:hAnsi="Arial" w:cs="Arial"/>
          <w:sz w:val="16"/>
          <w:szCs w:val="16"/>
        </w:rPr>
      </w:pPr>
      <w:r w:rsidRPr="002C3F80">
        <w:rPr>
          <w:rStyle w:val="FootnoteReference"/>
          <w:sz w:val="16"/>
          <w:szCs w:val="16"/>
        </w:rPr>
        <w:footnoteRef/>
      </w:r>
      <w:r w:rsidRPr="00D54F95">
        <w:rPr>
          <w:sz w:val="16"/>
          <w:szCs w:val="16"/>
        </w:rPr>
        <w:t xml:space="preserve"> </w:t>
      </w:r>
      <w:r w:rsidRPr="00D54F95">
        <w:rPr>
          <w:rFonts w:ascii="Arial" w:eastAsiaTheme="minorEastAsia" w:hAnsi="Arial" w:cs="Arial"/>
          <w:sz w:val="16"/>
          <w:szCs w:val="16"/>
          <w:lang w:eastAsia="ja-JP"/>
        </w:rPr>
        <w:t>Butler, E., Kebba, A., . (2014). Youth and Agriculture in Uganda: An Assessment. Uganda: USAID Uganda.</w:t>
      </w:r>
    </w:p>
    <w:p w14:paraId="52929662" w14:textId="5199AF68" w:rsidR="00345229" w:rsidRPr="002C3F80" w:rsidRDefault="00345229">
      <w:pPr>
        <w:pStyle w:val="FootnoteText"/>
        <w:rPr>
          <w:sz w:val="16"/>
          <w:szCs w:val="16"/>
        </w:rPr>
      </w:pPr>
    </w:p>
  </w:footnote>
  <w:footnote w:id="84">
    <w:p w14:paraId="4C2777B8" w14:textId="7A554B58" w:rsidR="00345229" w:rsidRPr="002C3F80" w:rsidRDefault="00345229" w:rsidP="00F92D8F">
      <w:pPr>
        <w:spacing w:line="240" w:lineRule="auto"/>
        <w:rPr>
          <w:rFonts w:ascii="Arial" w:hAnsi="Arial" w:cs="Arial"/>
          <w:sz w:val="16"/>
          <w:szCs w:val="16"/>
        </w:rPr>
      </w:pPr>
      <w:r w:rsidRPr="00A40B64">
        <w:rPr>
          <w:rFonts w:ascii="Arial" w:hAnsi="Arial" w:cs="Arial"/>
          <w:sz w:val="16"/>
          <w:szCs w:val="16"/>
          <w:vertAlign w:val="superscript"/>
        </w:rPr>
        <w:footnoteRef/>
      </w:r>
      <w:r w:rsidRPr="00A40B64">
        <w:rPr>
          <w:rFonts w:ascii="Arial" w:eastAsia="Calibri" w:hAnsi="Arial" w:cs="Arial"/>
          <w:sz w:val="16"/>
          <w:szCs w:val="16"/>
        </w:rPr>
        <w:t xml:space="preserve"> </w:t>
      </w:r>
      <w:r w:rsidRPr="00005DAB">
        <w:rPr>
          <w:rFonts w:ascii="Arial" w:eastAsia="Calibri" w:hAnsi="Arial" w:cs="Arial"/>
          <w:sz w:val="16"/>
          <w:szCs w:val="16"/>
        </w:rPr>
        <w:t>Urban prevalence among women is 10.7% vs. 6.1% among men.  Rural prevalence is 7.7% among women and 6.1% among men.</w:t>
      </w:r>
      <w:r>
        <w:rPr>
          <w:rFonts w:ascii="Arial" w:eastAsia="Calibri" w:hAnsi="Arial" w:cs="Arial"/>
          <w:sz w:val="16"/>
          <w:szCs w:val="16"/>
        </w:rPr>
        <w:t xml:space="preserve"> </w:t>
      </w:r>
    </w:p>
  </w:footnote>
  <w:footnote w:id="85">
    <w:p w14:paraId="396717ED" w14:textId="52C116EC" w:rsidR="00345229" w:rsidRPr="002C3F80" w:rsidRDefault="00345229" w:rsidP="00D54F95">
      <w:pPr>
        <w:spacing w:after="0" w:line="240" w:lineRule="auto"/>
        <w:rPr>
          <w:rFonts w:ascii="Arial" w:hAnsi="Arial" w:cs="Arial"/>
          <w:sz w:val="16"/>
          <w:szCs w:val="16"/>
        </w:rPr>
      </w:pPr>
      <w:r w:rsidRPr="002C3F80">
        <w:rPr>
          <w:vertAlign w:val="superscript"/>
        </w:rPr>
        <w:footnoteRef/>
      </w:r>
      <w:r w:rsidRPr="00D54F95">
        <w:rPr>
          <w:rFonts w:ascii="Arial" w:hAnsi="Arial" w:cs="Arial"/>
          <w:sz w:val="16"/>
          <w:szCs w:val="16"/>
        </w:rPr>
        <w:t xml:space="preserve"> </w:t>
      </w:r>
      <w:r w:rsidRPr="00D54F95">
        <w:rPr>
          <w:rFonts w:ascii="Arial" w:eastAsiaTheme="minorEastAsia" w:hAnsi="Arial" w:cs="Arial"/>
          <w:sz w:val="16"/>
          <w:szCs w:val="16"/>
          <w:lang w:eastAsia="ja-JP"/>
        </w:rPr>
        <w:t xml:space="preserve">Boily, M., Pickles, M., Alary, M., Baral, S., Blanchard, J., Moses, S., Vickerman, P., Mishra, S.,. (2015). What Really Is a Concentrated HIV Epidemic and What Does It Mean for West and Central Africa? Insights From Mathematical Modeling. </w:t>
      </w:r>
      <w:r w:rsidRPr="00D54F95">
        <w:rPr>
          <w:rFonts w:ascii="Arial" w:eastAsiaTheme="minorEastAsia" w:hAnsi="Arial" w:cs="Arial"/>
          <w:i/>
          <w:iCs/>
          <w:sz w:val="16"/>
          <w:szCs w:val="16"/>
          <w:lang w:eastAsia="ja-JP"/>
        </w:rPr>
        <w:t>Journal of Acquired Immune Deficiency Syndromes, 68</w:t>
      </w:r>
      <w:r w:rsidRPr="00D54F95">
        <w:rPr>
          <w:rFonts w:ascii="Arial" w:eastAsiaTheme="minorEastAsia" w:hAnsi="Arial" w:cs="Arial"/>
          <w:sz w:val="16"/>
          <w:szCs w:val="16"/>
          <w:lang w:eastAsia="ja-JP"/>
        </w:rPr>
        <w:t>.</w:t>
      </w:r>
    </w:p>
  </w:footnote>
  <w:footnote w:id="86">
    <w:p w14:paraId="430DBAE3" w14:textId="549939EB" w:rsidR="00345229" w:rsidRPr="00EB3F05" w:rsidRDefault="00345229" w:rsidP="00653997">
      <w:pPr>
        <w:spacing w:after="0" w:line="240" w:lineRule="auto"/>
        <w:rPr>
          <w:rFonts w:ascii="Arial" w:hAnsi="Arial" w:cs="Arial"/>
          <w:sz w:val="16"/>
          <w:szCs w:val="16"/>
        </w:rPr>
      </w:pPr>
      <w:r w:rsidRPr="002C3F80">
        <w:rPr>
          <w:vertAlign w:val="superscript"/>
        </w:rPr>
        <w:footnoteRef/>
      </w:r>
      <w:r w:rsidRPr="00D54F95">
        <w:rPr>
          <w:rFonts w:ascii="Arial" w:eastAsia="Calibri" w:hAnsi="Arial" w:cs="Arial"/>
          <w:sz w:val="16"/>
          <w:szCs w:val="16"/>
        </w:rPr>
        <w:t xml:space="preserve"> </w:t>
      </w:r>
      <w:r w:rsidRPr="00D54F95">
        <w:rPr>
          <w:rFonts w:ascii="Arial" w:eastAsiaTheme="minorEastAsia" w:hAnsi="Arial" w:cs="Arial"/>
          <w:sz w:val="16"/>
          <w:szCs w:val="16"/>
          <w:lang w:eastAsia="ja-JP"/>
        </w:rPr>
        <w:t>Sexual Minorities Uganda and National LGBTI Security Team. (2014). From Torment to Tyranny: Enhanced Persecution in Uganda Following the Passage of the Anti-Homosexuality Act 2014. Uganda.</w:t>
      </w:r>
    </w:p>
  </w:footnote>
  <w:footnote w:id="87">
    <w:p w14:paraId="00C75D80" w14:textId="2EB0890F" w:rsidR="00345229" w:rsidRPr="002C3F80" w:rsidRDefault="00345229" w:rsidP="00653997">
      <w:pPr>
        <w:spacing w:after="0" w:line="240" w:lineRule="auto"/>
        <w:rPr>
          <w:rFonts w:ascii="Arial" w:hAnsi="Arial" w:cs="Arial"/>
          <w:sz w:val="16"/>
          <w:szCs w:val="16"/>
        </w:rPr>
      </w:pPr>
      <w:r w:rsidRPr="002C3F80">
        <w:rPr>
          <w:rFonts w:ascii="Arial" w:hAnsi="Arial" w:cs="Arial"/>
          <w:sz w:val="16"/>
          <w:szCs w:val="16"/>
          <w:vertAlign w:val="superscript"/>
        </w:rPr>
        <w:footnoteRef/>
      </w:r>
      <w:r w:rsidRPr="002C3F80">
        <w:rPr>
          <w:rFonts w:ascii="Arial" w:eastAsia="Calibri" w:hAnsi="Arial" w:cs="Arial"/>
          <w:sz w:val="16"/>
          <w:szCs w:val="16"/>
        </w:rPr>
        <w:t xml:space="preserve"> </w:t>
      </w:r>
      <w:r w:rsidRPr="008E1EE1">
        <w:rPr>
          <w:rFonts w:ascii="Arial" w:eastAsiaTheme="minorEastAsia" w:hAnsi="Arial" w:cs="Arial"/>
          <w:sz w:val="16"/>
          <w:szCs w:val="16"/>
          <w:lang w:eastAsia="ja-JP"/>
        </w:rPr>
        <w:t>Uganda Bureau of Statistics. (2012). Uganda Demographic and Health Survey. Uganda: Uganda Bureau of Statistics</w:t>
      </w:r>
    </w:p>
  </w:footnote>
  <w:footnote w:id="88">
    <w:p w14:paraId="7B5AB277" w14:textId="154FD294" w:rsidR="00345229" w:rsidRPr="00EB3F05" w:rsidRDefault="00345229" w:rsidP="00653997">
      <w:pPr>
        <w:spacing w:after="0" w:line="240" w:lineRule="auto"/>
        <w:rPr>
          <w:rFonts w:ascii="Arial" w:eastAsia="Calibri" w:hAnsi="Arial" w:cs="Arial"/>
          <w:sz w:val="16"/>
          <w:szCs w:val="16"/>
        </w:rPr>
      </w:pPr>
      <w:r w:rsidRPr="002C3F80">
        <w:rPr>
          <w:vertAlign w:val="superscript"/>
        </w:rPr>
        <w:footnoteRef/>
      </w:r>
      <w:r w:rsidRPr="00D54F95">
        <w:rPr>
          <w:rFonts w:ascii="Arial" w:eastAsia="Calibri" w:hAnsi="Arial" w:cs="Arial"/>
          <w:sz w:val="16"/>
          <w:szCs w:val="16"/>
        </w:rPr>
        <w:t xml:space="preserve"> </w:t>
      </w:r>
      <w:r w:rsidRPr="00D54F95">
        <w:rPr>
          <w:rFonts w:ascii="Arial" w:eastAsiaTheme="minorEastAsia" w:hAnsi="Arial" w:cs="Arial"/>
          <w:sz w:val="16"/>
          <w:szCs w:val="16"/>
          <w:lang w:eastAsia="ja-JP"/>
        </w:rPr>
        <w:t>Ministry of Health. (2012). Uganda AIDS Indicator Survey. Uganda: Ministry of Health.</w:t>
      </w:r>
    </w:p>
  </w:footnote>
  <w:footnote w:id="89">
    <w:p w14:paraId="617D7D8F" w14:textId="324E21F4" w:rsidR="00345229" w:rsidRPr="00EB3F05" w:rsidRDefault="00345229" w:rsidP="00653997">
      <w:pPr>
        <w:spacing w:after="0" w:line="240" w:lineRule="auto"/>
        <w:rPr>
          <w:rFonts w:ascii="Arial" w:eastAsia="Calibri" w:hAnsi="Arial" w:cs="Arial"/>
          <w:sz w:val="16"/>
          <w:szCs w:val="16"/>
        </w:rPr>
      </w:pPr>
      <w:r w:rsidRPr="002C3F80">
        <w:rPr>
          <w:vertAlign w:val="superscript"/>
        </w:rPr>
        <w:footnoteRef/>
      </w:r>
      <w:r w:rsidRPr="00D54F95">
        <w:rPr>
          <w:rFonts w:ascii="Arial" w:eastAsia="Calibri" w:hAnsi="Arial" w:cs="Arial"/>
          <w:sz w:val="16"/>
          <w:szCs w:val="16"/>
        </w:rPr>
        <w:t xml:space="preserve"> </w:t>
      </w:r>
      <w:r w:rsidRPr="00D54F95">
        <w:rPr>
          <w:rFonts w:ascii="Arial" w:eastAsiaTheme="minorEastAsia" w:hAnsi="Arial" w:cs="Arial"/>
          <w:sz w:val="16"/>
          <w:szCs w:val="16"/>
          <w:lang w:eastAsia="ja-JP"/>
        </w:rPr>
        <w:t>Gay, J., Croce-Galis, M., Hardee, K.,. (2012). What Works for Women and Girls: Evidence for HIV/AIDS Interventions. Washington, District of Columbia: Futures Group, Health Policy Project.</w:t>
      </w:r>
    </w:p>
  </w:footnote>
  <w:footnote w:id="90">
    <w:p w14:paraId="041DE2D9" w14:textId="7A794B3A" w:rsidR="00345229" w:rsidRPr="00EB3F05" w:rsidRDefault="00345229" w:rsidP="00653997">
      <w:pPr>
        <w:spacing w:after="0" w:line="240" w:lineRule="auto"/>
        <w:rPr>
          <w:rFonts w:ascii="Arial" w:eastAsia="Calibri" w:hAnsi="Arial" w:cs="Arial"/>
          <w:sz w:val="16"/>
          <w:szCs w:val="16"/>
        </w:rPr>
      </w:pPr>
      <w:r w:rsidRPr="002C3F80">
        <w:rPr>
          <w:vertAlign w:val="superscript"/>
        </w:rPr>
        <w:footnoteRef/>
      </w:r>
      <w:r w:rsidRPr="00D54F95">
        <w:rPr>
          <w:rFonts w:ascii="Arial" w:eastAsia="Calibri" w:hAnsi="Arial" w:cs="Arial"/>
          <w:sz w:val="16"/>
          <w:szCs w:val="16"/>
        </w:rPr>
        <w:t xml:space="preserve"> </w:t>
      </w:r>
      <w:r w:rsidRPr="00D54F95">
        <w:rPr>
          <w:rFonts w:ascii="Arial" w:eastAsiaTheme="minorEastAsia" w:hAnsi="Arial" w:cs="Arial"/>
          <w:sz w:val="16"/>
          <w:szCs w:val="16"/>
          <w:lang w:eastAsia="ja-JP"/>
        </w:rPr>
        <w:t>Natukunda, H. (2012). The effect of gender relations on access to and utilization of ARVs in Uganda: A Case study of Rushere and Mulago TASO Centers. Uganda: Makerere University.</w:t>
      </w:r>
    </w:p>
  </w:footnote>
  <w:footnote w:id="91">
    <w:p w14:paraId="09944EDD" w14:textId="77777777" w:rsidR="00345229" w:rsidRPr="002C3F80" w:rsidRDefault="00345229" w:rsidP="00653997">
      <w:pPr>
        <w:spacing w:after="0" w:line="240" w:lineRule="auto"/>
        <w:rPr>
          <w:rFonts w:ascii="Arial" w:hAnsi="Arial" w:cs="Arial"/>
          <w:sz w:val="16"/>
          <w:szCs w:val="16"/>
        </w:rPr>
      </w:pPr>
      <w:r w:rsidRPr="002C3F80">
        <w:rPr>
          <w:rFonts w:ascii="Arial" w:hAnsi="Arial" w:cs="Arial"/>
          <w:sz w:val="16"/>
          <w:szCs w:val="16"/>
          <w:vertAlign w:val="superscript"/>
        </w:rPr>
        <w:footnoteRef/>
      </w:r>
      <w:r w:rsidRPr="002C3F80">
        <w:rPr>
          <w:rFonts w:ascii="Arial" w:eastAsia="Calibri" w:hAnsi="Arial" w:cs="Arial"/>
          <w:sz w:val="16"/>
          <w:szCs w:val="16"/>
        </w:rPr>
        <w:t xml:space="preserve"> 2013 International AIDS Society Report following the Conference on Sex and Gender Differences in ARV-based Prevention Research</w:t>
      </w:r>
    </w:p>
  </w:footnote>
  <w:footnote w:id="92">
    <w:p w14:paraId="19A23853" w14:textId="1A47FC1D" w:rsidR="00345229" w:rsidRPr="002C3F80" w:rsidRDefault="00345229" w:rsidP="00653997">
      <w:pPr>
        <w:spacing w:after="0" w:line="240" w:lineRule="auto"/>
        <w:rPr>
          <w:rFonts w:ascii="Arial" w:hAnsi="Arial" w:cs="Arial"/>
          <w:sz w:val="16"/>
          <w:szCs w:val="16"/>
        </w:rPr>
      </w:pPr>
      <w:r w:rsidRPr="002C3F80">
        <w:rPr>
          <w:vertAlign w:val="superscript"/>
        </w:rPr>
        <w:footnoteRef/>
      </w:r>
      <w:r w:rsidRPr="00D54F95">
        <w:rPr>
          <w:rFonts w:ascii="Arial" w:eastAsia="Calibri" w:hAnsi="Arial" w:cs="Arial"/>
          <w:sz w:val="16"/>
          <w:szCs w:val="16"/>
        </w:rPr>
        <w:t xml:space="preserve"> </w:t>
      </w:r>
      <w:r w:rsidRPr="00D54F95">
        <w:rPr>
          <w:rFonts w:ascii="Arial" w:eastAsiaTheme="minorEastAsia" w:hAnsi="Arial" w:cs="Arial"/>
          <w:sz w:val="16"/>
          <w:szCs w:val="16"/>
          <w:lang w:eastAsia="ja-JP"/>
        </w:rPr>
        <w:t>Athena Network, A., Salamander Trust, UNWomen,. (2015). Key barriers to women's access to HIV treatment: Making 'Fast-Track' a reality: UNWomen.</w:t>
      </w:r>
    </w:p>
  </w:footnote>
  <w:footnote w:id="93">
    <w:p w14:paraId="7F5778ED" w14:textId="77777777" w:rsidR="00345229" w:rsidRPr="002C3F80" w:rsidRDefault="00345229" w:rsidP="00653997">
      <w:pPr>
        <w:spacing w:after="0" w:line="240" w:lineRule="auto"/>
        <w:rPr>
          <w:rFonts w:ascii="Arial" w:hAnsi="Arial" w:cs="Arial"/>
          <w:sz w:val="16"/>
          <w:szCs w:val="16"/>
        </w:rPr>
      </w:pPr>
      <w:r w:rsidRPr="002C3F80">
        <w:rPr>
          <w:rFonts w:ascii="Arial" w:hAnsi="Arial" w:cs="Arial"/>
          <w:sz w:val="16"/>
          <w:szCs w:val="16"/>
          <w:vertAlign w:val="superscript"/>
        </w:rPr>
        <w:footnoteRef/>
      </w:r>
      <w:r w:rsidRPr="002C3F80">
        <w:rPr>
          <w:rFonts w:ascii="Arial" w:eastAsia="Calibri" w:hAnsi="Arial" w:cs="Arial"/>
          <w:sz w:val="16"/>
          <w:szCs w:val="16"/>
        </w:rPr>
        <w:t xml:space="preserve"> Ibid. </w:t>
      </w:r>
    </w:p>
  </w:footnote>
  <w:footnote w:id="94">
    <w:p w14:paraId="59C725D1" w14:textId="77777777" w:rsidR="00345229" w:rsidRDefault="00345229" w:rsidP="00653997">
      <w:pPr>
        <w:spacing w:after="0" w:line="240" w:lineRule="auto"/>
      </w:pPr>
      <w:r w:rsidRPr="002C3F80">
        <w:rPr>
          <w:rFonts w:ascii="Arial" w:hAnsi="Arial" w:cs="Arial"/>
          <w:sz w:val="16"/>
          <w:szCs w:val="16"/>
          <w:vertAlign w:val="superscript"/>
        </w:rPr>
        <w:footnoteRef/>
      </w:r>
      <w:r w:rsidRPr="002C3F80">
        <w:rPr>
          <w:rFonts w:ascii="Arial" w:eastAsia="Calibri" w:hAnsi="Arial" w:cs="Arial"/>
          <w:sz w:val="16"/>
          <w:szCs w:val="16"/>
        </w:rPr>
        <w:t xml:space="preserve"> Ibid.  35.6% of women and 59.2% of men in Karamoja believed that a woman was justified in asking her husband to use a condom if she knew he had an STI.  National averages were 84.4% and 94.1% in all other areas of the country.</w:t>
      </w:r>
      <w:r>
        <w:rPr>
          <w:rFonts w:ascii="Calibri" w:eastAsia="Calibri" w:hAnsi="Calibri" w:cs="Calibri"/>
          <w:sz w:val="20"/>
          <w:szCs w:val="20"/>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9D7F53"/>
    <w:multiLevelType w:val="multilevel"/>
    <w:tmpl w:val="B7886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035F2F"/>
    <w:multiLevelType w:val="multilevel"/>
    <w:tmpl w:val="A4086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1F81895"/>
    <w:multiLevelType w:val="multilevel"/>
    <w:tmpl w:val="736EE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B1F286B"/>
    <w:multiLevelType w:val="hybridMultilevel"/>
    <w:tmpl w:val="976478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53F46C3F"/>
    <w:multiLevelType w:val="hybridMultilevel"/>
    <w:tmpl w:val="9C7251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5BDC5AA0"/>
    <w:multiLevelType w:val="multilevel"/>
    <w:tmpl w:val="072A2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0810DF2"/>
    <w:multiLevelType w:val="multilevel"/>
    <w:tmpl w:val="51C465BA"/>
    <w:lvl w:ilvl="0">
      <w:start w:val="24"/>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nsid w:val="67A27572"/>
    <w:multiLevelType w:val="multilevel"/>
    <w:tmpl w:val="D8D02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1"/>
  </w:num>
  <w:num w:numId="4">
    <w:abstractNumId w:val="7"/>
  </w:num>
  <w:num w:numId="5">
    <w:abstractNumId w:val="2"/>
  </w:num>
  <w:num w:numId="6">
    <w:abstractNumId w:val="6"/>
  </w:num>
  <w:num w:numId="7">
    <w:abstractNumId w:val="3"/>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545"/>
    <w:rsid w:val="00005DAB"/>
    <w:rsid w:val="00031459"/>
    <w:rsid w:val="00032477"/>
    <w:rsid w:val="000546BF"/>
    <w:rsid w:val="0006088E"/>
    <w:rsid w:val="000A1B46"/>
    <w:rsid w:val="000A4895"/>
    <w:rsid w:val="00110BBC"/>
    <w:rsid w:val="00123D63"/>
    <w:rsid w:val="00140A4A"/>
    <w:rsid w:val="0017602A"/>
    <w:rsid w:val="00177DCA"/>
    <w:rsid w:val="00177F87"/>
    <w:rsid w:val="00191982"/>
    <w:rsid w:val="00196B25"/>
    <w:rsid w:val="00213545"/>
    <w:rsid w:val="00231B1B"/>
    <w:rsid w:val="00250C9A"/>
    <w:rsid w:val="002673ED"/>
    <w:rsid w:val="002B10EE"/>
    <w:rsid w:val="002C3F80"/>
    <w:rsid w:val="002D095D"/>
    <w:rsid w:val="002D58DC"/>
    <w:rsid w:val="002E53BA"/>
    <w:rsid w:val="00310BD5"/>
    <w:rsid w:val="00313729"/>
    <w:rsid w:val="00326C5D"/>
    <w:rsid w:val="003304B9"/>
    <w:rsid w:val="00345229"/>
    <w:rsid w:val="003758A6"/>
    <w:rsid w:val="00383F42"/>
    <w:rsid w:val="003D7195"/>
    <w:rsid w:val="003D7F80"/>
    <w:rsid w:val="00405344"/>
    <w:rsid w:val="00407B30"/>
    <w:rsid w:val="00413914"/>
    <w:rsid w:val="00441F4F"/>
    <w:rsid w:val="004442DA"/>
    <w:rsid w:val="0045787A"/>
    <w:rsid w:val="0047234F"/>
    <w:rsid w:val="00484F89"/>
    <w:rsid w:val="00494576"/>
    <w:rsid w:val="004A24C8"/>
    <w:rsid w:val="004E1D4D"/>
    <w:rsid w:val="00505A77"/>
    <w:rsid w:val="005162CE"/>
    <w:rsid w:val="00517F26"/>
    <w:rsid w:val="005308E5"/>
    <w:rsid w:val="00530D15"/>
    <w:rsid w:val="005516B4"/>
    <w:rsid w:val="00566B15"/>
    <w:rsid w:val="005833A5"/>
    <w:rsid w:val="005B5770"/>
    <w:rsid w:val="005B6AC5"/>
    <w:rsid w:val="005F79E1"/>
    <w:rsid w:val="00612611"/>
    <w:rsid w:val="00630118"/>
    <w:rsid w:val="00647C6F"/>
    <w:rsid w:val="00653997"/>
    <w:rsid w:val="006873D4"/>
    <w:rsid w:val="006A0548"/>
    <w:rsid w:val="006B54F0"/>
    <w:rsid w:val="006B6A92"/>
    <w:rsid w:val="006E51C1"/>
    <w:rsid w:val="006E7BA0"/>
    <w:rsid w:val="006F2A5A"/>
    <w:rsid w:val="00754974"/>
    <w:rsid w:val="00756939"/>
    <w:rsid w:val="00790692"/>
    <w:rsid w:val="007D1DD8"/>
    <w:rsid w:val="007E3732"/>
    <w:rsid w:val="007E3952"/>
    <w:rsid w:val="0080260A"/>
    <w:rsid w:val="008739F9"/>
    <w:rsid w:val="00892A16"/>
    <w:rsid w:val="008939C7"/>
    <w:rsid w:val="008C1D14"/>
    <w:rsid w:val="008F70FA"/>
    <w:rsid w:val="008F7917"/>
    <w:rsid w:val="009425E5"/>
    <w:rsid w:val="009456C3"/>
    <w:rsid w:val="0094672E"/>
    <w:rsid w:val="00993968"/>
    <w:rsid w:val="009F5668"/>
    <w:rsid w:val="00A40B64"/>
    <w:rsid w:val="00A418A3"/>
    <w:rsid w:val="00A6377D"/>
    <w:rsid w:val="00A8249D"/>
    <w:rsid w:val="00AB2E08"/>
    <w:rsid w:val="00AC0B3A"/>
    <w:rsid w:val="00AC27B3"/>
    <w:rsid w:val="00AE5BE5"/>
    <w:rsid w:val="00AF2EDB"/>
    <w:rsid w:val="00AF618F"/>
    <w:rsid w:val="00B0453C"/>
    <w:rsid w:val="00B11A43"/>
    <w:rsid w:val="00B37301"/>
    <w:rsid w:val="00B81C02"/>
    <w:rsid w:val="00B87833"/>
    <w:rsid w:val="00B949EF"/>
    <w:rsid w:val="00BA5C41"/>
    <w:rsid w:val="00BB34AA"/>
    <w:rsid w:val="00BE5DB8"/>
    <w:rsid w:val="00BF6934"/>
    <w:rsid w:val="00C177FE"/>
    <w:rsid w:val="00C178EF"/>
    <w:rsid w:val="00C407FF"/>
    <w:rsid w:val="00C55182"/>
    <w:rsid w:val="00C56A41"/>
    <w:rsid w:val="00C779FB"/>
    <w:rsid w:val="00C843F2"/>
    <w:rsid w:val="00C86D9F"/>
    <w:rsid w:val="00C96447"/>
    <w:rsid w:val="00CD1F2E"/>
    <w:rsid w:val="00CE58CA"/>
    <w:rsid w:val="00CF0028"/>
    <w:rsid w:val="00D16260"/>
    <w:rsid w:val="00D33566"/>
    <w:rsid w:val="00D460AD"/>
    <w:rsid w:val="00D53155"/>
    <w:rsid w:val="00D54F95"/>
    <w:rsid w:val="00D710A0"/>
    <w:rsid w:val="00D81934"/>
    <w:rsid w:val="00D8503D"/>
    <w:rsid w:val="00D9364F"/>
    <w:rsid w:val="00DA36A4"/>
    <w:rsid w:val="00DC511B"/>
    <w:rsid w:val="00DF3E2B"/>
    <w:rsid w:val="00E07B55"/>
    <w:rsid w:val="00E3711C"/>
    <w:rsid w:val="00E6035C"/>
    <w:rsid w:val="00E769EA"/>
    <w:rsid w:val="00E7787C"/>
    <w:rsid w:val="00E8371C"/>
    <w:rsid w:val="00EA0E03"/>
    <w:rsid w:val="00EA29CC"/>
    <w:rsid w:val="00EB3F05"/>
    <w:rsid w:val="00ED5564"/>
    <w:rsid w:val="00F327E3"/>
    <w:rsid w:val="00F50B83"/>
    <w:rsid w:val="00F63531"/>
    <w:rsid w:val="00F73AD9"/>
    <w:rsid w:val="00F80026"/>
    <w:rsid w:val="00F92D8F"/>
    <w:rsid w:val="00FB14E6"/>
    <w:rsid w:val="00FD1319"/>
    <w:rsid w:val="00FD5EA0"/>
    <w:rsid w:val="00FE1C5F"/>
    <w:rsid w:val="00FF70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0C8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1354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135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5"/>
    <w:rPr>
      <w:rFonts w:ascii="Tahoma" w:hAnsi="Tahoma" w:cs="Tahoma"/>
      <w:sz w:val="16"/>
      <w:szCs w:val="16"/>
    </w:rPr>
  </w:style>
  <w:style w:type="paragraph" w:styleId="FootnoteText">
    <w:name w:val="footnote text"/>
    <w:basedOn w:val="Normal"/>
    <w:link w:val="FootnoteTextChar"/>
    <w:uiPriority w:val="99"/>
    <w:unhideWhenUsed/>
    <w:rsid w:val="00F92D8F"/>
    <w:pPr>
      <w:spacing w:after="0" w:line="240" w:lineRule="auto"/>
    </w:pPr>
    <w:rPr>
      <w:rFonts w:ascii="Arial" w:eastAsia="Arial" w:hAnsi="Arial" w:cs="Arial"/>
      <w:color w:val="000000"/>
      <w:sz w:val="24"/>
      <w:szCs w:val="24"/>
    </w:rPr>
  </w:style>
  <w:style w:type="character" w:customStyle="1" w:styleId="FootnoteTextChar">
    <w:name w:val="Footnote Text Char"/>
    <w:basedOn w:val="DefaultParagraphFont"/>
    <w:link w:val="FootnoteText"/>
    <w:uiPriority w:val="99"/>
    <w:rsid w:val="00F92D8F"/>
    <w:rPr>
      <w:rFonts w:ascii="Arial" w:eastAsia="Arial" w:hAnsi="Arial" w:cs="Arial"/>
      <w:color w:val="000000"/>
      <w:sz w:val="24"/>
      <w:szCs w:val="24"/>
    </w:rPr>
  </w:style>
  <w:style w:type="character" w:styleId="FootnoteReference">
    <w:name w:val="footnote reference"/>
    <w:basedOn w:val="DefaultParagraphFont"/>
    <w:uiPriority w:val="99"/>
    <w:unhideWhenUsed/>
    <w:rsid w:val="00F92D8F"/>
    <w:rPr>
      <w:vertAlign w:val="superscript"/>
    </w:rPr>
  </w:style>
  <w:style w:type="character" w:styleId="CommentReference">
    <w:name w:val="annotation reference"/>
    <w:basedOn w:val="DefaultParagraphFont"/>
    <w:uiPriority w:val="99"/>
    <w:semiHidden/>
    <w:unhideWhenUsed/>
    <w:rsid w:val="004E1D4D"/>
    <w:rPr>
      <w:sz w:val="16"/>
      <w:szCs w:val="16"/>
    </w:rPr>
  </w:style>
  <w:style w:type="paragraph" w:styleId="CommentText">
    <w:name w:val="annotation text"/>
    <w:basedOn w:val="Normal"/>
    <w:link w:val="CommentTextChar"/>
    <w:uiPriority w:val="99"/>
    <w:unhideWhenUsed/>
    <w:rsid w:val="004E1D4D"/>
    <w:pPr>
      <w:spacing w:line="240" w:lineRule="auto"/>
    </w:pPr>
    <w:rPr>
      <w:sz w:val="20"/>
      <w:szCs w:val="20"/>
    </w:rPr>
  </w:style>
  <w:style w:type="character" w:customStyle="1" w:styleId="CommentTextChar">
    <w:name w:val="Comment Text Char"/>
    <w:basedOn w:val="DefaultParagraphFont"/>
    <w:link w:val="CommentText"/>
    <w:uiPriority w:val="99"/>
    <w:rsid w:val="004E1D4D"/>
    <w:rPr>
      <w:sz w:val="20"/>
      <w:szCs w:val="20"/>
    </w:rPr>
  </w:style>
  <w:style w:type="paragraph" w:styleId="CommentSubject">
    <w:name w:val="annotation subject"/>
    <w:basedOn w:val="CommentText"/>
    <w:next w:val="CommentText"/>
    <w:link w:val="CommentSubjectChar"/>
    <w:uiPriority w:val="99"/>
    <w:semiHidden/>
    <w:unhideWhenUsed/>
    <w:rsid w:val="004E1D4D"/>
    <w:rPr>
      <w:b/>
      <w:bCs/>
    </w:rPr>
  </w:style>
  <w:style w:type="character" w:customStyle="1" w:styleId="CommentSubjectChar">
    <w:name w:val="Comment Subject Char"/>
    <w:basedOn w:val="CommentTextChar"/>
    <w:link w:val="CommentSubject"/>
    <w:uiPriority w:val="99"/>
    <w:semiHidden/>
    <w:rsid w:val="004E1D4D"/>
    <w:rPr>
      <w:b/>
      <w:bCs/>
      <w:sz w:val="20"/>
      <w:szCs w:val="20"/>
    </w:rPr>
  </w:style>
  <w:style w:type="character" w:styleId="Hyperlink">
    <w:name w:val="Hyperlink"/>
    <w:basedOn w:val="DefaultParagraphFont"/>
    <w:uiPriority w:val="99"/>
    <w:unhideWhenUsed/>
    <w:rsid w:val="008939C7"/>
    <w:rPr>
      <w:color w:val="0000FF" w:themeColor="hyperlink"/>
      <w:u w:val="single"/>
    </w:rPr>
  </w:style>
  <w:style w:type="paragraph" w:styleId="ListParagraph">
    <w:name w:val="List Paragraph"/>
    <w:basedOn w:val="Normal"/>
    <w:uiPriority w:val="34"/>
    <w:qFormat/>
    <w:rsid w:val="00892A1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1354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135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5"/>
    <w:rPr>
      <w:rFonts w:ascii="Tahoma" w:hAnsi="Tahoma" w:cs="Tahoma"/>
      <w:sz w:val="16"/>
      <w:szCs w:val="16"/>
    </w:rPr>
  </w:style>
  <w:style w:type="paragraph" w:styleId="FootnoteText">
    <w:name w:val="footnote text"/>
    <w:basedOn w:val="Normal"/>
    <w:link w:val="FootnoteTextChar"/>
    <w:uiPriority w:val="99"/>
    <w:unhideWhenUsed/>
    <w:rsid w:val="00F92D8F"/>
    <w:pPr>
      <w:spacing w:after="0" w:line="240" w:lineRule="auto"/>
    </w:pPr>
    <w:rPr>
      <w:rFonts w:ascii="Arial" w:eastAsia="Arial" w:hAnsi="Arial" w:cs="Arial"/>
      <w:color w:val="000000"/>
      <w:sz w:val="24"/>
      <w:szCs w:val="24"/>
    </w:rPr>
  </w:style>
  <w:style w:type="character" w:customStyle="1" w:styleId="FootnoteTextChar">
    <w:name w:val="Footnote Text Char"/>
    <w:basedOn w:val="DefaultParagraphFont"/>
    <w:link w:val="FootnoteText"/>
    <w:uiPriority w:val="99"/>
    <w:rsid w:val="00F92D8F"/>
    <w:rPr>
      <w:rFonts w:ascii="Arial" w:eastAsia="Arial" w:hAnsi="Arial" w:cs="Arial"/>
      <w:color w:val="000000"/>
      <w:sz w:val="24"/>
      <w:szCs w:val="24"/>
    </w:rPr>
  </w:style>
  <w:style w:type="character" w:styleId="FootnoteReference">
    <w:name w:val="footnote reference"/>
    <w:basedOn w:val="DefaultParagraphFont"/>
    <w:uiPriority w:val="99"/>
    <w:unhideWhenUsed/>
    <w:rsid w:val="00F92D8F"/>
    <w:rPr>
      <w:vertAlign w:val="superscript"/>
    </w:rPr>
  </w:style>
  <w:style w:type="character" w:styleId="CommentReference">
    <w:name w:val="annotation reference"/>
    <w:basedOn w:val="DefaultParagraphFont"/>
    <w:uiPriority w:val="99"/>
    <w:semiHidden/>
    <w:unhideWhenUsed/>
    <w:rsid w:val="004E1D4D"/>
    <w:rPr>
      <w:sz w:val="16"/>
      <w:szCs w:val="16"/>
    </w:rPr>
  </w:style>
  <w:style w:type="paragraph" w:styleId="CommentText">
    <w:name w:val="annotation text"/>
    <w:basedOn w:val="Normal"/>
    <w:link w:val="CommentTextChar"/>
    <w:uiPriority w:val="99"/>
    <w:unhideWhenUsed/>
    <w:rsid w:val="004E1D4D"/>
    <w:pPr>
      <w:spacing w:line="240" w:lineRule="auto"/>
    </w:pPr>
    <w:rPr>
      <w:sz w:val="20"/>
      <w:szCs w:val="20"/>
    </w:rPr>
  </w:style>
  <w:style w:type="character" w:customStyle="1" w:styleId="CommentTextChar">
    <w:name w:val="Comment Text Char"/>
    <w:basedOn w:val="DefaultParagraphFont"/>
    <w:link w:val="CommentText"/>
    <w:uiPriority w:val="99"/>
    <w:rsid w:val="004E1D4D"/>
    <w:rPr>
      <w:sz w:val="20"/>
      <w:szCs w:val="20"/>
    </w:rPr>
  </w:style>
  <w:style w:type="paragraph" w:styleId="CommentSubject">
    <w:name w:val="annotation subject"/>
    <w:basedOn w:val="CommentText"/>
    <w:next w:val="CommentText"/>
    <w:link w:val="CommentSubjectChar"/>
    <w:uiPriority w:val="99"/>
    <w:semiHidden/>
    <w:unhideWhenUsed/>
    <w:rsid w:val="004E1D4D"/>
    <w:rPr>
      <w:b/>
      <w:bCs/>
    </w:rPr>
  </w:style>
  <w:style w:type="character" w:customStyle="1" w:styleId="CommentSubjectChar">
    <w:name w:val="Comment Subject Char"/>
    <w:basedOn w:val="CommentTextChar"/>
    <w:link w:val="CommentSubject"/>
    <w:uiPriority w:val="99"/>
    <w:semiHidden/>
    <w:rsid w:val="004E1D4D"/>
    <w:rPr>
      <w:b/>
      <w:bCs/>
      <w:sz w:val="20"/>
      <w:szCs w:val="20"/>
    </w:rPr>
  </w:style>
  <w:style w:type="character" w:styleId="Hyperlink">
    <w:name w:val="Hyperlink"/>
    <w:basedOn w:val="DefaultParagraphFont"/>
    <w:uiPriority w:val="99"/>
    <w:unhideWhenUsed/>
    <w:rsid w:val="008939C7"/>
    <w:rPr>
      <w:color w:val="0000FF" w:themeColor="hyperlink"/>
      <w:u w:val="single"/>
    </w:rPr>
  </w:style>
  <w:style w:type="paragraph" w:styleId="ListParagraph">
    <w:name w:val="List Paragraph"/>
    <w:basedOn w:val="Normal"/>
    <w:uiPriority w:val="34"/>
    <w:qFormat/>
    <w:rsid w:val="00892A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755931">
      <w:bodyDiv w:val="1"/>
      <w:marLeft w:val="0"/>
      <w:marRight w:val="0"/>
      <w:marTop w:val="0"/>
      <w:marBottom w:val="0"/>
      <w:divBdr>
        <w:top w:val="none" w:sz="0" w:space="0" w:color="auto"/>
        <w:left w:val="none" w:sz="0" w:space="0" w:color="auto"/>
        <w:bottom w:val="none" w:sz="0" w:space="0" w:color="auto"/>
        <w:right w:val="none" w:sz="0" w:space="0" w:color="auto"/>
      </w:divBdr>
      <w:divsChild>
        <w:div w:id="126433247">
          <w:marLeft w:val="0"/>
          <w:marRight w:val="0"/>
          <w:marTop w:val="0"/>
          <w:marBottom w:val="0"/>
          <w:divBdr>
            <w:top w:val="none" w:sz="0" w:space="0" w:color="auto"/>
            <w:left w:val="none" w:sz="0" w:space="0" w:color="auto"/>
            <w:bottom w:val="none" w:sz="0" w:space="0" w:color="auto"/>
            <w:right w:val="none" w:sz="0" w:space="0" w:color="auto"/>
          </w:divBdr>
        </w:div>
      </w:divsChild>
    </w:div>
    <w:div w:id="1086074648">
      <w:bodyDiv w:val="1"/>
      <w:marLeft w:val="0"/>
      <w:marRight w:val="0"/>
      <w:marTop w:val="0"/>
      <w:marBottom w:val="0"/>
      <w:divBdr>
        <w:top w:val="none" w:sz="0" w:space="0" w:color="auto"/>
        <w:left w:val="none" w:sz="0" w:space="0" w:color="auto"/>
        <w:bottom w:val="none" w:sz="0" w:space="0" w:color="auto"/>
        <w:right w:val="none" w:sz="0" w:space="0" w:color="auto"/>
      </w:divBdr>
    </w:div>
    <w:div w:id="1088884972">
      <w:bodyDiv w:val="1"/>
      <w:marLeft w:val="0"/>
      <w:marRight w:val="0"/>
      <w:marTop w:val="0"/>
      <w:marBottom w:val="0"/>
      <w:divBdr>
        <w:top w:val="none" w:sz="0" w:space="0" w:color="auto"/>
        <w:left w:val="none" w:sz="0" w:space="0" w:color="auto"/>
        <w:bottom w:val="none" w:sz="0" w:space="0" w:color="auto"/>
        <w:right w:val="none" w:sz="0" w:space="0" w:color="auto"/>
      </w:divBdr>
    </w:div>
    <w:div w:id="1183319379">
      <w:bodyDiv w:val="1"/>
      <w:marLeft w:val="0"/>
      <w:marRight w:val="0"/>
      <w:marTop w:val="0"/>
      <w:marBottom w:val="0"/>
      <w:divBdr>
        <w:top w:val="none" w:sz="0" w:space="0" w:color="auto"/>
        <w:left w:val="none" w:sz="0" w:space="0" w:color="auto"/>
        <w:bottom w:val="none" w:sz="0" w:space="0" w:color="auto"/>
        <w:right w:val="none" w:sz="0" w:space="0" w:color="auto"/>
      </w:divBdr>
      <w:divsChild>
        <w:div w:id="741759531">
          <w:marLeft w:val="0"/>
          <w:marRight w:val="0"/>
          <w:marTop w:val="0"/>
          <w:marBottom w:val="0"/>
          <w:divBdr>
            <w:top w:val="none" w:sz="0" w:space="0" w:color="auto"/>
            <w:left w:val="none" w:sz="0" w:space="0" w:color="auto"/>
            <w:bottom w:val="none" w:sz="0" w:space="0" w:color="auto"/>
            <w:right w:val="none" w:sz="0" w:space="0" w:color="auto"/>
          </w:divBdr>
        </w:div>
      </w:divsChild>
    </w:div>
    <w:div w:id="1269964424">
      <w:bodyDiv w:val="1"/>
      <w:marLeft w:val="0"/>
      <w:marRight w:val="0"/>
      <w:marTop w:val="0"/>
      <w:marBottom w:val="0"/>
      <w:divBdr>
        <w:top w:val="none" w:sz="0" w:space="0" w:color="auto"/>
        <w:left w:val="none" w:sz="0" w:space="0" w:color="auto"/>
        <w:bottom w:val="none" w:sz="0" w:space="0" w:color="auto"/>
        <w:right w:val="none" w:sz="0" w:space="0" w:color="auto"/>
      </w:divBdr>
    </w:div>
    <w:div w:id="1454205088">
      <w:bodyDiv w:val="1"/>
      <w:marLeft w:val="0"/>
      <w:marRight w:val="0"/>
      <w:marTop w:val="0"/>
      <w:marBottom w:val="0"/>
      <w:divBdr>
        <w:top w:val="none" w:sz="0" w:space="0" w:color="auto"/>
        <w:left w:val="none" w:sz="0" w:space="0" w:color="auto"/>
        <w:bottom w:val="none" w:sz="0" w:space="0" w:color="auto"/>
        <w:right w:val="none" w:sz="0" w:space="0" w:color="auto"/>
      </w:divBdr>
      <w:divsChild>
        <w:div w:id="362093575">
          <w:marLeft w:val="0"/>
          <w:marRight w:val="0"/>
          <w:marTop w:val="0"/>
          <w:marBottom w:val="0"/>
          <w:divBdr>
            <w:top w:val="none" w:sz="0" w:space="0" w:color="auto"/>
            <w:left w:val="none" w:sz="0" w:space="0" w:color="auto"/>
            <w:bottom w:val="none" w:sz="0" w:space="0" w:color="auto"/>
            <w:right w:val="none" w:sz="0" w:space="0" w:color="auto"/>
          </w:divBdr>
        </w:div>
      </w:divsChild>
    </w:div>
    <w:div w:id="1592935127">
      <w:bodyDiv w:val="1"/>
      <w:marLeft w:val="0"/>
      <w:marRight w:val="0"/>
      <w:marTop w:val="0"/>
      <w:marBottom w:val="0"/>
      <w:divBdr>
        <w:top w:val="none" w:sz="0" w:space="0" w:color="auto"/>
        <w:left w:val="none" w:sz="0" w:space="0" w:color="auto"/>
        <w:bottom w:val="none" w:sz="0" w:space="0" w:color="auto"/>
        <w:right w:val="none" w:sz="0" w:space="0" w:color="auto"/>
      </w:divBdr>
    </w:div>
    <w:div w:id="1621953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www.newvision.co.ug/news/644085-domestic-violence-cases-soar.html" TargetMode="External"/><Relationship Id="rId39" Type="http://schemas.openxmlformats.org/officeDocument/2006/relationships/hyperlink" Target="http://www.indexmundi.com/facts/uganda/prevalence-of-anemia" TargetMode="External"/><Relationship Id="rId3" Type="http://schemas.openxmlformats.org/officeDocument/2006/relationships/styles" Target="styles.xml"/><Relationship Id="rId21" Type="http://schemas.openxmlformats.org/officeDocument/2006/relationships/hyperlink" Target="http://semgai.free.fr/doc_et_pdf/africa_A4.pdf" TargetMode="External"/><Relationship Id="rId34" Type="http://schemas.openxmlformats.org/officeDocument/2006/relationships/hyperlink" Target="http://data.worldbank.org/indicator/SP.DYN.IMRT.IN"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jurist.org/paperchase/2015/08/ugandas-top-judges-outlaw-bride-price-refund.php" TargetMode="External"/><Relationship Id="rId33" Type="http://schemas.openxmlformats.org/officeDocument/2006/relationships/hyperlink" Target="http://www.voxeu.org/article/how-big-india-s-demographic-dividend" TargetMode="External"/><Relationship Id="rId38" Type="http://schemas.openxmlformats.org/officeDocument/2006/relationships/hyperlink" Target="http://www.bbc.com/news/world-africa-31557295"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www.internationalpolicydigest.org/2015/08/10/leviticus-rising-the-origin-of-uganda-s-anti-gay-law/" TargetMode="External"/><Relationship Id="rId29" Type="http://schemas.openxmlformats.org/officeDocument/2006/relationships/hyperlink" Target="http://www.brookings.edu/blogs/africa-in-focus/posts/2014/08/26-youth-unemployment-uganda-ahaibwe-mbowa" TargetMode="External"/><Relationship Id="rId41" Type="http://schemas.openxmlformats.org/officeDocument/2006/relationships/hyperlink" Target="http://www.voxeu.org/article/microcredit-neither-miracle-nor-mirag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www.iwdn.learningpartnership.org/2013/02/womens-political-and-civic-participation-in-uganda-opportunities-and-challenges-to-the-full-realization-of-democracy/" TargetMode="External"/><Relationship Id="rId32" Type="http://schemas.openxmlformats.org/officeDocument/2006/relationships/hyperlink" Target="http://paa2015.princeton.edu/uploads/150432" TargetMode="External"/><Relationship Id="rId37" Type="http://schemas.openxmlformats.org/officeDocument/2006/relationships/hyperlink" Target="http://www.monitor.co.ug/artsculture/Reviews/-/691232/1321578/-/9or11/-/index.html" TargetMode="External"/><Relationship Id="rId40" Type="http://schemas.openxmlformats.org/officeDocument/2006/relationships/hyperlink" Target="http://www.worldbank.org/en/region/afr/publication/levelling-the-field-improving-opportunities-for-women-farmers-in-africa" TargetMode="Externa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databank.worldbank.org/data/reports.aspx?source=Gender-Statistics" TargetMode="External"/><Relationship Id="rId28" Type="http://schemas.openxmlformats.org/officeDocument/2006/relationships/hyperlink" Target="https://www.cia.gov/library/publications/the-world-factbook/fields/2002.html" TargetMode="External"/><Relationship Id="rId36" Type="http://schemas.openxmlformats.org/officeDocument/2006/relationships/hyperlink" Target="http://www.mifumi.org/bride_price.php" TargetMode="External"/><Relationship Id="rId10" Type="http://schemas.openxmlformats.org/officeDocument/2006/relationships/image" Target="media/image2.png"/><Relationship Id="rId19" Type="http://schemas.openxmlformats.org/officeDocument/2006/relationships/hyperlink" Target="https://www.cia.gov/library/publications/resources/the-world-factbook/geos/ug.html" TargetMode="External"/><Relationship Id="rId31" Type="http://schemas.openxmlformats.org/officeDocument/2006/relationships/hyperlink" Target="http://www.prb.org/Publications/Articles/2012/south-korea-population.aspx"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www.pewglobal.org/2013/06/04/the-global-divide-on-homosexuality/" TargetMode="External"/><Relationship Id="rId27" Type="http://schemas.openxmlformats.org/officeDocument/2006/relationships/hyperlink" Target="https://www.icrc.org/applic/ihl/ihl-nat.nsf/a24d1cf3344e99934125673e00508142/158bbdbd1f43d1ebc12576f5003f7381/$FILE/Penal%20Code%20(Amendment)%20Act%20.pdf" TargetMode="External"/><Relationship Id="rId30" Type="http://schemas.openxmlformats.org/officeDocument/2006/relationships/hyperlink" Target="http://health.go.ug/docs/NHA_REPORT_FINAL_13.pdf" TargetMode="External"/><Relationship Id="rId35" Type="http://schemas.openxmlformats.org/officeDocument/2006/relationships/hyperlink" Target="https://www.k4health.org/tags/georgetown-university-institute-reproductive-health-irh"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A06056-08AC-46A1-A371-C9E07F278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15626</Words>
  <Characters>89074</Characters>
  <Application>Microsoft Office Word</Application>
  <DocSecurity>0</DocSecurity>
  <Lines>742</Lines>
  <Paragraphs>208</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104492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USAID</dc:creator>
  <cp:lastModifiedBy>USAID</cp:lastModifiedBy>
  <cp:revision>2</cp:revision>
  <dcterms:created xsi:type="dcterms:W3CDTF">2015-12-31T06:43:00Z</dcterms:created>
  <dcterms:modified xsi:type="dcterms:W3CDTF">2015-12-31T06:43:00Z</dcterms:modified>
</cp:coreProperties>
</file>