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9 -->
  <w:body>
    <w:p w14:paraId="4B554F3E" w14:textId="77777777">
      <w:pPr>
        <w:pStyle w:val="div"/>
        <w:jc w:val="center"/>
        <w:rPr>
          <w:color w:val="auto"/>
          <w:szCs w:val="24"/>
        </w:rPr>
      </w:pPr>
      <w:r>
        <w:rPr>
          <w:b/>
          <w:bCs/>
          <w:color w:val="auto"/>
          <w:sz w:val="27"/>
          <w:szCs w:val="27"/>
        </w:rPr>
        <w:t>Bureau of Ocean Energy Management</w:t>
      </w:r>
      <w:r>
        <w:rPr>
          <w:b/>
          <w:bCs/>
          <w:color w:val="auto"/>
          <w:sz w:val="27"/>
          <w:szCs w:val="27"/>
        </w:rPr>
        <w:br/>
      </w:r>
      <w:r>
        <w:rPr>
          <w:b/>
          <w:bCs/>
          <w:color w:val="auto"/>
          <w:sz w:val="27"/>
          <w:szCs w:val="27"/>
        </w:rPr>
        <w:br/>
      </w:r>
      <w:r>
        <w:rPr>
          <w:rFonts w:ascii="Times" w:eastAsia="Times" w:hAnsi="Times" w:cs="Times"/>
          <w:b w:val="0"/>
          <w:bCs w:val="0"/>
          <w:color w:val="auto"/>
        </w:rPr>
        <w:t xml:space="preserve">BOEM - Acquisition Policy and Financial Assistance </w:t>
      </w:r>
      <w:r>
        <w:rPr>
          <w:rFonts w:ascii="Times" w:eastAsia="Times" w:hAnsi="Times" w:cs="Times"/>
          <w:b w:val="0"/>
          <w:bCs w:val="0"/>
          <w:color w:val="auto"/>
        </w:rPr>
        <w:br/>
      </w:r>
      <w:r>
        <w:rPr>
          <w:rFonts w:ascii="Times" w:eastAsia="Times" w:hAnsi="Times" w:cs="Times"/>
          <w:b w:val="0"/>
          <w:bCs w:val="0"/>
          <w:color w:val="auto"/>
        </w:rPr>
        <w:br/>
      </w:r>
      <w:r>
        <w:rPr>
          <w:rFonts w:ascii="Times" w:eastAsia="Times" w:hAnsi="Times" w:cs="Times"/>
          <w:b w:val="0"/>
          <w:bCs w:val="0"/>
          <w:color w:val="auto"/>
        </w:rPr>
        <w:t>2023</w:t>
      </w:r>
      <w:r>
        <w:rPr>
          <w:rFonts w:ascii="Times" w:eastAsia="Times" w:hAnsi="Times" w:cs="Times"/>
          <w:b w:val="0"/>
          <w:bCs w:val="0"/>
          <w:color w:val="auto"/>
        </w:rPr>
        <w:br/>
      </w:r>
      <w:r>
        <w:rPr>
          <w:rFonts w:ascii="Times" w:eastAsia="Times" w:hAnsi="Times" w:cs="Times"/>
          <w:b w:val="0"/>
          <w:bCs w:val="0"/>
          <w:color w:val="auto"/>
        </w:rPr>
        <w:t>M23AS00336</w:t>
      </w:r>
      <w:r>
        <w:rPr>
          <w:rFonts w:ascii="Times" w:eastAsia="Times" w:hAnsi="Times" w:cs="Times"/>
          <w:b w:val="0"/>
          <w:bCs w:val="0"/>
          <w:color w:val="auto"/>
        </w:rPr>
        <w:br/>
      </w:r>
      <w:r>
        <w:rPr>
          <w:rFonts w:ascii="Times" w:eastAsia="Times" w:hAnsi="Times" w:cs="Times"/>
          <w:b w:val="0"/>
          <w:bCs w:val="0"/>
          <w:color w:val="auto"/>
        </w:rPr>
        <w:t>06/26/2023</w:t>
      </w:r>
    </w:p>
    <w:p w:rsidR="007C1BCB" w:rsidRPr="00470374" w:rsidP="00470374">
      <w:pPr>
        <w:sectPr w:rsidSect="00F5197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Pr>
    </w:p>
    <w:p w:rsidP="00470374">
      <w:pPr>
        <w:pStyle w:val="MainHeading"/>
        <w:keepLines w:val="0"/>
        <w:spacing w:before="200" w:after="80"/>
        <w:ind w:left="0"/>
        <w:jc w:val="left"/>
        <w:rPr>
          <w:rFonts w:ascii="Times New Roman" w:eastAsia="Times New Roman" w:hAnsi="Times New Roman" w:cs="Times New Roman"/>
          <w:b/>
          <w:color w:val="000000"/>
          <w:sz w:val="32"/>
        </w:rPr>
      </w:pPr>
      <w:r>
        <w:rPr>
          <w:rFonts w:ascii="Times New Roman" w:eastAsia="Times New Roman" w:hAnsi="Times New Roman" w:cs="Times New Roman"/>
          <w:b/>
          <w:color w:val="000000"/>
          <w:sz w:val="32"/>
        </w:rPr>
        <w:t>Table of Contents</w:t>
      </w:r>
    </w:p>
    <w:p>
      <w:pPr>
        <w:pStyle w:val="TOC1"/>
        <w:tabs>
          <w:tab w:val="right" w:leader="dot" w:pos="9350"/>
        </w:tabs>
        <w:rPr>
          <w:rFonts w:asciiTheme="minorHAnsi" w:hAnsiTheme="minorHAnsi"/>
          <w:noProof/>
          <w:sz w:val="22"/>
        </w:rPr>
      </w:pPr>
      <w:r>
        <w:rPr>
          <w:rFonts w:ascii="Times New Roman" w:eastAsia="Times New Roman" w:hAnsi="Times New Roman" w:cs="Times New Roman"/>
          <w:b/>
          <w:color w:val="000000"/>
          <w:sz w:val="32"/>
        </w:rPr>
        <w:fldChar w:fldCharType="begin"/>
      </w:r>
      <w:r>
        <w:rPr>
          <w:rFonts w:ascii="Times New Roman" w:eastAsia="Times New Roman" w:hAnsi="Times New Roman" w:cs="Times New Roman"/>
          <w:b/>
          <w:color w:val="000000"/>
          <w:sz w:val="32"/>
        </w:rPr>
        <w:instrText>TOC \o "1-2" \h \z \u</w:instrText>
      </w:r>
      <w:r>
        <w:rPr>
          <w:rFonts w:ascii="Times New Roman" w:eastAsia="Times New Roman" w:hAnsi="Times New Roman" w:cs="Times New Roman"/>
          <w:b/>
          <w:color w:val="000000"/>
          <w:sz w:val="32"/>
        </w:rPr>
        <w:fldChar w:fldCharType="separate"/>
      </w:r>
      <w:hyperlink w:anchor="_Toc256000000" w:history="1">
        <w:r>
          <w:rPr>
            <w:rStyle w:val="Hyperlink"/>
            <w:kern w:val="0"/>
            <w:shd w:val="clear" w:color="auto" w:fill="auto"/>
          </w:rPr>
          <w:t>A. Program Description</w:t>
        </w:r>
        <w:r>
          <w:tab/>
        </w:r>
        <w:r>
          <w:fldChar w:fldCharType="begin"/>
        </w:r>
        <w:r>
          <w:instrText xml:space="preserve"> PAGEREF _Toc256000000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01" w:history="1">
        <w:r>
          <w:rPr>
            <w:rStyle w:val="Hyperlink"/>
            <w:shd w:val="clear" w:color="auto" w:fill="auto"/>
          </w:rPr>
          <w:t>A1. Authority</w:t>
        </w:r>
        <w:r>
          <w:tab/>
        </w:r>
        <w:r>
          <w:fldChar w:fldCharType="begin"/>
        </w:r>
        <w:r>
          <w:instrText xml:space="preserve"> PAGEREF _Toc256000001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02" w:history="1">
        <w:r>
          <w:rPr>
            <w:rStyle w:val="Hyperlink"/>
            <w:shd w:val="clear" w:color="auto" w:fill="auto"/>
          </w:rPr>
          <w:t>A2. Background, Purpose and Program Requirements</w:t>
        </w:r>
        <w:r>
          <w:tab/>
        </w:r>
        <w:r>
          <w:fldChar w:fldCharType="begin"/>
        </w:r>
        <w:r>
          <w:instrText xml:space="preserve"> PAGEREF _Toc256000002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03" w:history="1">
        <w:r>
          <w:rPr>
            <w:rStyle w:val="Hyperlink"/>
            <w:shd w:val="clear" w:color="auto" w:fill="auto"/>
          </w:rPr>
          <w:t>A3. Technical Assistance and Information for Prospective Applicants</w:t>
        </w:r>
        <w:r>
          <w:tab/>
        </w:r>
        <w:r>
          <w:fldChar w:fldCharType="begin"/>
        </w:r>
        <w:r>
          <w:instrText xml:space="preserve"> PAGEREF _Toc256000003 \h </w:instrText>
        </w:r>
        <w:r>
          <w:fldChar w:fldCharType="separate"/>
        </w:r>
        <w:r>
          <w:t>4</w:t>
        </w:r>
        <w:r>
          <w:fldChar w:fldCharType="end"/>
        </w:r>
      </w:hyperlink>
    </w:p>
    <w:p>
      <w:pPr>
        <w:pStyle w:val="TOC1"/>
        <w:tabs>
          <w:tab w:val="right" w:leader="dot" w:pos="9350"/>
        </w:tabs>
        <w:rPr>
          <w:rFonts w:asciiTheme="minorHAnsi" w:hAnsiTheme="minorHAnsi"/>
          <w:noProof/>
          <w:sz w:val="22"/>
        </w:rPr>
      </w:pPr>
      <w:hyperlink w:anchor="_Toc256000004" w:history="1">
        <w:r>
          <w:rPr>
            <w:rStyle w:val="Hyperlink"/>
            <w:kern w:val="0"/>
            <w:shd w:val="clear" w:color="auto" w:fill="auto"/>
          </w:rPr>
          <w:t>B. Federal Award Information</w:t>
        </w:r>
        <w:r>
          <w:tab/>
        </w:r>
        <w:r>
          <w:fldChar w:fldCharType="begin"/>
        </w:r>
        <w:r>
          <w:instrText xml:space="preserve"> PAGEREF _Toc256000004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05" w:history="1">
        <w:r>
          <w:rPr>
            <w:rStyle w:val="Hyperlink"/>
            <w:shd w:val="clear" w:color="auto" w:fill="auto"/>
          </w:rPr>
          <w:t>B1. Total Funding</w:t>
        </w:r>
        <w:r>
          <w:tab/>
        </w:r>
        <w:r>
          <w:fldChar w:fldCharType="begin"/>
        </w:r>
        <w:r>
          <w:instrText xml:space="preserve"> PAGEREF _Toc256000005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06" w:history="1">
        <w:r>
          <w:rPr>
            <w:rStyle w:val="Hyperlink"/>
            <w:shd w:val="clear" w:color="auto" w:fill="auto"/>
          </w:rPr>
          <w:t>B2. Expected Award Amount</w:t>
        </w:r>
        <w:r>
          <w:tab/>
        </w:r>
        <w:r>
          <w:fldChar w:fldCharType="begin"/>
        </w:r>
        <w:r>
          <w:instrText xml:space="preserve"> PAGEREF _Toc256000006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07" w:history="1">
        <w:r>
          <w:rPr>
            <w:rStyle w:val="Hyperlink"/>
            <w:shd w:val="clear" w:color="auto" w:fill="auto"/>
          </w:rPr>
          <w:t>B3. Anticipated Dates</w:t>
        </w:r>
        <w:r>
          <w:tab/>
        </w:r>
        <w:r>
          <w:fldChar w:fldCharType="begin"/>
        </w:r>
        <w:r>
          <w:instrText xml:space="preserve"> PAGEREF _Toc256000007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08" w:history="1">
        <w:r>
          <w:rPr>
            <w:rStyle w:val="Hyperlink"/>
            <w:shd w:val="clear" w:color="auto" w:fill="auto"/>
          </w:rPr>
          <w:t>B4. Period of Performance</w:t>
        </w:r>
        <w:r>
          <w:tab/>
        </w:r>
        <w:r>
          <w:fldChar w:fldCharType="begin"/>
        </w:r>
        <w:r>
          <w:instrText xml:space="preserve"> PAGEREF _Toc256000008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09" w:history="1">
        <w:r>
          <w:rPr>
            <w:rStyle w:val="Hyperlink"/>
            <w:shd w:val="clear" w:color="auto" w:fill="auto"/>
          </w:rPr>
          <w:t>B5. Numbers of Awards</w:t>
        </w:r>
        <w:r>
          <w:tab/>
        </w:r>
        <w:r>
          <w:fldChar w:fldCharType="begin"/>
        </w:r>
        <w:r>
          <w:instrText xml:space="preserve"> PAGEREF _Toc256000009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10" w:history="1">
        <w:r>
          <w:rPr>
            <w:rStyle w:val="Hyperlink"/>
            <w:shd w:val="clear" w:color="auto" w:fill="auto"/>
          </w:rPr>
          <w:t>B6. Type of Award</w:t>
        </w:r>
        <w:r>
          <w:tab/>
        </w:r>
        <w:r>
          <w:fldChar w:fldCharType="begin"/>
        </w:r>
        <w:r>
          <w:instrText xml:space="preserve"> PAGEREF _Toc256000010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11" w:history="1">
        <w:r>
          <w:rPr>
            <w:rStyle w:val="Hyperlink"/>
            <w:shd w:val="clear" w:color="auto" w:fill="auto"/>
          </w:rPr>
          <w:t>B7. Other Federal Information</w:t>
        </w:r>
        <w:r>
          <w:tab/>
        </w:r>
        <w:r>
          <w:fldChar w:fldCharType="begin"/>
        </w:r>
        <w:r>
          <w:instrText xml:space="preserve"> PAGEREF _Toc256000011 \h </w:instrText>
        </w:r>
        <w:r>
          <w:fldChar w:fldCharType="separate"/>
        </w:r>
        <w:r>
          <w:t>5</w:t>
        </w:r>
        <w:r>
          <w:fldChar w:fldCharType="end"/>
        </w:r>
      </w:hyperlink>
    </w:p>
    <w:p>
      <w:pPr>
        <w:pStyle w:val="TOC1"/>
        <w:tabs>
          <w:tab w:val="right" w:leader="dot" w:pos="9350"/>
        </w:tabs>
        <w:rPr>
          <w:rFonts w:asciiTheme="minorHAnsi" w:hAnsiTheme="minorHAnsi"/>
          <w:noProof/>
          <w:sz w:val="22"/>
        </w:rPr>
      </w:pPr>
      <w:hyperlink w:anchor="_Toc256000012" w:history="1">
        <w:r>
          <w:rPr>
            <w:rStyle w:val="Hyperlink"/>
            <w:kern w:val="0"/>
            <w:shd w:val="clear" w:color="auto" w:fill="auto"/>
          </w:rPr>
          <w:t>C. Eligibility Information</w:t>
        </w:r>
        <w:r>
          <w:tab/>
        </w:r>
        <w:r>
          <w:fldChar w:fldCharType="begin"/>
        </w:r>
        <w:r>
          <w:instrText xml:space="preserve"> PAGEREF _Toc256000012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13" w:history="1">
        <w:r>
          <w:rPr>
            <w:rStyle w:val="Hyperlink"/>
            <w:shd w:val="clear" w:color="auto" w:fill="auto"/>
          </w:rPr>
          <w:t>C1. Eligible Applicants</w:t>
        </w:r>
        <w:r>
          <w:tab/>
        </w:r>
        <w:r>
          <w:fldChar w:fldCharType="begin"/>
        </w:r>
        <w:r>
          <w:instrText xml:space="preserve"> PAGEREF _Toc256000013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14" w:history="1">
        <w:r>
          <w:rPr>
            <w:rStyle w:val="Hyperlink"/>
            <w:shd w:val="clear" w:color="auto" w:fill="auto"/>
          </w:rPr>
          <w:t>C2. Cost Sharing or Matching</w:t>
        </w:r>
        <w:r>
          <w:tab/>
        </w:r>
        <w:r>
          <w:fldChar w:fldCharType="begin"/>
        </w:r>
        <w:r>
          <w:instrText xml:space="preserve"> PAGEREF _Toc256000014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15" w:history="1">
        <w:r>
          <w:rPr>
            <w:rStyle w:val="Hyperlink"/>
            <w:shd w:val="clear" w:color="auto" w:fill="auto"/>
          </w:rPr>
          <w:t>C3. Other</w:t>
        </w:r>
        <w:r>
          <w:tab/>
        </w:r>
        <w:r>
          <w:fldChar w:fldCharType="begin"/>
        </w:r>
        <w:r>
          <w:instrText xml:space="preserve"> PAGEREF _Toc256000015 \h </w:instrText>
        </w:r>
        <w:r>
          <w:fldChar w:fldCharType="separate"/>
        </w:r>
        <w:r>
          <w:t>5</w:t>
        </w:r>
        <w:r>
          <w:fldChar w:fldCharType="end"/>
        </w:r>
      </w:hyperlink>
    </w:p>
    <w:p>
      <w:pPr>
        <w:pStyle w:val="TOC1"/>
        <w:tabs>
          <w:tab w:val="right" w:leader="dot" w:pos="9350"/>
        </w:tabs>
        <w:rPr>
          <w:rFonts w:asciiTheme="minorHAnsi" w:hAnsiTheme="minorHAnsi"/>
          <w:noProof/>
          <w:sz w:val="22"/>
        </w:rPr>
      </w:pPr>
      <w:hyperlink w:anchor="_Toc256000016" w:history="1">
        <w:r>
          <w:rPr>
            <w:rStyle w:val="Hyperlink"/>
            <w:kern w:val="0"/>
            <w:shd w:val="clear" w:color="auto" w:fill="auto"/>
          </w:rPr>
          <w:t>D. Application and Submission Information</w:t>
        </w:r>
        <w:r>
          <w:tab/>
        </w:r>
        <w:r>
          <w:fldChar w:fldCharType="begin"/>
        </w:r>
        <w:r>
          <w:instrText xml:space="preserve"> PAGEREF _Toc256000016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17" w:history="1">
        <w:r>
          <w:rPr>
            <w:rStyle w:val="Hyperlink"/>
            <w:shd w:val="clear" w:color="auto" w:fill="auto"/>
          </w:rPr>
          <w:t>D1. Address to Request Application Package</w:t>
        </w:r>
        <w:r>
          <w:tab/>
        </w:r>
        <w:r>
          <w:fldChar w:fldCharType="begin"/>
        </w:r>
        <w:r>
          <w:instrText xml:space="preserve"> PAGEREF _Toc256000017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18" w:history="1">
        <w:r>
          <w:rPr>
            <w:rStyle w:val="Hyperlink"/>
            <w:shd w:val="clear" w:color="auto" w:fill="auto"/>
          </w:rPr>
          <w:t>D2. Content and Form of Application Submission</w:t>
        </w:r>
        <w:r>
          <w:tab/>
        </w:r>
        <w:r>
          <w:fldChar w:fldCharType="begin"/>
        </w:r>
        <w:r>
          <w:instrText xml:space="preserve"> PAGEREF _Toc256000018 \h </w:instrText>
        </w:r>
        <w:r>
          <w:fldChar w:fldCharType="separate"/>
        </w:r>
        <w:r>
          <w:t>6</w:t>
        </w:r>
        <w:r>
          <w:fldChar w:fldCharType="end"/>
        </w:r>
      </w:hyperlink>
    </w:p>
    <w:p>
      <w:pPr>
        <w:pStyle w:val="TOC2"/>
        <w:tabs>
          <w:tab w:val="right" w:leader="dot" w:pos="9350"/>
        </w:tabs>
        <w:rPr>
          <w:rFonts w:asciiTheme="minorHAnsi" w:hAnsiTheme="minorHAnsi"/>
          <w:noProof/>
          <w:sz w:val="22"/>
        </w:rPr>
      </w:pPr>
      <w:hyperlink w:anchor="_Toc256000019" w:history="1">
        <w:r>
          <w:rPr>
            <w:rStyle w:val="Hyperlink"/>
            <w:shd w:val="clear" w:color="auto" w:fill="auto"/>
          </w:rPr>
          <w:t>D3. Unique Entity Identifier and System for Award Management (SAM)</w:t>
        </w:r>
        <w:r>
          <w:tab/>
        </w:r>
        <w:r>
          <w:fldChar w:fldCharType="begin"/>
        </w:r>
        <w:r>
          <w:instrText xml:space="preserve"> PAGEREF _Toc256000019 \h </w:instrText>
        </w:r>
        <w:r>
          <w:fldChar w:fldCharType="separate"/>
        </w:r>
        <w:r>
          <w:t>10</w:t>
        </w:r>
        <w:r>
          <w:fldChar w:fldCharType="end"/>
        </w:r>
      </w:hyperlink>
    </w:p>
    <w:p>
      <w:pPr>
        <w:pStyle w:val="TOC2"/>
        <w:tabs>
          <w:tab w:val="right" w:leader="dot" w:pos="9350"/>
        </w:tabs>
        <w:rPr>
          <w:rFonts w:asciiTheme="minorHAnsi" w:hAnsiTheme="minorHAnsi"/>
          <w:noProof/>
          <w:sz w:val="22"/>
        </w:rPr>
      </w:pPr>
      <w:hyperlink w:anchor="_Toc256000020" w:history="1">
        <w:r>
          <w:rPr>
            <w:rStyle w:val="Hyperlink"/>
            <w:shd w:val="clear" w:color="auto" w:fill="auto"/>
          </w:rPr>
          <w:t>D4. Submission Dates and Times</w:t>
        </w:r>
        <w:r>
          <w:tab/>
        </w:r>
        <w:r>
          <w:fldChar w:fldCharType="begin"/>
        </w:r>
        <w:r>
          <w:instrText xml:space="preserve"> PAGEREF _Toc256000020 \h </w:instrText>
        </w:r>
        <w:r>
          <w:fldChar w:fldCharType="separate"/>
        </w:r>
        <w:r>
          <w:t>11</w:t>
        </w:r>
        <w:r>
          <w:fldChar w:fldCharType="end"/>
        </w:r>
      </w:hyperlink>
    </w:p>
    <w:p>
      <w:pPr>
        <w:pStyle w:val="TOC2"/>
        <w:tabs>
          <w:tab w:val="right" w:leader="dot" w:pos="9350"/>
        </w:tabs>
        <w:rPr>
          <w:rFonts w:asciiTheme="minorHAnsi" w:hAnsiTheme="minorHAnsi"/>
          <w:noProof/>
          <w:sz w:val="22"/>
        </w:rPr>
      </w:pPr>
      <w:hyperlink w:anchor="_Toc256000021" w:history="1">
        <w:r>
          <w:rPr>
            <w:rStyle w:val="Hyperlink"/>
            <w:shd w:val="clear" w:color="auto" w:fill="auto"/>
          </w:rPr>
          <w:t>D5. Intergovernmental Review</w:t>
        </w:r>
        <w:r>
          <w:tab/>
        </w:r>
        <w:r>
          <w:fldChar w:fldCharType="begin"/>
        </w:r>
        <w:r>
          <w:instrText xml:space="preserve"> PAGEREF _Toc256000021 \h </w:instrText>
        </w:r>
        <w:r>
          <w:fldChar w:fldCharType="separate"/>
        </w:r>
        <w:r>
          <w:t>11</w:t>
        </w:r>
        <w:r>
          <w:fldChar w:fldCharType="end"/>
        </w:r>
      </w:hyperlink>
    </w:p>
    <w:p>
      <w:pPr>
        <w:pStyle w:val="TOC2"/>
        <w:tabs>
          <w:tab w:val="right" w:leader="dot" w:pos="9350"/>
        </w:tabs>
        <w:rPr>
          <w:rFonts w:asciiTheme="minorHAnsi" w:hAnsiTheme="minorHAnsi"/>
          <w:noProof/>
          <w:sz w:val="22"/>
        </w:rPr>
      </w:pPr>
      <w:hyperlink w:anchor="_Toc256000022" w:history="1">
        <w:r>
          <w:rPr>
            <w:rStyle w:val="Hyperlink"/>
            <w:shd w:val="clear" w:color="auto" w:fill="auto"/>
          </w:rPr>
          <w:t>D6. Funding Restrictions</w:t>
        </w:r>
        <w:r>
          <w:tab/>
        </w:r>
        <w:r>
          <w:fldChar w:fldCharType="begin"/>
        </w:r>
        <w:r>
          <w:instrText xml:space="preserve"> PAGEREF _Toc256000022 \h </w:instrText>
        </w:r>
        <w:r>
          <w:fldChar w:fldCharType="separate"/>
        </w:r>
        <w:r>
          <w:t>11</w:t>
        </w:r>
        <w:r>
          <w:fldChar w:fldCharType="end"/>
        </w:r>
      </w:hyperlink>
    </w:p>
    <w:p>
      <w:pPr>
        <w:pStyle w:val="TOC2"/>
        <w:tabs>
          <w:tab w:val="right" w:leader="dot" w:pos="9350"/>
        </w:tabs>
        <w:rPr>
          <w:rFonts w:asciiTheme="minorHAnsi" w:hAnsiTheme="minorHAnsi"/>
          <w:noProof/>
          <w:sz w:val="22"/>
        </w:rPr>
      </w:pPr>
      <w:hyperlink w:anchor="_Toc256000023" w:history="1">
        <w:r>
          <w:rPr>
            <w:rStyle w:val="Hyperlink"/>
            <w:shd w:val="clear" w:color="auto" w:fill="auto"/>
          </w:rPr>
          <w:t>D7. Other Submission Requirements</w:t>
        </w:r>
        <w:r>
          <w:tab/>
        </w:r>
        <w:r>
          <w:fldChar w:fldCharType="begin"/>
        </w:r>
        <w:r>
          <w:instrText xml:space="preserve"> PAGEREF _Toc256000023 \h </w:instrText>
        </w:r>
        <w:r>
          <w:fldChar w:fldCharType="separate"/>
        </w:r>
        <w:r>
          <w:t>13</w:t>
        </w:r>
        <w:r>
          <w:fldChar w:fldCharType="end"/>
        </w:r>
      </w:hyperlink>
    </w:p>
    <w:p>
      <w:pPr>
        <w:pStyle w:val="TOC2"/>
        <w:tabs>
          <w:tab w:val="right" w:leader="dot" w:pos="9350"/>
        </w:tabs>
        <w:rPr>
          <w:rFonts w:asciiTheme="minorHAnsi" w:hAnsiTheme="minorHAnsi"/>
          <w:noProof/>
          <w:sz w:val="22"/>
        </w:rPr>
      </w:pPr>
      <w:hyperlink w:anchor="_Toc256000024" w:history="1">
        <w:r>
          <w:rPr>
            <w:rStyle w:val="Hyperlink"/>
            <w:shd w:val="clear" w:color="auto" w:fill="auto"/>
          </w:rPr>
          <w:t>D8. Application Checklist</w:t>
        </w:r>
        <w:r>
          <w:tab/>
        </w:r>
        <w:r>
          <w:fldChar w:fldCharType="begin"/>
        </w:r>
        <w:r>
          <w:instrText xml:space="preserve"> PAGEREF _Toc256000024 \h </w:instrText>
        </w:r>
        <w:r>
          <w:fldChar w:fldCharType="separate"/>
        </w:r>
        <w:r>
          <w:t>14</w:t>
        </w:r>
        <w:r>
          <w:fldChar w:fldCharType="end"/>
        </w:r>
      </w:hyperlink>
    </w:p>
    <w:p>
      <w:pPr>
        <w:pStyle w:val="TOC1"/>
        <w:tabs>
          <w:tab w:val="right" w:leader="dot" w:pos="9350"/>
        </w:tabs>
        <w:rPr>
          <w:rFonts w:asciiTheme="minorHAnsi" w:hAnsiTheme="minorHAnsi"/>
          <w:noProof/>
          <w:sz w:val="22"/>
        </w:rPr>
      </w:pPr>
      <w:hyperlink w:anchor="_Toc256000025" w:history="1">
        <w:r>
          <w:rPr>
            <w:rStyle w:val="Hyperlink"/>
            <w:kern w:val="0"/>
            <w:shd w:val="clear" w:color="auto" w:fill="auto"/>
          </w:rPr>
          <w:t>E. Application Review Information</w:t>
        </w:r>
        <w:r>
          <w:tab/>
        </w:r>
        <w:r>
          <w:fldChar w:fldCharType="begin"/>
        </w:r>
        <w:r>
          <w:instrText xml:space="preserve"> PAGEREF _Toc256000025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26" w:history="1">
        <w:r>
          <w:rPr>
            <w:rStyle w:val="Hyperlink"/>
            <w:shd w:val="clear" w:color="auto" w:fill="auto"/>
          </w:rPr>
          <w:t>E1. Criteria</w:t>
        </w:r>
        <w:r>
          <w:tab/>
        </w:r>
        <w:r>
          <w:fldChar w:fldCharType="begin"/>
        </w:r>
        <w:r>
          <w:instrText xml:space="preserve"> PAGEREF _Toc256000026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27" w:history="1">
        <w:r>
          <w:rPr>
            <w:rStyle w:val="Hyperlink"/>
            <w:shd w:val="clear" w:color="auto" w:fill="auto"/>
          </w:rPr>
          <w:t>E2. Review and Selection Process</w:t>
        </w:r>
        <w:r>
          <w:tab/>
        </w:r>
        <w:r>
          <w:fldChar w:fldCharType="begin"/>
        </w:r>
        <w:r>
          <w:instrText xml:space="preserve"> PAGEREF _Toc256000027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28" w:history="1">
        <w:r>
          <w:rPr>
            <w:rStyle w:val="Hyperlink"/>
            <w:shd w:val="clear" w:color="auto" w:fill="auto"/>
          </w:rPr>
          <w:t>E3. CFR - Regulatory Information</w:t>
        </w:r>
        <w:r>
          <w:tab/>
        </w:r>
        <w:r>
          <w:fldChar w:fldCharType="begin"/>
        </w:r>
        <w:r>
          <w:instrText xml:space="preserve"> PAGEREF _Toc256000028 \h </w:instrText>
        </w:r>
        <w:r>
          <w:fldChar w:fldCharType="separate"/>
        </w:r>
        <w:r>
          <w:t>16</w:t>
        </w:r>
        <w:r>
          <w:fldChar w:fldCharType="end"/>
        </w:r>
      </w:hyperlink>
    </w:p>
    <w:p>
      <w:pPr>
        <w:pStyle w:val="TOC2"/>
        <w:tabs>
          <w:tab w:val="right" w:leader="dot" w:pos="9350"/>
        </w:tabs>
        <w:rPr>
          <w:rFonts w:asciiTheme="minorHAnsi" w:hAnsiTheme="minorHAnsi"/>
          <w:noProof/>
          <w:sz w:val="22"/>
        </w:rPr>
      </w:pPr>
      <w:hyperlink w:anchor="_Toc256000029" w:history="1">
        <w:r>
          <w:rPr>
            <w:rStyle w:val="Hyperlink"/>
            <w:shd w:val="clear" w:color="auto" w:fill="auto"/>
          </w:rPr>
          <w:t>E4. Anticipated Announcement and Federal Award Dates</w:t>
        </w:r>
        <w:r>
          <w:tab/>
        </w:r>
        <w:r>
          <w:fldChar w:fldCharType="begin"/>
        </w:r>
        <w:r>
          <w:instrText xml:space="preserve"> PAGEREF _Toc256000029 \h </w:instrText>
        </w:r>
        <w:r>
          <w:fldChar w:fldCharType="separate"/>
        </w:r>
        <w:r>
          <w:t>16</w:t>
        </w:r>
        <w:r>
          <w:fldChar w:fldCharType="end"/>
        </w:r>
      </w:hyperlink>
    </w:p>
    <w:p>
      <w:pPr>
        <w:pStyle w:val="TOC1"/>
        <w:tabs>
          <w:tab w:val="right" w:leader="dot" w:pos="9350"/>
        </w:tabs>
        <w:rPr>
          <w:rFonts w:asciiTheme="minorHAnsi" w:hAnsiTheme="minorHAnsi"/>
          <w:noProof/>
          <w:sz w:val="22"/>
        </w:rPr>
      </w:pPr>
      <w:hyperlink w:anchor="_Toc256000030" w:history="1">
        <w:r>
          <w:rPr>
            <w:rStyle w:val="Hyperlink"/>
            <w:kern w:val="0"/>
            <w:shd w:val="clear" w:color="auto" w:fill="auto"/>
          </w:rPr>
          <w:t>F. Federal Award Administration Information</w:t>
        </w:r>
        <w:r>
          <w:tab/>
        </w:r>
        <w:r>
          <w:fldChar w:fldCharType="begin"/>
        </w:r>
        <w:r>
          <w:instrText xml:space="preserve"> PAGEREF _Toc256000030 \h </w:instrText>
        </w:r>
        <w:r>
          <w:fldChar w:fldCharType="separate"/>
        </w:r>
        <w:r>
          <w:t>16</w:t>
        </w:r>
        <w:r>
          <w:fldChar w:fldCharType="end"/>
        </w:r>
      </w:hyperlink>
    </w:p>
    <w:p>
      <w:pPr>
        <w:pStyle w:val="TOC2"/>
        <w:tabs>
          <w:tab w:val="right" w:leader="dot" w:pos="9350"/>
        </w:tabs>
        <w:rPr>
          <w:rFonts w:asciiTheme="minorHAnsi" w:hAnsiTheme="minorHAnsi"/>
          <w:noProof/>
          <w:sz w:val="22"/>
        </w:rPr>
      </w:pPr>
      <w:hyperlink w:anchor="_Toc256000031" w:history="1">
        <w:r>
          <w:rPr>
            <w:rStyle w:val="Hyperlink"/>
            <w:shd w:val="clear" w:color="auto" w:fill="auto"/>
          </w:rPr>
          <w:t>F1. Federal Award Notices</w:t>
        </w:r>
        <w:r>
          <w:tab/>
        </w:r>
        <w:r>
          <w:fldChar w:fldCharType="begin"/>
        </w:r>
        <w:r>
          <w:instrText xml:space="preserve"> PAGEREF _Toc256000031 \h </w:instrText>
        </w:r>
        <w:r>
          <w:fldChar w:fldCharType="separate"/>
        </w:r>
        <w:r>
          <w:t>16</w:t>
        </w:r>
        <w:r>
          <w:fldChar w:fldCharType="end"/>
        </w:r>
      </w:hyperlink>
    </w:p>
    <w:p>
      <w:pPr>
        <w:pStyle w:val="TOC2"/>
        <w:tabs>
          <w:tab w:val="right" w:leader="dot" w:pos="9350"/>
        </w:tabs>
        <w:rPr>
          <w:rFonts w:asciiTheme="minorHAnsi" w:hAnsiTheme="minorHAnsi"/>
          <w:noProof/>
          <w:sz w:val="22"/>
        </w:rPr>
      </w:pPr>
      <w:hyperlink w:anchor="_Toc256000032" w:history="1">
        <w:r>
          <w:rPr>
            <w:rStyle w:val="Hyperlink"/>
            <w:shd w:val="clear" w:color="auto" w:fill="auto"/>
          </w:rPr>
          <w:t>F2. Administrative and National Policy Requirements</w:t>
        </w:r>
        <w:r>
          <w:tab/>
        </w:r>
        <w:r>
          <w:fldChar w:fldCharType="begin"/>
        </w:r>
        <w:r>
          <w:instrText xml:space="preserve"> PAGEREF _Toc256000032 \h </w:instrText>
        </w:r>
        <w:r>
          <w:fldChar w:fldCharType="separate"/>
        </w:r>
        <w:r>
          <w:t>17</w:t>
        </w:r>
        <w:r>
          <w:fldChar w:fldCharType="end"/>
        </w:r>
      </w:hyperlink>
    </w:p>
    <w:p>
      <w:pPr>
        <w:pStyle w:val="TOC2"/>
        <w:tabs>
          <w:tab w:val="right" w:leader="dot" w:pos="9350"/>
        </w:tabs>
        <w:rPr>
          <w:rFonts w:asciiTheme="minorHAnsi" w:hAnsiTheme="minorHAnsi"/>
          <w:noProof/>
          <w:sz w:val="22"/>
        </w:rPr>
      </w:pPr>
      <w:hyperlink w:anchor="_Toc256000033" w:history="1">
        <w:r>
          <w:rPr>
            <w:rStyle w:val="Hyperlink"/>
            <w:shd w:val="clear" w:color="auto" w:fill="auto"/>
          </w:rPr>
          <w:t>F3. Reporting</w:t>
        </w:r>
        <w:r>
          <w:tab/>
        </w:r>
        <w:r>
          <w:fldChar w:fldCharType="begin"/>
        </w:r>
        <w:r>
          <w:instrText xml:space="preserve"> PAGEREF _Toc256000033 \h </w:instrText>
        </w:r>
        <w:r>
          <w:fldChar w:fldCharType="separate"/>
        </w:r>
        <w:r>
          <w:t>17</w:t>
        </w:r>
        <w:r>
          <w:fldChar w:fldCharType="end"/>
        </w:r>
      </w:hyperlink>
    </w:p>
    <w:p>
      <w:pPr>
        <w:pStyle w:val="TOC1"/>
        <w:tabs>
          <w:tab w:val="right" w:leader="dot" w:pos="9350"/>
        </w:tabs>
        <w:rPr>
          <w:rFonts w:asciiTheme="minorHAnsi" w:hAnsiTheme="minorHAnsi"/>
          <w:noProof/>
          <w:sz w:val="22"/>
        </w:rPr>
      </w:pPr>
      <w:hyperlink w:anchor="_Toc256000034" w:history="1">
        <w:r>
          <w:rPr>
            <w:rStyle w:val="Hyperlink"/>
            <w:kern w:val="0"/>
            <w:shd w:val="clear" w:color="auto" w:fill="auto"/>
          </w:rPr>
          <w:t>G. Federal Awarding Agency Contact(s)</w:t>
        </w:r>
        <w:r>
          <w:tab/>
        </w:r>
        <w:r>
          <w:fldChar w:fldCharType="begin"/>
        </w:r>
        <w:r>
          <w:instrText xml:space="preserve"> PAGEREF _Toc256000034 \h </w:instrText>
        </w:r>
        <w:r>
          <w:fldChar w:fldCharType="separate"/>
        </w:r>
        <w:r>
          <w:t>19</w:t>
        </w:r>
        <w:r>
          <w:fldChar w:fldCharType="end"/>
        </w:r>
      </w:hyperlink>
    </w:p>
    <w:p>
      <w:pPr>
        <w:pStyle w:val="TOC2"/>
        <w:tabs>
          <w:tab w:val="right" w:leader="dot" w:pos="9350"/>
        </w:tabs>
        <w:rPr>
          <w:rFonts w:asciiTheme="minorHAnsi" w:hAnsiTheme="minorHAnsi"/>
          <w:noProof/>
          <w:sz w:val="22"/>
        </w:rPr>
      </w:pPr>
      <w:hyperlink w:anchor="_Toc256000035" w:history="1">
        <w:r>
          <w:rPr>
            <w:rStyle w:val="Hyperlink"/>
            <w:shd w:val="clear" w:color="auto" w:fill="auto"/>
          </w:rPr>
          <w:t>G2. Administrative/Budget Questions Program Office Contact</w:t>
        </w:r>
        <w:r>
          <w:tab/>
        </w:r>
        <w:r>
          <w:fldChar w:fldCharType="begin"/>
        </w:r>
        <w:r>
          <w:instrText xml:space="preserve"> PAGEREF _Toc256000035 \h </w:instrText>
        </w:r>
        <w:r>
          <w:fldChar w:fldCharType="separate"/>
        </w:r>
        <w:r>
          <w:t>19</w:t>
        </w:r>
        <w:r>
          <w:fldChar w:fldCharType="end"/>
        </w:r>
      </w:hyperlink>
    </w:p>
    <w:p>
      <w:pPr>
        <w:pStyle w:val="TOC2"/>
        <w:tabs>
          <w:tab w:val="right" w:leader="dot" w:pos="9350"/>
        </w:tabs>
        <w:rPr>
          <w:rFonts w:asciiTheme="minorHAnsi" w:hAnsiTheme="minorHAnsi"/>
          <w:noProof/>
          <w:sz w:val="22"/>
        </w:rPr>
      </w:pPr>
      <w:hyperlink w:anchor="_Toc256000036" w:history="1">
        <w:r>
          <w:rPr>
            <w:rStyle w:val="Hyperlink"/>
            <w:shd w:val="clear" w:color="auto" w:fill="auto"/>
          </w:rPr>
          <w:t>G3. Grants Staff Contact</w:t>
        </w:r>
        <w:r>
          <w:tab/>
        </w:r>
        <w:r>
          <w:fldChar w:fldCharType="begin"/>
        </w:r>
        <w:r>
          <w:instrText xml:space="preserve"> PAGEREF _Toc256000036 \h </w:instrText>
        </w:r>
        <w:r>
          <w:fldChar w:fldCharType="separate"/>
        </w:r>
        <w:r>
          <w:t>20</w:t>
        </w:r>
        <w:r>
          <w:fldChar w:fldCharType="end"/>
        </w:r>
      </w:hyperlink>
    </w:p>
    <w:p>
      <w:pPr>
        <w:pStyle w:val="TOC2"/>
        <w:tabs>
          <w:tab w:val="right" w:leader="dot" w:pos="9350"/>
        </w:tabs>
        <w:rPr>
          <w:rFonts w:asciiTheme="minorHAnsi" w:hAnsiTheme="minorHAnsi"/>
          <w:noProof/>
          <w:sz w:val="22"/>
        </w:rPr>
      </w:pPr>
      <w:hyperlink w:anchor="_Toc256000037" w:history="1">
        <w:r>
          <w:rPr>
            <w:rStyle w:val="Hyperlink"/>
            <w:shd w:val="clear" w:color="auto" w:fill="auto"/>
          </w:rPr>
          <w:t>G4. Technical Support</w:t>
        </w:r>
        <w:r>
          <w:tab/>
        </w:r>
        <w:r>
          <w:fldChar w:fldCharType="begin"/>
        </w:r>
        <w:r>
          <w:instrText xml:space="preserve"> PAGEREF _Toc256000037 \h </w:instrText>
        </w:r>
        <w:r>
          <w:fldChar w:fldCharType="separate"/>
        </w:r>
        <w:r>
          <w:t>20</w:t>
        </w:r>
        <w:r>
          <w:fldChar w:fldCharType="end"/>
        </w:r>
      </w:hyperlink>
    </w:p>
    <w:p>
      <w:pPr>
        <w:pStyle w:val="TOC1"/>
        <w:tabs>
          <w:tab w:val="right" w:leader="dot" w:pos="9350"/>
        </w:tabs>
        <w:rPr>
          <w:rFonts w:asciiTheme="minorHAnsi" w:hAnsiTheme="minorHAnsi"/>
          <w:noProof/>
          <w:sz w:val="22"/>
        </w:rPr>
      </w:pPr>
      <w:hyperlink w:anchor="_Toc256000038" w:history="1">
        <w:r>
          <w:rPr>
            <w:rStyle w:val="Hyperlink"/>
            <w:kern w:val="0"/>
            <w:shd w:val="clear" w:color="auto" w:fill="auto"/>
          </w:rPr>
          <w:t>H. Other Information</w:t>
        </w:r>
        <w:r>
          <w:tab/>
        </w:r>
        <w:r>
          <w:fldChar w:fldCharType="begin"/>
        </w:r>
        <w:r>
          <w:instrText xml:space="preserve"> PAGEREF _Toc256000038 \h </w:instrText>
        </w:r>
        <w:r>
          <w:fldChar w:fldCharType="separate"/>
        </w:r>
        <w:r>
          <w:t>20</w:t>
        </w:r>
        <w:r>
          <w:fldChar w:fldCharType="end"/>
        </w:r>
      </w:hyperlink>
    </w:p>
    <w:p w:rsidP="00470374">
      <w:pPr>
        <w:pStyle w:val="MainHeading"/>
        <w:keepLines w:val="0"/>
        <w:spacing w:before="200" w:after="80"/>
        <w:ind w:left="0"/>
        <w:jc w:val="left"/>
        <w:rPr>
          <w:rFonts w:ascii="Times New Roman" w:eastAsia="Times New Roman" w:hAnsi="Times New Roman" w:cs="Times New Roman"/>
          <w:b/>
          <w:color w:val="000000"/>
          <w:sz w:val="32"/>
        </w:rPr>
      </w:pPr>
      <w:r>
        <w:rPr>
          <w:rFonts w:ascii="Times New Roman" w:eastAsia="Times New Roman" w:hAnsi="Times New Roman" w:cs="Times New Roman"/>
          <w:b/>
          <w:color w:val="000000"/>
          <w:sz w:val="32"/>
        </w:rPr>
        <w:fldChar w:fldCharType="end"/>
      </w:r>
      <w:r>
        <w:rPr>
          <w:rFonts w:ascii="Times New Roman" w:eastAsia="Times New Roman" w:hAnsi="Times New Roman" w:cs="Times New Roman"/>
          <w:b/>
          <w:color w:val="000000"/>
          <w:sz w:val="32"/>
        </w:rPr>
        <w:br/>
      </w:r>
    </w:p>
    <w:p>
      <w:pPr>
        <w:pStyle w:val="h1Heading1"/>
        <w:widowControl/>
        <w:spacing w:before="0" w:after="161"/>
        <w:ind w:left="45" w:right="45"/>
        <w:outlineLvl w:val="9"/>
        <w:rPr>
          <w:b/>
          <w:bCs/>
          <w:szCs w:val="24"/>
        </w:rPr>
      </w:pPr>
      <w:bookmarkStart w:id="0" w:name="_Toc256000000"/>
      <w:r>
        <w:rPr>
          <w:color w:val="000000"/>
          <w:kern w:val="0"/>
          <w:shd w:val="clear" w:color="auto" w:fill="auto"/>
        </w:rPr>
        <w:t>A. Program Description</w:t>
      </w:r>
      <w:bookmarkEnd w:id="0"/>
    </w:p>
    <w:p w:rsidP="00470374">
      <w:pPr>
        <w:keepLines w:val="0"/>
        <w:spacing w:before="200" w:after="8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This section contains the full program description of the funding opportunity. It may be as long as needed to adequately communicate to potential applicants the areas in which funding may be provided. It describes the Bureau’s funding priorities or the technical or focus areas in which the Bureau intends to provide assistance. As appropriate, it may include any program history (e.g., whether this is a new program or a changed area of program emphasis). This section may communicate indicators of successful projects (e.g., if the program encourages collaborative efforts) and may include examples of projects that have been funded previously. This section also may include other information the Bureau deems necessary, and must at a minimum include citations for authorizing statutes and regulations for the funding opportunity.</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1" w:name="_Toc256000001"/>
      <w:r>
        <w:rPr>
          <w:iCs w:val="0"/>
          <w:color w:val="000000"/>
          <w:shd w:val="clear" w:color="auto" w:fill="auto"/>
        </w:rPr>
        <w:t>A1. Authority</w:t>
      </w:r>
      <w:bookmarkEnd w:id="1"/>
    </w:p>
    <w:p w:rsidP="00470374">
      <w:pPr>
        <w:keepLines w:val="0"/>
        <w:spacing w:before="200" w:after="8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Please add the statutory and/or appropriations citation that provides the legal authority for the program and funding here.</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The Outer Continental Shelf Lands Act at 43 USC §1345(e) authorizes BOEM to enter into cooperative</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agreements with States affected by energy development on the Outer Continental Shelf for purposes</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including the joint utilization of available expertise, the facilitating of permitting procedures,</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joint planning and review, and the formation of joint surveillance and monitoring arrangements to</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carry out applicable Federal and State laws, regulations, and stipulations relevant to Outer</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Continental Shelf operations.</w:t>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t xml:space="preserve"> </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 w:name="_Toc256000002"/>
      <w:r>
        <w:rPr>
          <w:iCs w:val="0"/>
          <w:color w:val="000000"/>
          <w:shd w:val="clear" w:color="auto" w:fill="auto"/>
        </w:rPr>
        <w:t>A2. Background, Purpose and Program Requirements</w:t>
      </w:r>
      <w:bookmarkEnd w:id="2"/>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Please add any program specific text into the text field below. The program authorization or appropriation is often a good source of language for the purpose. Provide comprehensive, detailed background of project. Maximum of 5 pages. Describe program requirements in 8–10 pages, maximum of 25 pages.</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BACKGROUND</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Information will be gathered using digital acoustic recording tags on the relationship between behavioral state and vocalization features and patterns exhibited by tagged animals.</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Additionally, the context of the animal’s behavior will be sampled (e.g., feeding vs migrating whales, mother-calf pairs) as acoustic behavior can be context-specific. Lastly, the vast amounts of data that have been collected over the decades and continues to be collected every year needs to be considered in NARW conservation and management.</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STUDY OBJECTIVES</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The overall goal of this cooperative agreement is to observe and describe acoustic behavior of NARW</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where significant data gaps in call rates exist and convey information about the context in which the acoustic behaviors are observed.</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STATEMENT OF WORK</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Using digital acoustic recording tags, BOEM requires gathering information on the relationship between behavioral state and vocalization features and patterns exhibited by the animal.</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It is important to sample the context of their behavior (e.g., feeding vs migrating whales, mother-calf pairs) as it can dramatically affect acoustic behavior. Lastly, the vast amounts of data that have been collected over the decades and continues to be collected every year needs to be brought to bear on issues of NARW conservation and management.</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The expertise sought out requires</w:t>
      </w:r>
      <w:r>
        <w:rPr>
          <w:rFonts w:ascii="Times New Roman" w:eastAsia="Times New Roman" w:hAnsi="Times New Roman" w:cs="Times New Roman"/>
          <w:b w:val="0"/>
          <w:i w:val="0"/>
          <w:strike w:val="0"/>
          <w:vanish w:val="0"/>
          <w:color w:val="000000"/>
          <w:sz w:val="24"/>
          <w:szCs w:val="24"/>
          <w:u w:val="none"/>
          <w:shd w:val="clear" w:color="auto" w:fill="FFFFFF"/>
        </w:rPr>
        <w:t xml:space="preserve"> a) synthesis of right whale acoustic data (i.e., tags, PAM, arrays); b) analysis of acoustic occurrence of NARW and oceanographic covariates (e.g., primary production, frontal eddies);</w:t>
      </w:r>
      <w:r>
        <w:rPr>
          <w:rFonts w:ascii="Times New Roman" w:eastAsia="Times New Roman" w:hAnsi="Times New Roman" w:cs="Times New Roman"/>
          <w:b w:val="0"/>
          <w:i w:val="0"/>
          <w:strike w:val="0"/>
          <w:vanish w:val="0"/>
          <w:color w:val="000000"/>
          <w:sz w:val="24"/>
          <w:szCs w:val="24"/>
          <w:u w:val="none"/>
          <w:shd w:val="clear" w:color="auto" w:fill="FFFFFF"/>
        </w:rPr>
        <w:t xml:space="preserve"> </w:t>
      </w:r>
      <w:r>
        <w:rPr>
          <w:rFonts w:ascii="Times New Roman" w:eastAsia="Times New Roman" w:hAnsi="Times New Roman" w:cs="Times New Roman"/>
          <w:b w:val="0"/>
          <w:i w:val="0"/>
          <w:strike w:val="0"/>
          <w:vanish w:val="0"/>
          <w:color w:val="000000"/>
          <w:sz w:val="24"/>
          <w:szCs w:val="24"/>
          <w:u w:val="none"/>
          <w:shd w:val="clear" w:color="auto" w:fill="FFFFFF"/>
        </w:rPr>
        <w:t xml:space="preserve"> c) analysis of range wide acoustic cue rates, including behavioral context where available (e.g., feeding, migrating);</w:t>
      </w:r>
      <w:r>
        <w:rPr>
          <w:rFonts w:ascii="Times New Roman" w:eastAsia="Times New Roman" w:hAnsi="Times New Roman" w:cs="Times New Roman"/>
          <w:b w:val="0"/>
          <w:i w:val="0"/>
          <w:strike w:val="0"/>
          <w:vanish w:val="0"/>
          <w:color w:val="000000"/>
          <w:sz w:val="24"/>
          <w:szCs w:val="24"/>
          <w:u w:val="none"/>
          <w:shd w:val="clear" w:color="auto" w:fill="FFFFFF"/>
        </w:rPr>
        <w:t xml:space="preserve"> </w:t>
      </w:r>
      <w:r>
        <w:rPr>
          <w:rFonts w:ascii="Times New Roman" w:eastAsia="Times New Roman" w:hAnsi="Times New Roman" w:cs="Times New Roman"/>
          <w:b w:val="0"/>
          <w:i w:val="0"/>
          <w:strike w:val="0"/>
          <w:vanish w:val="0"/>
          <w:color w:val="000000"/>
          <w:sz w:val="24"/>
          <w:szCs w:val="24"/>
          <w:u w:val="none"/>
          <w:shd w:val="clear" w:color="auto" w:fill="FFFFFF"/>
        </w:rPr>
        <w:t xml:space="preserve"> d) identification of additional needs </w:t>
      </w:r>
      <w:r>
        <w:rPr>
          <w:rFonts w:ascii="Times New Roman" w:eastAsia="Times New Roman" w:hAnsi="Times New Roman" w:cs="Times New Roman"/>
          <w:b w:val="0"/>
          <w:i/>
          <w:iCs/>
          <w:strike w:val="0"/>
          <w:vanish w:val="0"/>
          <w:color w:val="000000"/>
          <w:sz w:val="24"/>
          <w:szCs w:val="24"/>
          <w:u w:val="none"/>
          <w:shd w:val="clear" w:color="auto" w:fill="FFFFFF"/>
        </w:rPr>
        <w:t>vis à vis</w:t>
      </w:r>
      <w:r>
        <w:rPr>
          <w:rFonts w:ascii="Times New Roman" w:eastAsia="Times New Roman" w:hAnsi="Times New Roman" w:cs="Times New Roman"/>
          <w:b w:val="0"/>
          <w:i w:val="0"/>
          <w:strike w:val="0"/>
          <w:vanish w:val="0"/>
          <w:color w:val="000000"/>
          <w:sz w:val="24"/>
          <w:szCs w:val="24"/>
          <w:u w:val="none"/>
          <w:shd w:val="clear" w:color="auto" w:fill="FFFFFF"/>
        </w:rPr>
        <w:t xml:space="preserve"> NARW acoustics; e) field acoustic sampling of NARW, including tagging as well as mobile and moored PAM.</w:t>
      </w:r>
      <w:r>
        <w:rPr>
          <w:rFonts w:ascii="Times New Roman" w:eastAsia="Times New Roman" w:hAnsi="Times New Roman" w:cs="Times New Roman"/>
          <w:b w:val="0"/>
          <w:i w:val="0"/>
          <w:strike w:val="0"/>
          <w:vanish w:val="0"/>
          <w:color w:val="000000"/>
          <w:sz w:val="24"/>
          <w:szCs w:val="24"/>
          <w:u w:val="none"/>
          <w:shd w:val="clear" w:color="auto" w:fill="FFFFFF"/>
        </w:rPr>
        <w:t xml:space="preserve"> </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This research will include</w:t>
      </w:r>
    </w:p>
    <w:p w:rsidP="00470374">
      <w:pPr>
        <w:keepLines w:val="0"/>
        <w:numPr>
          <w:ilvl w:val="0"/>
          <w:numId w:val="20"/>
        </w:numPr>
        <w:spacing w:before="0" w:after="2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describing site-specific behavioral and acoustic ecology of NARW, particularly where significant data gaps exist.</w:t>
      </w:r>
      <w:r>
        <w:rPr>
          <w:rFonts w:ascii="Times New Roman" w:eastAsia="Times New Roman" w:hAnsi="Times New Roman" w:cs="Times New Roman"/>
          <w:b w:val="0"/>
          <w:i w:val="0"/>
          <w:strike w:val="0"/>
          <w:vanish w:val="0"/>
          <w:color w:val="000000"/>
          <w:sz w:val="24"/>
          <w:szCs w:val="24"/>
          <w:u w:val="none"/>
        </w:rPr>
        <w:t xml:space="preserve"> </w:t>
      </w:r>
    </w:p>
    <w:p w:rsidP="00470374">
      <w:pPr>
        <w:keepLines w:val="0"/>
        <w:numPr>
          <w:ilvl w:val="0"/>
          <w:numId w:val="20"/>
        </w:numPr>
        <w:spacing w:before="20" w:after="2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describing the acoustic, behavioral, and foraging ecology of NARW. (Basically, what sounds animals make when they are exhibiting different behaviors).</w:t>
      </w:r>
    </w:p>
    <w:p w:rsidP="00470374">
      <w:pPr>
        <w:keepLines w:val="0"/>
        <w:numPr>
          <w:ilvl w:val="0"/>
          <w:numId w:val="20"/>
        </w:numPr>
        <w:spacing w:before="20" w:after="2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Updating species distribution models completed by Duke University as part of the Cetmap project with newly gained uncertainty analysis for planning and mitigation design. (This tells us how certain we are that an animal will be in a particular place or viewed during a survey and is based on several years of Duke efforts)</w:t>
      </w:r>
    </w:p>
    <w:p w:rsidP="00470374">
      <w:pPr>
        <w:keepLines w:val="0"/>
        <w:numPr>
          <w:ilvl w:val="0"/>
          <w:numId w:val="20"/>
        </w:numPr>
        <w:spacing w:before="20" w:after="15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Verify and/or establish cue rates to inform accurate density modeling, previously conducted by Duke University applicable to BOEM programs and regions for impact analysis.</w:t>
      </w:r>
      <w:r>
        <w:rPr>
          <w:rFonts w:ascii="Times New Roman" w:eastAsia="Times New Roman" w:hAnsi="Times New Roman" w:cs="Times New Roman"/>
          <w:b w:val="0"/>
          <w:i w:val="0"/>
          <w:strike w:val="0"/>
          <w:vanish w:val="0"/>
          <w:color w:val="000000"/>
          <w:sz w:val="24"/>
          <w:szCs w:val="24"/>
          <w:u w:val="none"/>
        </w:rPr>
        <w:t xml:space="preserve"> </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The various streams of data will be collated, integrated, and analyzed.</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The resulting data products will be interpreted to inform management decisions regarding impacts to NARW because of BOEM-permitted offshore wind development activities in waters inshore and offshore of the Atlantic coast. A 24-month project timeframe, commencing on the date of award, is anticipated to cost </w:t>
      </w:r>
      <w:commentRangeStart w:id="3"/>
      <w:r>
        <w:rPr>
          <w:rFonts w:ascii="Times New Roman" w:eastAsia="Times New Roman" w:hAnsi="Times New Roman" w:cs="Times New Roman"/>
          <w:b w:val="0"/>
          <w:i w:val="0"/>
          <w:strike w:val="0"/>
          <w:vanish w:val="0"/>
          <w:color w:val="000000"/>
          <w:sz w:val="24"/>
          <w:szCs w:val="24"/>
          <w:u w:val="none"/>
        </w:rPr>
        <w:t>$700,000</w:t>
      </w:r>
      <w:commentRangeEnd w:id="3"/>
      <w:r>
        <w:rPr>
          <w:rStyle w:val="CommentReference"/>
        </w:rPr>
        <w:commentReference w:id="3"/>
      </w:r>
      <w:r>
        <w:rPr>
          <w:rFonts w:ascii="Times New Roman" w:eastAsia="Times New Roman" w:hAnsi="Times New Roman" w:cs="Times New Roman"/>
          <w:b w:val="0"/>
          <w:i w:val="0"/>
          <w:strike w:val="0"/>
          <w:vanish w:val="0"/>
          <w:color w:val="000000"/>
          <w:sz w:val="24"/>
          <w:szCs w:val="24"/>
          <w:u w:val="none"/>
        </w:rPr>
        <w:t xml:space="preserve"> to accomplish the objectives listed above and the tasks described below. This amount includes preparing a research design, logistics, communications, administration, project management, data collation, integration, and analysis, as well as presenting the results, report writing and the submission of a co-authored peer-reviewed journal article, all of which are the responsibility of the Recipient.</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Catalog of Federal Domestic Assistance (CFDA) Number</w:t>
      </w:r>
    </w:p>
    <w:p w:rsidP="00470374">
      <w:pPr>
        <w:keepLines w:val="0"/>
        <w:spacing w:before="6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Insert program CFDA. Include multiple program numbers as applicable.</w:t>
      </w:r>
    </w:p>
    <w:p w:rsidP="00470374">
      <w:pPr>
        <w:pStyle w:val="div"/>
        <w:keepLines w:val="0"/>
        <w:spacing w:before="20" w:after="2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15.423</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Authorization Legislation</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Outer Continental Shelf Lands Act at 43 USC §1345(e).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The Outer Continental Shelf Lands Act at 43 USC §1345(e) authorizes BOEM to enter into cooperative agreements with States affected by energy development on the Outer Continental Shelf for purposes including the joint utilization of available expertise, the facilitating of permitting procedures, joint planning and review, and the formation of joint surveillance and monitoring arrangements to carry out applicable Federal and State laws, regulations, and stipulations relevant to Outer Continental Shelf operations.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 </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4" w:name="_Toc256000003"/>
      <w:r>
        <w:rPr>
          <w:iCs w:val="0"/>
          <w:color w:val="000000"/>
          <w:shd w:val="clear" w:color="auto" w:fill="auto"/>
        </w:rPr>
        <w:t>A3. Technical Assistance and Information for Prospective Applicants</w:t>
      </w:r>
      <w:bookmarkEnd w:id="4"/>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Include information on pre-conference calls, evaluation contracts, technical assistance contracts, webinars, data contracts.</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1Heading1"/>
        <w:widowControl/>
        <w:spacing w:before="161" w:after="161"/>
        <w:ind w:left="45" w:right="45"/>
        <w:outlineLvl w:val="9"/>
        <w:rPr>
          <w:b/>
          <w:bCs/>
          <w:szCs w:val="24"/>
        </w:rPr>
      </w:pPr>
      <w:bookmarkStart w:id="5" w:name="_Toc256000004"/>
      <w:r>
        <w:rPr>
          <w:color w:val="000000"/>
          <w:kern w:val="0"/>
          <w:shd w:val="clear" w:color="auto" w:fill="auto"/>
        </w:rPr>
        <w:t>B. Federal Award Information</w:t>
      </w:r>
      <w:bookmarkEnd w:id="5"/>
    </w:p>
    <w:p w:rsidP="00470374">
      <w:pPr>
        <w:keepLines w:val="0"/>
        <w:spacing w:before="120" w:after="6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This section provides sufficient information to help an applicant make an informed decision about whether to submit a proposal. Relevant information could include the total amount of funding that the Bureau expects to award through the Notice of Funding Opportunity; the anticipated number of Federal awards; the expected amounts of individual Federal awards (which may be a range); the amount of funding per Federal award, on average, experienced in previous years; and the anticipated start dates and periods of performance for new Federal awards. This section also should address whether applications for renewal or supplementation of existing projects are eligible to compete with applications for new Federal awards.</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6" w:name="_Toc256000005"/>
      <w:r>
        <w:rPr>
          <w:iCs w:val="0"/>
          <w:color w:val="000000"/>
          <w:shd w:val="clear" w:color="auto" w:fill="auto"/>
        </w:rPr>
        <w:t>B1. Total Funding</w:t>
      </w:r>
      <w:bookmarkEnd w:id="6"/>
      <w:r>
        <w:rPr>
          <w:iCs w:val="0"/>
          <w:color w:val="000000"/>
          <w:shd w:val="clear" w:color="auto" w:fill="auto"/>
        </w:rPr>
        <w:t xml:space="preserve">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Estimated Total Funding</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$850,000</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This section should specify the amount authorized for the entire program, not individual awards. Sample Text: 'The total amount of federal funds available is anticipated to be $32,000,000.'</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7" w:name="_Toc256000006"/>
      <w:r>
        <w:rPr>
          <w:iCs w:val="0"/>
          <w:color w:val="000000"/>
          <w:shd w:val="clear" w:color="auto" w:fill="auto"/>
        </w:rPr>
        <w:t>B2. Expected Award Amount</w:t>
      </w:r>
      <w:bookmarkEnd w:id="7"/>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Maximum Award Amount</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$850,000</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Minimum Award Amount</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$800,000</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If Minimum/Maximum Award Amounts do not apply, mark as 0$ and add a thorough explanation in the text field below.</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8" w:name="_Toc256000007"/>
      <w:r>
        <w:rPr>
          <w:iCs w:val="0"/>
          <w:color w:val="000000"/>
          <w:shd w:val="clear" w:color="auto" w:fill="auto"/>
        </w:rPr>
        <w:t>B3. Anticipated Dates</w:t>
      </w:r>
      <w:bookmarkEnd w:id="8"/>
      <w:r>
        <w:rPr>
          <w:iCs w:val="0"/>
          <w:color w:val="000000"/>
          <w:shd w:val="clear" w:color="auto" w:fill="auto"/>
        </w:rPr>
        <w:t xml:space="preserve">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Award Start Date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August 30, 2023</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Provide award date and specify any rolling deadlines.</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9" w:name="_Toc256000008"/>
      <w:r>
        <w:rPr>
          <w:iCs w:val="0"/>
          <w:color w:val="000000"/>
          <w:shd w:val="clear" w:color="auto" w:fill="auto"/>
        </w:rPr>
        <w:t>B4. Period of Performance</w:t>
      </w:r>
      <w:bookmarkEnd w:id="9"/>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As applicable, describe the anticipated periods of performance for awards issued through this funding opportunity</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Length of Project Periods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24-month project period with two 12-month budget periods</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Length of Project Period Explanation of Other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Project Period l Expectation Duration in Months</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24</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For multi-year projects, outline multi-year project period and funding structure. (i.e. total amount of money allocated each year and how it will be provided.)</w:t>
      </w:r>
      <w:r>
        <w:rPr>
          <w:rFonts w:ascii="Times New Roman" w:eastAsia="Times New Roman" w:hAnsi="Times New Roman" w:cs="Times New Roman"/>
          <w:b w:val="0"/>
          <w:i w:val="0"/>
          <w:strike w:val="0"/>
          <w:vanish/>
          <w:color w:val="009745"/>
          <w:sz w:val="24"/>
          <w:u w:val="none"/>
        </w:rPr>
        <w:t xml:space="preserve"> </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10" w:name="_Toc256000009"/>
      <w:r>
        <w:rPr>
          <w:iCs w:val="0"/>
          <w:color w:val="000000"/>
          <w:shd w:val="clear" w:color="auto" w:fill="auto"/>
        </w:rPr>
        <w:t>B5. Numbers of Awards</w:t>
      </w:r>
      <w:bookmarkEnd w:id="10"/>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Enter number of awards the program anticipates making through this funding opportunity. If the program has established minimum and maximum values for the anticipated total number of awards, enter those values in the maximum and minimum fields below. If either of these values does not apply, enter “0” in the corresponding field(s) and then enter an alternate description of the anticipated number of awards in the following text field.</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Expected Number of Awards</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1</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11" w:name="_Toc256000010"/>
      <w:r>
        <w:rPr>
          <w:iCs w:val="0"/>
          <w:color w:val="000000"/>
          <w:shd w:val="clear" w:color="auto" w:fill="auto"/>
        </w:rPr>
        <w:t>B6. Type of Award</w:t>
      </w:r>
      <w:bookmarkEnd w:id="11"/>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Funding Instrument Type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CA - Cooperative Agreement</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12" w:name="_Toc256000011"/>
      <w:r>
        <w:rPr>
          <w:iCs w:val="0"/>
          <w:color w:val="000000"/>
          <w:shd w:val="clear" w:color="auto" w:fill="auto"/>
        </w:rPr>
        <w:t>B7. Other Federal Information</w:t>
      </w:r>
      <w:bookmarkEnd w:id="12"/>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Type of Competition</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Open to All Eligible Applicants</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1Heading1"/>
        <w:widowControl/>
        <w:spacing w:before="161" w:after="161"/>
        <w:ind w:left="45" w:right="45"/>
        <w:outlineLvl w:val="9"/>
        <w:rPr>
          <w:b/>
          <w:bCs/>
          <w:szCs w:val="24"/>
        </w:rPr>
      </w:pPr>
      <w:bookmarkStart w:id="13" w:name="_Toc256000012"/>
      <w:r>
        <w:rPr>
          <w:color w:val="000000"/>
          <w:kern w:val="0"/>
          <w:shd w:val="clear" w:color="auto" w:fill="auto"/>
        </w:rPr>
        <w:t>C. Eligibility Information</w:t>
      </w:r>
      <w:bookmarkEnd w:id="13"/>
    </w:p>
    <w:p w:rsidP="00470374">
      <w:pPr>
        <w:keepLines w:val="0"/>
        <w:spacing w:before="120" w:after="6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This section addresses the considerations or factors that determine applicant or application eligibility. If there are no restrictions on eligibility, select “99 (Unrestricted) from the list of eligible applicants. If there are restrictions on eligibility, we must be clear about the specific types of recipients that are eligible, not just the types that are ineligible. Eligible recipients must also appear in the program’s SAM.gov Assistance Listing (CFDA) profile. The Notice of Funding Opportunity should make clear whether an applicant's failure to meet an eligibility criterion by the time of an application deadline will result in the Bureau returning the application without review or, even though an application may be reviewed, will preclude Bureau from making a Federal award. *PLEASE NOTE: Some entities are incorporated as non-profits but have not requested Internal Revenue Status (IRS) tax exemption status; programs with authorizing legislation that limits applicant eligibility to only those non-profits with a specific tax exemption status must make that restriction clear in this section and describe any related evidentiary documentation requirements].</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14" w:name="_Toc256000013"/>
      <w:r>
        <w:rPr>
          <w:iCs w:val="0"/>
          <w:color w:val="000000"/>
          <w:shd w:val="clear" w:color="auto" w:fill="auto"/>
        </w:rPr>
        <w:t>C1. Eligible Applicants</w:t>
      </w:r>
      <w:bookmarkEnd w:id="14"/>
    </w:p>
    <w:p w:rsidP="00470374">
      <w:pPr>
        <w:keepLines w:val="0"/>
        <w:spacing w:before="120" w:after="6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If the program does not have any eligibility restrictions based on entity type, select the \\\"Anyone/general public” option in the following checklist. Enter any clarifying information in the following text box, as needed. If the program does have eligibility restrictions based on entity type, we must be clear about the specific types of entities who are eligible. To do so, check the boxes next to all eligible entity types in the following checklist and enter any clarifying information in the following text box, as needed. If there are restrictions on eligibility, it is important to be clear about the specific types of entities that are eligible, not just the types that are ineligible. For example, if the program is limited to nonprofit organizations subject to 26 U.S.C. 501(c)(3) of the tax code (26 U.S.C. 501(c)(3)), the announcement should say so. Similarly, it is better to state explicitly that Native American tribal organizations are eligible than to assume that they can unambiguously infer that from a statement that nonprofit organizations may apply. Programs may also express eligibility by exception (e.g., open to all types of domestic applicants other than individuals). Specifically reference any documentation applicants must submit to support an eligibility determination (e.g., if the program limits eligibility to only non-profits with a specific IRS status, state in the field below that proof of 501(c)(3) status as determined by the Internal Revenue Service or an authorizing tribal resolution is required). To the extent that any program funding restriction could affect the eligibility of an applicant or project, the announcement must either restate that restriction in this section or provide a cross-reference to its description as it appears elsewhere in this template.</w:t>
      </w:r>
    </w:p>
    <w:p w:rsidP="00470374">
      <w:pPr>
        <w:pStyle w:val="div"/>
        <w:keepLines w:val="0"/>
        <w:spacing w:before="20" w:after="2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25 – Others (see text field entitled “Additional Information on Eligibility” for clarification)</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Additional Information on Eligibility </w:t>
      </w:r>
    </w:p>
    <w:p w:rsidP="00470374">
      <w:pPr>
        <w:keepLines w:val="0"/>
        <w:spacing w:before="6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Explanation required if “Others” is selected.</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Single source Cooperative Agreement with Duke University.</w:t>
      </w:r>
      <w:r>
        <w:rPr>
          <w:rFonts w:ascii="Times New Roman" w:eastAsia="Times New Roman" w:hAnsi="Times New Roman" w:cs="Times New Roman"/>
          <w:b w:val="0"/>
          <w:i w:val="0"/>
          <w:strike w:val="0"/>
          <w:vanish w:val="0"/>
          <w:color w:val="000000"/>
          <w:sz w:val="24"/>
          <w:szCs w:val="24"/>
          <w:u w:val="none"/>
        </w:rPr>
        <w:t xml:space="preserve"> </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15" w:name="_Toc256000014"/>
      <w:r>
        <w:rPr>
          <w:iCs w:val="0"/>
          <w:color w:val="000000"/>
          <w:shd w:val="clear" w:color="auto" w:fill="auto"/>
        </w:rPr>
        <w:t>C2. Cost Sharing or Matching</w:t>
      </w:r>
      <w:bookmarkEnd w:id="15"/>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Notice of Funding Opportunities must state whether there is required cost sharing, matching, or cost participation without which an application would be ineligible (if cost sharing is not required, the Notice of Funding Opportunity must explicitly say so). All federal awards must have a statutory or regulatory basis to include a requirement for matching or cost sharing in a Notice of Funding Opportunity (NOFO). Required cost sharing may be a certain percentage or amount or may be in the form of contributions of specified items or activities (e.g., provision of equipment). It is important that the Notice of Funding Opportunity be clear about any restrictions on the types of cost (e.g., in-kind contributions) that are acceptable as cost sharing. Cost sharing as an eligibility criterion includes requirements based in statute or regulation as described in 2 CFR 200.306, §75.306 or those imposed by administrative decision of the Service. This section should refer to the appropriate portion(s) of Section D. stating any pre-award requirements for submission of letters or other documentation to verify commitments to meet cost-sharing requirements if a Federal award is made.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Cost Sharing/Matching Requirement</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Yes</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Percentage of Cost Sharing / Matching Requirement:</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100</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16" w:name="_Toc256000015"/>
      <w:r>
        <w:rPr>
          <w:iCs w:val="0"/>
          <w:color w:val="000000"/>
          <w:shd w:val="clear" w:color="auto" w:fill="auto"/>
        </w:rPr>
        <w:t>C3. Other</w:t>
      </w:r>
      <w:bookmarkEnd w:id="16"/>
      <w:r>
        <w:rPr>
          <w:iCs w:val="0"/>
          <w:color w:val="000000"/>
          <w:shd w:val="clear" w:color="auto" w:fill="auto"/>
        </w:rPr>
        <w:t xml:space="preserve">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Excluded Parties: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BOEM</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conducts a review of the SAM.gov Exclusions database for all applicant entities and their key project personnel prior to award. The Bureau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rsidP="00470374">
      <w:pPr>
        <w:keepLines w:val="0"/>
        <w:spacing w:before="6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Insert additional eligibility criteria.</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1Heading1"/>
        <w:widowControl/>
        <w:spacing w:before="161" w:after="161"/>
        <w:ind w:left="45" w:right="45"/>
        <w:outlineLvl w:val="9"/>
        <w:rPr>
          <w:b/>
          <w:bCs/>
          <w:szCs w:val="24"/>
        </w:rPr>
      </w:pPr>
      <w:bookmarkStart w:id="17" w:name="_Toc256000016"/>
      <w:r>
        <w:rPr>
          <w:color w:val="000000"/>
          <w:kern w:val="0"/>
          <w:shd w:val="clear" w:color="auto" w:fill="auto"/>
        </w:rPr>
        <w:t>D. Application and Submission Information</w:t>
      </w:r>
      <w:bookmarkEnd w:id="17"/>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18" w:name="_Toc256000017"/>
      <w:r>
        <w:rPr>
          <w:iCs w:val="0"/>
          <w:color w:val="000000"/>
          <w:shd w:val="clear" w:color="auto" w:fill="auto"/>
        </w:rPr>
        <w:t>D1. Address to Request Application Package</w:t>
      </w:r>
      <w:bookmarkEnd w:id="18"/>
    </w:p>
    <w:p w:rsidP="00470374">
      <w:pPr>
        <w:keepLines w:val="0"/>
        <w:spacing w:before="120" w:after="6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In the following text field, provide information for potential applicants on how to get application forms, kits, or other materials needed to apply. Specify if this Notice of Funding Opportunity contains everything needed or if applicants must go elsewhere to complete all documentation requirements</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The application must be submitted through the www.Grants.gov portal. The applicant can locate the application package by visiting the Grants.gov portal and searching on CFDA number 15.423 or Announcement Number M23AS00336 in the Grants.gov search engine. See sections D3 and D7 for more information on the application process.</w:t>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t xml:space="preserve"> </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19" w:name="_Toc256000018"/>
      <w:r>
        <w:rPr>
          <w:iCs w:val="0"/>
          <w:color w:val="000000"/>
          <w:shd w:val="clear" w:color="auto" w:fill="auto"/>
        </w:rPr>
        <w:t>D2. Content and Form of Application Submission</w:t>
      </w:r>
      <w:bookmarkEnd w:id="19"/>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SF-424, Application for Federal Assistance</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SF-424, Application for Federal Assistance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SF-424 Application for Federal Assistance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SF-424a Budget Information</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SF-424b Assurances – Non-Construction Programs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Project Narrative Form (including Proposal Cover Sheet described below)</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Budget Narrative Form</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Grants.gov Lobbying Form</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(Complete the Optional SF-LLL Lobbying form only if lobbying has occurred)</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 </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The following header will display if this checkbox is selected:</w:t>
      </w:r>
      <w:r>
        <w:rPr>
          <w:rFonts w:ascii="Times New Roman" w:eastAsia="Times New Roman" w:hAnsi="Times New Roman" w:cs="Times New Roman"/>
          <w:b w:val="0"/>
          <w:i w:val="0"/>
          <w:strike w:val="0"/>
          <w:vanish/>
          <w:color w:val="009745"/>
          <w:sz w:val="24"/>
          <w:u w:val="none"/>
        </w:rPr>
        <w:t xml:space="preserve"> </w:t>
      </w:r>
      <w:r>
        <w:rPr>
          <w:rFonts w:ascii="Times New Roman" w:eastAsia="Times New Roman" w:hAnsi="Times New Roman" w:cs="Times New Roman"/>
          <w:b/>
          <w:bCs/>
          <w:i w:val="0"/>
          <w:strike w:val="0"/>
          <w:vanish/>
          <w:color w:val="009745"/>
          <w:sz w:val="24"/>
          <w:u w:val="none"/>
        </w:rPr>
        <w:t>SF 424B, Assurances for Non-Construction Programs</w:t>
      </w:r>
      <w:r>
        <w:rPr>
          <w:rFonts w:ascii="Times New Roman" w:eastAsia="Times New Roman" w:hAnsi="Times New Roman" w:cs="Times New Roman"/>
          <w:b/>
          <w:bCs/>
          <w:i w:val="0"/>
          <w:strike w:val="0"/>
          <w:vanish/>
          <w:color w:val="009745"/>
          <w:sz w:val="24"/>
          <w:u w:val="none"/>
        </w:rPr>
        <w:t xml:space="preserve"> </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The following header will display if this checkbox is selected:</w:t>
      </w:r>
      <w:r>
        <w:rPr>
          <w:rFonts w:ascii="Times New Roman" w:eastAsia="Times New Roman" w:hAnsi="Times New Roman" w:cs="Times New Roman"/>
          <w:b w:val="0"/>
          <w:i w:val="0"/>
          <w:strike w:val="0"/>
          <w:vanish/>
          <w:color w:val="009745"/>
          <w:sz w:val="24"/>
          <w:u w:val="none"/>
        </w:rPr>
        <w:t xml:space="preserve"> </w:t>
      </w:r>
      <w:r>
        <w:rPr>
          <w:rFonts w:ascii="Times New Roman" w:eastAsia="Times New Roman" w:hAnsi="Times New Roman" w:cs="Times New Roman"/>
          <w:b/>
          <w:bCs/>
          <w:i w:val="0"/>
          <w:strike w:val="0"/>
          <w:vanish/>
          <w:color w:val="009745"/>
          <w:sz w:val="24"/>
          <w:u w:val="none"/>
        </w:rPr>
        <w:t>SF 424D, Assurances for Construction Programs</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Project Summary</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Addressing Key Information Gaps in Acoustic Ecology of North Atlantic Right Whales (National Studies List (NSL ) NT-23-01)</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Project Narrative</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The Project Narrative should include the Proposal Cover Sheet and Proposal Text:</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1. </w:t>
      </w:r>
      <w:r>
        <w:rPr>
          <w:rFonts w:ascii="Times New Roman" w:eastAsia="Times New Roman" w:hAnsi="Times New Roman" w:cs="Times New Roman"/>
          <w:b/>
          <w:bCs/>
          <w:i w:val="0"/>
          <w:strike w:val="0"/>
          <w:color w:val="000000"/>
          <w:sz w:val="24"/>
          <w:szCs w:val="24"/>
          <w:u w:val="none"/>
        </w:rPr>
        <w:t>Proposal Cover Sheet</w:t>
      </w:r>
      <w:r>
        <w:rPr>
          <w:rFonts w:ascii="Times New Roman" w:eastAsia="Times New Roman" w:hAnsi="Times New Roman" w:cs="Times New Roman"/>
          <w:b/>
          <w:bCs/>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The cover sheet of the proposal shall contain the following information:</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a.</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Project Title: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b.</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Principal Investigator(s):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i.</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Name: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ii.</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Address: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iii.</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Phone: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iv.</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Email:</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c.</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Name of State or University/Department:</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d.</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Contact Information for Technical and Administrative Negotiations: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e.</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Project Status: New/Continuation</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f.</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Project Duration: (years or months)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g.</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Proposed Start Date: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h.</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Proposed Draft Final Report Submission Date: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i.</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Proposed Completion Date: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j.</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Amount Requested From BOEM:</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k.</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Amount and Sources of Non-Federal Match (if applicable):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l.</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Total Project Cost:</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m.</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Signature, Name, and Contact Information of State or University PI and Co-Investigator:</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n.</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Proposal Endorsement, including Signature, Name, Contact Information of Sponsoring University Department Dean or Institute Director:</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o.</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Signature, Name and Contact Information of Sponsoring University's Office of Sponsored Programs.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2. </w:t>
      </w:r>
      <w:r>
        <w:rPr>
          <w:rFonts w:ascii="Times New Roman" w:eastAsia="Times New Roman" w:hAnsi="Times New Roman" w:cs="Times New Roman"/>
          <w:b/>
          <w:bCs/>
          <w:i w:val="0"/>
          <w:strike w:val="0"/>
          <w:color w:val="000000"/>
          <w:sz w:val="24"/>
          <w:szCs w:val="24"/>
          <w:u w:val="none"/>
        </w:rPr>
        <w:t>Proposal Text</w:t>
      </w:r>
      <w:r>
        <w:rPr>
          <w:rFonts w:ascii="Times New Roman" w:eastAsia="Times New Roman" w:hAnsi="Times New Roman" w:cs="Times New Roman"/>
          <w:b/>
          <w:bCs/>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The proposal must be in 11-12 point Times New Roman, Arial, or similar font with 1" page margins. Non-conforming proposals will not be considered. Text, figures, etc. in support of items a-i below should be no longer than 15 pages. Please include the following in the Proposal:</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a.</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Abstract</w:t>
      </w:r>
      <w:r>
        <w:rPr>
          <w:rFonts w:ascii="Times New Roman" w:eastAsia="Times New Roman" w:hAnsi="Times New Roman" w:cs="Times New Roman"/>
          <w:b w:val="0"/>
          <w:i w:val="0"/>
          <w:strike w:val="0"/>
          <w:color w:val="000000"/>
          <w:sz w:val="24"/>
          <w:szCs w:val="24"/>
          <w:u w:val="single"/>
        </w:rPr>
        <w:br/>
      </w:r>
      <w:r>
        <w:rPr>
          <w:rFonts w:ascii="Times New Roman" w:eastAsia="Times New Roman" w:hAnsi="Times New Roman" w:cs="Times New Roman"/>
          <w:b w:val="0"/>
          <w:i w:val="0"/>
          <w:strike w:val="0"/>
          <w:color w:val="000000"/>
          <w:sz w:val="24"/>
          <w:szCs w:val="24"/>
          <w:u w:val="none"/>
        </w:rPr>
        <w:t>b.</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Background/Relevance to BOEM Issues, Information Needs, and Research Topics</w:t>
      </w:r>
      <w:r>
        <w:rPr>
          <w:rFonts w:ascii="Times New Roman" w:eastAsia="Times New Roman" w:hAnsi="Times New Roman" w:cs="Times New Roman"/>
          <w:b w:val="0"/>
          <w:i w:val="0"/>
          <w:strike w:val="0"/>
          <w:color w:val="000000"/>
          <w:sz w:val="24"/>
          <w:szCs w:val="24"/>
          <w:u w:val="none"/>
        </w:rPr>
        <w:t>: Give a brief introduction to the research proposed. Explain why the work is important and how the proposal addresses BOEM goals. Provide a brief summary of findings or outcomes of any prior work you have completed in this area.</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c.</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Objectives/Hypotheses</w:t>
      </w:r>
      <w:r>
        <w:rPr>
          <w:rFonts w:ascii="Times New Roman" w:eastAsia="Times New Roman" w:hAnsi="Times New Roman" w:cs="Times New Roman"/>
          <w:b w:val="0"/>
          <w:i w:val="0"/>
          <w:strike w:val="0"/>
          <w:color w:val="000000"/>
          <w:sz w:val="24"/>
          <w:szCs w:val="24"/>
          <w:u w:val="none"/>
        </w:rPr>
        <w:t>: Clearly define goals of the project.</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d.</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Methods/Analyses</w:t>
      </w:r>
      <w:r>
        <w:rPr>
          <w:rFonts w:ascii="Times New Roman" w:eastAsia="Times New Roman" w:hAnsi="Times New Roman" w:cs="Times New Roman"/>
          <w:b w:val="0"/>
          <w:i w:val="0"/>
          <w:strike w:val="0"/>
          <w:color w:val="000000"/>
          <w:sz w:val="24"/>
          <w:szCs w:val="24"/>
          <w:u w:val="none"/>
        </w:rPr>
        <w:t>: Provide a clear description of planned research methodologies and analyses.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e.</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Project Deliverables and Planned Products</w:t>
      </w:r>
      <w:r>
        <w:rPr>
          <w:rFonts w:ascii="Times New Roman" w:eastAsia="Times New Roman" w:hAnsi="Times New Roman" w:cs="Times New Roman"/>
          <w:b w:val="0"/>
          <w:i w:val="0"/>
          <w:strike w:val="0"/>
          <w:color w:val="000000"/>
          <w:sz w:val="24"/>
          <w:szCs w:val="24"/>
          <w:u w:val="none"/>
        </w:rPr>
        <w:t>: Applicant shall provide plans for executing the project work listed in Section A2 above (also attached Mini SOW_Tethys-PAMGuard Integration Study_NT-22-05a.docx)</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and the deliverables, including a rough timeline for these deliverables.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f. </w:t>
      </w:r>
      <w:r>
        <w:rPr>
          <w:rFonts w:ascii="Times New Roman" w:eastAsia="Times New Roman" w:hAnsi="Times New Roman" w:cs="Times New Roman"/>
          <w:b w:val="0"/>
          <w:i w:val="0"/>
          <w:strike w:val="0"/>
          <w:color w:val="000000"/>
          <w:sz w:val="24"/>
          <w:szCs w:val="24"/>
          <w:u w:val="single"/>
        </w:rPr>
        <w:t>Project Management/Staffing Plan</w:t>
      </w:r>
      <w:r>
        <w:rPr>
          <w:rFonts w:ascii="Times New Roman" w:eastAsia="Times New Roman" w:hAnsi="Times New Roman" w:cs="Times New Roman"/>
          <w:b w:val="0"/>
          <w:i w:val="0"/>
          <w:strike w:val="0"/>
          <w:color w:val="000000"/>
          <w:sz w:val="24"/>
          <w:szCs w:val="24"/>
          <w:u w:val="none"/>
        </w:rPr>
        <w:t>: All key personnel (including graduate student workers) shall be identified by name. List the University Principal Investigator first, followed by the names of other individuals. Indicate the role and anticipated level of effort for each key participant offering unique or specific contributions to the project (oceanographer, geochemist, field assistant, etc.). If names of any key participants are unknown, a proposal addendum with the names and curricula vitae must be submitted prior to award.</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g.</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Performance Measures</w:t>
      </w:r>
      <w:r>
        <w:rPr>
          <w:rFonts w:ascii="Times New Roman" w:eastAsia="Times New Roman" w:hAnsi="Times New Roman" w:cs="Times New Roman"/>
          <w:b w:val="0"/>
          <w:i w:val="0"/>
          <w:strike w:val="0"/>
          <w:color w:val="000000"/>
          <w:sz w:val="24"/>
          <w:szCs w:val="24"/>
          <w:u w:val="none"/>
        </w:rPr>
        <w:t>: Applicant shall suggest specific measures that will be used to monitor project progress, including progress of sub-awardees (e.g., quality and timely deliverables, timely completion of fieldwork or other project components, draft peer-reviewed articles). These performance measures will be incorporated in the cooperative agreement award and reviewed as part of any continuation request.</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h.</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Critical Starting Dates</w:t>
      </w:r>
      <w:r>
        <w:rPr>
          <w:rFonts w:ascii="Times New Roman" w:eastAsia="Times New Roman" w:hAnsi="Times New Roman" w:cs="Times New Roman"/>
          <w:b w:val="0"/>
          <w:i w:val="0"/>
          <w:strike w:val="0"/>
          <w:color w:val="000000"/>
          <w:sz w:val="24"/>
          <w:szCs w:val="24"/>
          <w:u w:val="none"/>
        </w:rPr>
        <w:t xml:space="preserve"> (e.g., for season-limited field work): Identify any critical starting dates and the reason why project success is dependent upon that start date.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i. </w:t>
      </w:r>
      <w:r>
        <w:rPr>
          <w:rFonts w:ascii="Times New Roman" w:eastAsia="Times New Roman" w:hAnsi="Times New Roman" w:cs="Times New Roman"/>
          <w:b w:val="0"/>
          <w:i w:val="0"/>
          <w:strike w:val="0"/>
          <w:color w:val="000000"/>
          <w:sz w:val="24"/>
          <w:szCs w:val="24"/>
          <w:u w:val="single"/>
        </w:rPr>
        <w:t>Publication and Presentation</w:t>
      </w:r>
      <w:r>
        <w:rPr>
          <w:rFonts w:ascii="Times New Roman" w:eastAsia="Times New Roman" w:hAnsi="Times New Roman" w:cs="Times New Roman"/>
          <w:b w:val="0"/>
          <w:i w:val="0"/>
          <w:strike w:val="0"/>
          <w:color w:val="000000"/>
          <w:sz w:val="24"/>
          <w:szCs w:val="24"/>
          <w:u w:val="none"/>
        </w:rPr>
        <w:t>: BOEM strongly encourages the Awardee to publish project reports in scientific and technical journals, and present results to the scientific community, appropriate professional organizations, and local, State, and/or Federal agencies as part of the project. These publications and meetings should be included in the proposal and budget.</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j.</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Bibliography</w:t>
      </w:r>
      <w:r>
        <w:rPr>
          <w:rFonts w:ascii="Times New Roman" w:eastAsia="Times New Roman" w:hAnsi="Times New Roman" w:cs="Times New Roman"/>
          <w:b w:val="0"/>
          <w:i w:val="0"/>
          <w:strike w:val="0"/>
          <w:color w:val="000000"/>
          <w:sz w:val="24"/>
          <w:szCs w:val="24"/>
          <w:u w:val="none"/>
        </w:rPr>
        <w:t>: List all references cited in the text, as well as references that are relevant to the current proposal from your past work in the field.</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k.</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Curricula Vitae</w:t>
      </w:r>
      <w:r>
        <w:rPr>
          <w:rFonts w:ascii="Times New Roman" w:eastAsia="Times New Roman" w:hAnsi="Times New Roman" w:cs="Times New Roman"/>
          <w:b w:val="0"/>
          <w:i w:val="0"/>
          <w:strike w:val="0"/>
          <w:color w:val="000000"/>
          <w:sz w:val="24"/>
          <w:szCs w:val="24"/>
          <w:u w:val="none"/>
        </w:rPr>
        <w:t xml:space="preserve"> (maximum two pages) for each identified key participant. Emphasize previous experience in the field of study that the proposal addresses.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l.</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Letters of Commitment</w:t>
      </w:r>
      <w:r>
        <w:rPr>
          <w:rFonts w:ascii="Times New Roman" w:eastAsia="Times New Roman" w:hAnsi="Times New Roman" w:cs="Times New Roman"/>
          <w:b w:val="0"/>
          <w:i w:val="0"/>
          <w:strike w:val="0"/>
          <w:color w:val="000000"/>
          <w:sz w:val="24"/>
          <w:szCs w:val="24"/>
          <w:u w:val="none"/>
        </w:rPr>
        <w:t>: Provide signed letters of commitment by matching fund grantors, contractors, and sub-grantees.</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The following header will display if this checkbox is selected:</w:t>
      </w:r>
      <w:r>
        <w:rPr>
          <w:rFonts w:ascii="Times New Roman" w:eastAsia="Times New Roman" w:hAnsi="Times New Roman" w:cs="Times New Roman"/>
          <w:b w:val="0"/>
          <w:i w:val="0"/>
          <w:strike w:val="0"/>
          <w:vanish/>
          <w:color w:val="009745"/>
          <w:sz w:val="24"/>
          <w:u w:val="none"/>
        </w:rPr>
        <w:t xml:space="preserve"> </w:t>
      </w:r>
      <w:r>
        <w:rPr>
          <w:rFonts w:ascii="Times New Roman" w:eastAsia="Times New Roman" w:hAnsi="Times New Roman" w:cs="Times New Roman"/>
          <w:b/>
          <w:bCs/>
          <w:i w:val="0"/>
          <w:strike w:val="0"/>
          <w:vanish/>
          <w:color w:val="009745"/>
          <w:sz w:val="24"/>
          <w:u w:val="none"/>
        </w:rPr>
        <w:t>SF 424A, Budget Information for Non-Construction Programs</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The following header will display if this checkbox is selected:</w:t>
      </w:r>
      <w:r>
        <w:rPr>
          <w:rFonts w:ascii="Times New Roman" w:eastAsia="Times New Roman" w:hAnsi="Times New Roman" w:cs="Times New Roman"/>
          <w:b w:val="0"/>
          <w:i w:val="0"/>
          <w:strike w:val="0"/>
          <w:vanish/>
          <w:color w:val="009745"/>
          <w:sz w:val="24"/>
          <w:u w:val="none"/>
        </w:rPr>
        <w:t xml:space="preserve"> </w:t>
      </w:r>
      <w:r>
        <w:rPr>
          <w:rFonts w:ascii="Times New Roman" w:eastAsia="Times New Roman" w:hAnsi="Times New Roman" w:cs="Times New Roman"/>
          <w:b/>
          <w:bCs/>
          <w:i w:val="0"/>
          <w:strike w:val="0"/>
          <w:vanish/>
          <w:color w:val="009745"/>
          <w:sz w:val="24"/>
          <w:u w:val="none"/>
        </w:rPr>
        <w:t>SF 424C, Budget Information for Construction Program</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Budget Narrative/Detailed Spreadsheet</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2 CFR 200.407 “Prior written approval (prior approval)” for more information. If equipment purchased previously with Federal funds is available for the project, provide a list of that equipment and identify the Federal funding source.</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bCs/>
          <w:i w:val="0"/>
          <w:strike w:val="0"/>
          <w:color w:val="000000"/>
          <w:sz w:val="24"/>
          <w:szCs w:val="24"/>
          <w:u w:val="none"/>
        </w:rPr>
        <w:t>Budget Justification Narrative</w:t>
      </w:r>
      <w:r>
        <w:rPr>
          <w:rFonts w:ascii="Times New Roman" w:eastAsia="Times New Roman" w:hAnsi="Times New Roman" w:cs="Times New Roman"/>
          <w:b/>
          <w:bCs/>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This information will provide more details than the SF-424a form and will</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provide adequate information for the Contracting Officer to conduct a detailed analysis of the costs to determine they are reasonable, allowable, and allocable. Please include the following:</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a.</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Salaries and Wages</w:t>
      </w:r>
      <w:r>
        <w:rPr>
          <w:rFonts w:ascii="Times New Roman" w:eastAsia="Times New Roman" w:hAnsi="Times New Roman" w:cs="Times New Roman"/>
          <w:b w:val="0"/>
          <w:i w:val="0"/>
          <w:strike w:val="0"/>
          <w:color w:val="000000"/>
          <w:sz w:val="24"/>
          <w:szCs w:val="24"/>
          <w:u w:val="none"/>
        </w:rPr>
        <w:t>. List positions, and rate of compensation and estimated number of hours for employees.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b.</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Fringe Benefits/Labor Overhead</w:t>
      </w:r>
      <w:r>
        <w:rPr>
          <w:rFonts w:ascii="Times New Roman" w:eastAsia="Times New Roman" w:hAnsi="Times New Roman" w:cs="Times New Roman"/>
          <w:b w:val="0"/>
          <w:i w:val="0"/>
          <w:strike w:val="0"/>
          <w:color w:val="000000"/>
          <w:sz w:val="24"/>
          <w:szCs w:val="24"/>
          <w:u w:val="none"/>
        </w:rPr>
        <w:t>. Indicate the rates/amounts in conformance with normal accounting procedures. Explain what costs are covered in this category and the basis of the rate computations. Provide a copy of the negotiated rate agreement, if available.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c.</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Lab Analyses</w:t>
      </w:r>
      <w:r>
        <w:rPr>
          <w:rFonts w:ascii="Times New Roman" w:eastAsia="Times New Roman" w:hAnsi="Times New Roman" w:cs="Times New Roman"/>
          <w:b w:val="0"/>
          <w:i w:val="0"/>
          <w:strike w:val="0"/>
          <w:color w:val="000000"/>
          <w:sz w:val="24"/>
          <w:szCs w:val="24"/>
          <w:u w:val="none"/>
        </w:rPr>
        <w:t>. Briefly itemize cost of all analytical work.</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d.</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Supplies</w:t>
      </w:r>
      <w:r>
        <w:rPr>
          <w:rFonts w:ascii="Times New Roman" w:eastAsia="Times New Roman" w:hAnsi="Times New Roman" w:cs="Times New Roman"/>
          <w:b w:val="0"/>
          <w:i w:val="0"/>
          <w:strike w:val="0"/>
          <w:color w:val="000000"/>
          <w:sz w:val="24"/>
          <w:szCs w:val="24"/>
          <w:u w:val="none"/>
        </w:rPr>
        <w:t xml:space="preserve">. Enter the cost for all tangible property. Include the cost of office, laboratory, computing, and field supplies separately. Provide detail on any specific item that represents a significant portion of the proposed amount. Provide a statement that supplies will be purchased in accordance with 2 CFR200.318 (State governments)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or 2 CFR 200.319-327.</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e.</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Equipment</w:t>
      </w:r>
      <w:r>
        <w:rPr>
          <w:rFonts w:ascii="Times New Roman" w:eastAsia="Times New Roman" w:hAnsi="Times New Roman" w:cs="Times New Roman"/>
          <w:b w:val="0"/>
          <w:i w:val="0"/>
          <w:strike w:val="0"/>
          <w:color w:val="000000"/>
          <w:sz w:val="24"/>
          <w:szCs w:val="24"/>
          <w:u w:val="none"/>
        </w:rPr>
        <w:t xml:space="preserve">. Show the cost of all special-purpose equipment necessary for achieving the objectives of the project. “Special-purpose equipment” means scientific equipment having a useful life of more than 1 year and having an acquisition cost of $5,000 or more per item. Each item should be itemized and include a full justification and a dealer or manufacturer quote, if available. General-purpose equipment (used also for purposes other than this project) must be purchased from the applicant’s operating funds. Title to non-expendable personal property shall be vested solely with the recipient. Under no circumstances shall property title be vested in a sub-tier recipient. Provide a statement that equipment will be purchased in accordance with 2 CFR200.318 (State governments)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or 2 CFR 200.319-327 and managed in accordance with 2 CFR 200.313.</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f.</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Services or Consultants</w:t>
      </w:r>
      <w:r>
        <w:rPr>
          <w:rFonts w:ascii="Times New Roman" w:eastAsia="Times New Roman" w:hAnsi="Times New Roman" w:cs="Times New Roman"/>
          <w:b w:val="0"/>
          <w:i w:val="0"/>
          <w:strike w:val="0"/>
          <w:color w:val="000000"/>
          <w:sz w:val="24"/>
          <w:szCs w:val="24"/>
          <w:u w:val="none"/>
        </w:rPr>
        <w:t>. Identify the tasks or problems for which such services would be used. List the contemplated sub-recipients by name (including consultants), the estimated amount of time required, and the quoted rate per day or hour. Sub-applicant proposals should provide cost breakdowns at the same level of detail as the Applicant’s proposal. If contract employees are hired, include their total time, rate of compensation, job titles, and roles. Provide a statement that salaries will be charged at the actual rate and that the rate is comparable to others doing similar work within the organization.</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g.</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Travel</w:t>
      </w:r>
      <w:r>
        <w:rPr>
          <w:rFonts w:ascii="Times New Roman" w:eastAsia="Times New Roman" w:hAnsi="Times New Roman" w:cs="Times New Roman"/>
          <w:b w:val="0"/>
          <w:i w:val="0"/>
          <w:strike w:val="0"/>
          <w:color w:val="000000"/>
          <w:sz w:val="24"/>
          <w:szCs w:val="24"/>
          <w:u w:val="none"/>
        </w:rPr>
        <w:t>. State the purpose of the trip and itemize the estimated travel costs to show the number of trips required, the destinations, the number of people traveling, the per diem rates, the cost of transportation, and any miscellaneous expenses for each trip. Calculations of other special transportation costs (such as charges for use of applicant-owned vehicles or vehicle rental costs) should also be shown.</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h.</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Publication Costs</w:t>
      </w:r>
      <w:r>
        <w:rPr>
          <w:rFonts w:ascii="Times New Roman" w:eastAsia="Times New Roman" w:hAnsi="Times New Roman" w:cs="Times New Roman"/>
          <w:b w:val="0"/>
          <w:i w:val="0"/>
          <w:strike w:val="0"/>
          <w:color w:val="000000"/>
          <w:sz w:val="24"/>
          <w:szCs w:val="24"/>
          <w:u w:val="none"/>
        </w:rPr>
        <w:t>. Indicate an estimate of labor and other unique costs associated with preparation of the draft final report. If publication of results of the research in the peer-reviewed literature (identify likely publications) is anticipated, include costs of drafting or graphics, reproduction, page or illustration charges, and a minimum number of reprints.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i.</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Other Direct Costs</w:t>
      </w:r>
      <w:r>
        <w:rPr>
          <w:rFonts w:ascii="Times New Roman" w:eastAsia="Times New Roman" w:hAnsi="Times New Roman" w:cs="Times New Roman"/>
          <w:b w:val="0"/>
          <w:i w:val="0"/>
          <w:strike w:val="0"/>
          <w:color w:val="000000"/>
          <w:sz w:val="24"/>
          <w:szCs w:val="24"/>
          <w:u w:val="none"/>
        </w:rPr>
        <w:t>. Itemize the different types of costs not included elsewhere.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j.</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Total Direct Charges</w:t>
      </w:r>
      <w:r>
        <w:rPr>
          <w:rFonts w:ascii="Times New Roman" w:eastAsia="Times New Roman" w:hAnsi="Times New Roman" w:cs="Times New Roman"/>
          <w:b w:val="0"/>
          <w:i w:val="0"/>
          <w:strike w:val="0"/>
          <w:color w:val="000000"/>
          <w:sz w:val="24"/>
          <w:szCs w:val="24"/>
          <w:u w:val="none"/>
        </w:rPr>
        <w:t>. Sum of above items.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k.</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Indirect Charges (Overhead)</w:t>
      </w:r>
      <w:r>
        <w:rPr>
          <w:rFonts w:ascii="Times New Roman" w:eastAsia="Times New Roman" w:hAnsi="Times New Roman" w:cs="Times New Roman"/>
          <w:b w:val="0"/>
          <w:i w:val="0"/>
          <w:strike w:val="0"/>
          <w:color w:val="000000"/>
          <w:sz w:val="24"/>
          <w:szCs w:val="24"/>
          <w:u w:val="none"/>
        </w:rPr>
        <w:t>. Indirect cost/general and administrative (G&amp;A) cost. Show the proposed rate, cost base, and proposed amount for indirect costs based on the cost</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principles applicable to the Applicant’s organization. If the Applicant has separate rates for recovery of labor overhead and G&amp;A costs, each charge should be shown. Provide a copy of the negotiated rate agreement with the applicant’s federal cognizant audit agency.</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l. </w:t>
      </w:r>
      <w:r>
        <w:rPr>
          <w:rFonts w:ascii="Times New Roman" w:eastAsia="Times New Roman" w:hAnsi="Times New Roman" w:cs="Times New Roman"/>
          <w:b w:val="0"/>
          <w:i w:val="0"/>
          <w:strike w:val="0"/>
          <w:color w:val="000000"/>
          <w:sz w:val="24"/>
          <w:szCs w:val="24"/>
          <w:u w:val="single"/>
        </w:rPr>
        <w:t>Amount Proposed</w:t>
      </w:r>
      <w:r>
        <w:rPr>
          <w:rFonts w:ascii="Times New Roman" w:eastAsia="Times New Roman" w:hAnsi="Times New Roman" w:cs="Times New Roman"/>
          <w:b w:val="0"/>
          <w:i w:val="0"/>
          <w:strike w:val="0"/>
          <w:color w:val="000000"/>
          <w:sz w:val="24"/>
          <w:szCs w:val="24"/>
          <w:u w:val="none"/>
        </w:rPr>
        <w:t>. Sum of Total Direct Charges and Indirect Charges (Overhead).</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Conflict of Internet Disclosure</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Per the</w:t>
      </w:r>
      <w:r>
        <w:rPr>
          <w:rFonts w:ascii="Times New Roman" w:eastAsia="Times New Roman" w:hAnsi="Times New Roman" w:cs="Times New Roman"/>
          <w:b/>
          <w:bCs/>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Financial Assistance Interior Regulation (FAIR), </w:t>
      </w:r>
      <w:hyperlink r:id="rId17" w:history="1">
        <w:r>
          <w:rPr>
            <w:rStyle w:val="ahref"/>
            <w:rFonts w:ascii="Times New Roman" w:eastAsia="Times New Roman" w:hAnsi="Times New Roman" w:cs="Times New Roman"/>
            <w:b w:val="0"/>
            <w:bCs w:val="0"/>
            <w:i w:val="0"/>
            <w:strike w:val="0"/>
            <w:color w:val="0000FF"/>
            <w:sz w:val="24"/>
            <w:szCs w:val="24"/>
            <w:u w:val="single" w:color="0000FF"/>
          </w:rPr>
          <w:t>2 CFR §1402.112</w:t>
        </w:r>
      </w:hyperlink>
      <w:r>
        <w:rPr>
          <w:rFonts w:ascii="Times New Roman" w:eastAsia="Times New Roman" w:hAnsi="Times New Roman" w:cs="Times New Roman"/>
          <w:b w:val="0"/>
          <w:bCs w:val="0"/>
          <w:i w:val="0"/>
          <w:strike w:val="0"/>
          <w:color w:val="000000"/>
          <w:sz w:val="24"/>
          <w:szCs w:val="24"/>
          <w:u w:val="none"/>
        </w:rPr>
        <w:t xml:space="preserve">, applicants must state in their application if any actual or potential conflict of interest exists at the time of submission. Please reference the </w:t>
      </w:r>
      <w:hyperlink r:id="rId18" w:history="1">
        <w:r>
          <w:rPr>
            <w:rStyle w:val="ahref"/>
            <w:rFonts w:ascii="Times New Roman" w:eastAsia="Times New Roman" w:hAnsi="Times New Roman" w:cs="Times New Roman"/>
            <w:b w:val="0"/>
            <w:bCs w:val="0"/>
            <w:i w:val="0"/>
            <w:strike w:val="0"/>
            <w:color w:val="0000FF"/>
            <w:sz w:val="24"/>
            <w:szCs w:val="24"/>
            <w:u w:val="single" w:color="0000FF"/>
          </w:rPr>
          <w:t>Federal Activities Inventory Reform Act</w:t>
        </w:r>
      </w:hyperlink>
      <w:r>
        <w:rPr>
          <w:rFonts w:ascii="Times New Roman" w:eastAsia="Times New Roman" w:hAnsi="Times New Roman" w:cs="Times New Roman"/>
          <w:b w:val="0"/>
          <w:bCs w:val="0"/>
          <w:i w:val="0"/>
          <w:strike w:val="0"/>
          <w:color w:val="000000"/>
          <w:sz w:val="24"/>
          <w:szCs w:val="24"/>
          <w:u w:val="none"/>
        </w:rPr>
        <w:t xml:space="preserve"> for additional details.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(a) </w:t>
      </w:r>
      <w:r>
        <w:rPr>
          <w:rFonts w:ascii="Times New Roman" w:eastAsia="Times New Roman" w:hAnsi="Times New Roman" w:cs="Times New Roman"/>
          <w:b w:val="0"/>
          <w:bCs w:val="0"/>
          <w:i/>
          <w:iCs/>
          <w:strike w:val="0"/>
          <w:color w:val="000000"/>
          <w:sz w:val="24"/>
          <w:szCs w:val="24"/>
          <w:u w:val="none"/>
        </w:rPr>
        <w:t>Applicability</w:t>
      </w:r>
      <w:r>
        <w:rPr>
          <w:rFonts w:ascii="Times New Roman" w:eastAsia="Times New Roman" w:hAnsi="Times New Roman" w:cs="Times New Roman"/>
          <w:b w:val="0"/>
          <w:bCs w:val="0"/>
          <w:i w:val="0"/>
          <w:strike w:val="0"/>
          <w:color w:val="000000"/>
          <w:sz w:val="24"/>
          <w:szCs w:val="24"/>
          <w:u w:val="none"/>
        </w:rPr>
        <w:t>.</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(1) This section intends to ensure that non-Federal entities and their employees take appropriate steps to avoid conflicts of interest in their responsibilities under or with respect to Federal financial assistance agreements.</w:t>
      </w:r>
      <w:r>
        <w:rPr>
          <w:rFonts w:ascii="Times New Roman" w:eastAsia="Times New Roman" w:hAnsi="Times New Roman" w:cs="Times New Roman"/>
          <w:b w:val="0"/>
          <w:bCs w:val="0"/>
          <w:i w:val="0"/>
          <w:strike w:val="0"/>
          <w:color w:val="000000"/>
          <w:sz w:val="24"/>
          <w:szCs w:val="24"/>
          <w:u w:val="none"/>
        </w:rPr>
        <w:t xml:space="preserve"> </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(2) In the procurement of supplies, equipment, construction, and services by recipients and by subrecipients, the conflict of interest provisions in 2 CFR 200.318 apply.</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(b)</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iCs/>
          <w:strike w:val="0"/>
          <w:color w:val="000000"/>
          <w:sz w:val="24"/>
          <w:szCs w:val="24"/>
          <w:u w:val="none"/>
        </w:rPr>
        <w:t>Notification</w:t>
      </w:r>
      <w:r>
        <w:rPr>
          <w:rFonts w:ascii="Times New Roman" w:eastAsia="Times New Roman" w:hAnsi="Times New Roman" w:cs="Times New Roman"/>
          <w:b w:val="0"/>
          <w:bCs w:val="0"/>
          <w:i w:val="0"/>
          <w:strike w:val="0"/>
          <w:color w:val="000000"/>
          <w:sz w:val="24"/>
          <w:szCs w:val="24"/>
          <w:u w:val="none"/>
        </w:rPr>
        <w:t>. (1) Non-Federal entities, including applicants for financial assistance awards, must disclose in writing any conflict of interest to the DOI awarding agency or pass-through entity in accordance with 2 CFR 200.112.</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(2) Recipients must establish internal controls that include, at a minimum, procedures to identify, disclose, and mitigate or eliminate identified conflicts of interest.</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The recipient is responsible for notifying the Financial Assistance Officer in writing of any conflicts of interest that may arise during the life of the award, including those that have been reported by subrecipients. </w:t>
      </w:r>
      <w:r>
        <w:rPr>
          <w:rFonts w:ascii="Times New Roman" w:eastAsia="Times New Roman" w:hAnsi="Times New Roman" w:cs="Times New Roman"/>
          <w:b w:val="0"/>
          <w:bCs w:val="0"/>
          <w:i w:val="0"/>
          <w:strike w:val="0"/>
          <w:color w:val="000000"/>
          <w:sz w:val="24"/>
          <w:szCs w:val="24"/>
          <w:u w:val="none"/>
        </w:rPr>
        <w:t xml:space="preserve"> </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(c)</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iCs/>
          <w:strike w:val="0"/>
          <w:color w:val="000000"/>
          <w:sz w:val="24"/>
          <w:szCs w:val="24"/>
          <w:u w:val="none"/>
        </w:rPr>
        <w:t>Restrictions on lobbying</w:t>
      </w:r>
      <w:r>
        <w:rPr>
          <w:rFonts w:ascii="Times New Roman" w:eastAsia="Times New Roman" w:hAnsi="Times New Roman" w:cs="Times New Roman"/>
          <w:b w:val="0"/>
          <w:bCs w:val="0"/>
          <w:i w:val="0"/>
          <w:strike w:val="0"/>
          <w:color w:val="000000"/>
          <w:sz w:val="24"/>
          <w:szCs w:val="24"/>
          <w:u w:val="none"/>
        </w:rPr>
        <w:t>.</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Non-Federal entities are strictly prohibited from using funds under a grant or cooperative agreement for lobbying activities and must provide the required certifications and disclosures pursuant to 43 CFR part 18 and 31 U.S.C. 1352.</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(d)</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iCs/>
          <w:strike w:val="0"/>
          <w:color w:val="000000"/>
          <w:sz w:val="24"/>
          <w:szCs w:val="24"/>
          <w:u w:val="none"/>
        </w:rPr>
        <w:t>Review procedures</w:t>
      </w:r>
      <w:r>
        <w:rPr>
          <w:rFonts w:ascii="Times New Roman" w:eastAsia="Times New Roman" w:hAnsi="Times New Roman" w:cs="Times New Roman"/>
          <w:b w:val="0"/>
          <w:bCs w:val="0"/>
          <w:i w:val="0"/>
          <w:strike w:val="0"/>
          <w:color w:val="000000"/>
          <w:sz w:val="24"/>
          <w:szCs w:val="24"/>
          <w:u w:val="none"/>
        </w:rPr>
        <w:t>.</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it.(e)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Single Audit Reporting Statement</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19" w:history="1">
        <w:r>
          <w:rPr>
            <w:rStyle w:val="ahref"/>
            <w:rFonts w:ascii="Times New Roman" w:eastAsia="Times New Roman" w:hAnsi="Times New Roman" w:cs="Times New Roman"/>
            <w:b w:val="0"/>
            <w:bCs w:val="0"/>
            <w:i w:val="0"/>
            <w:strike w:val="0"/>
            <w:color w:val="0000FF"/>
            <w:sz w:val="24"/>
            <w:szCs w:val="24"/>
            <w:u w:val="single" w:color="0000FF"/>
          </w:rPr>
          <w:t>Federal Audit Clearinghouse’s Internet Data Entry System</w:t>
        </w:r>
      </w:hyperlink>
      <w:r>
        <w:rPr>
          <w:rFonts w:ascii="Times New Roman" w:eastAsia="Times New Roman" w:hAnsi="Times New Roman" w:cs="Times New Roman"/>
          <w:b w:val="0"/>
          <w:bCs w:val="0"/>
          <w:i w:val="0"/>
          <w:strike w:val="0"/>
          <w:color w:val="000000"/>
          <w:sz w:val="24"/>
          <w:szCs w:val="24"/>
          <w:u w:val="none"/>
        </w:rPr>
        <w:t>.</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U.S. state, local government, federally recognized Indian tribal government, and non-profit applicants must state if your organization was or was not required to submit a Single Audit report for the most recently closed fiscal year.</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If your organization was required to submit a Single Audit report for the most recently closed fiscal year, provide the EIN associated with that report and state if it is available through the </w:t>
      </w:r>
      <w:hyperlink r:id="rId20" w:history="1">
        <w:r>
          <w:rPr>
            <w:rStyle w:val="ahref"/>
            <w:rFonts w:ascii="Times New Roman" w:eastAsia="Times New Roman" w:hAnsi="Times New Roman" w:cs="Times New Roman"/>
            <w:b w:val="0"/>
            <w:bCs w:val="0"/>
            <w:i w:val="0"/>
            <w:strike w:val="0"/>
            <w:color w:val="0000FF"/>
            <w:sz w:val="24"/>
            <w:szCs w:val="24"/>
            <w:u w:val="single" w:color="0000FF"/>
          </w:rPr>
          <w:t>Federal Audit Clearinghouse</w:t>
        </w:r>
      </w:hyperlink>
      <w:r>
        <w:rPr>
          <w:rFonts w:ascii="Times New Roman" w:eastAsia="Times New Roman" w:hAnsi="Times New Roman" w:cs="Times New Roman"/>
          <w:b w:val="0"/>
          <w:bCs w:val="0"/>
          <w:i w:val="0"/>
          <w:strike w:val="0"/>
          <w:color w:val="000000"/>
          <w:sz w:val="24"/>
          <w:szCs w:val="24"/>
          <w:u w:val="none"/>
        </w:rPr>
        <w:t xml:space="preserve"> website.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Certification Regarding Lobbying</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Applicants requesting more than $100,000 in Federal funding must certify to the statements in </w:t>
      </w:r>
      <w:hyperlink r:id="rId21" w:history="1">
        <w:r>
          <w:rPr>
            <w:rStyle w:val="ahref"/>
            <w:rFonts w:ascii="Times New Roman" w:eastAsia="Times New Roman" w:hAnsi="Times New Roman" w:cs="Times New Roman"/>
            <w:b w:val="0"/>
            <w:bCs w:val="0"/>
            <w:i w:val="0"/>
            <w:strike w:val="0"/>
            <w:color w:val="0000FF"/>
            <w:sz w:val="24"/>
            <w:szCs w:val="24"/>
            <w:u w:val="single" w:color="0000FF"/>
          </w:rPr>
          <w:t>43 CFR Part 18, Appendix A-Certification Regarding Lobbying</w:t>
        </w:r>
      </w:hyperlink>
      <w:r>
        <w:rPr>
          <w:rFonts w:ascii="Times New Roman" w:eastAsia="Times New Roman" w:hAnsi="Times New Roman" w:cs="Times New Roman"/>
          <w:b w:val="0"/>
          <w:bCs w:val="0"/>
          <w:i w:val="0"/>
          <w:strike w:val="0"/>
          <w:color w:val="000000"/>
          <w:sz w:val="24"/>
          <w:szCs w:val="24"/>
          <w:u w:val="none"/>
        </w:rPr>
        <w:t>. If this application requests more than $100,000 in Federal funds, the Authorized Official’s signature on the appropriate SF-424, Application for Federal Assistance form also represents the entity’s certification of the statements in 43 CFR Part 18, Appendix A.</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The following header will display if this checkbox is selected:</w:t>
      </w:r>
      <w:r>
        <w:rPr>
          <w:rFonts w:ascii="Times New Roman" w:eastAsia="Times New Roman" w:hAnsi="Times New Roman" w:cs="Times New Roman"/>
          <w:b w:val="0"/>
          <w:i w:val="0"/>
          <w:strike w:val="0"/>
          <w:vanish/>
          <w:color w:val="009745"/>
          <w:sz w:val="24"/>
          <w:u w:val="none"/>
        </w:rPr>
        <w:t xml:space="preserve"> </w:t>
      </w:r>
      <w:r>
        <w:rPr>
          <w:rFonts w:ascii="Times New Roman" w:eastAsia="Times New Roman" w:hAnsi="Times New Roman" w:cs="Times New Roman"/>
          <w:b/>
          <w:bCs/>
          <w:i w:val="0"/>
          <w:strike w:val="0"/>
          <w:vanish/>
          <w:color w:val="009745"/>
          <w:sz w:val="24"/>
          <w:u w:val="none"/>
        </w:rPr>
        <w:t>Disclosure of Lobbying Activities</w:t>
      </w:r>
      <w:r>
        <w:rPr>
          <w:rFonts w:ascii="Times New Roman" w:eastAsia="Times New Roman" w:hAnsi="Times New Roman" w:cs="Times New Roman"/>
          <w:b/>
          <w:bCs/>
          <w:i w:val="0"/>
          <w:strike w:val="0"/>
          <w:vanish/>
          <w:color w:val="009745"/>
          <w:sz w:val="24"/>
          <w:u w:val="none"/>
        </w:rPr>
        <w:t xml:space="preserve">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Overlap or Duplication of Effort Statement</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Applicants must provide a statement indicating if there is any overlap between this Federal application and any other Federal application, or funded project, in regards to activities, costs, or time commitment of key personnel. If no such overlap or duplication exists, state, “There are no overlaps or duplication between this application and any of our other Federal applications or funded projects, including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0" w:name="_Toc256000019"/>
      <w:r>
        <w:rPr>
          <w:iCs w:val="0"/>
          <w:color w:val="000000"/>
          <w:shd w:val="clear" w:color="auto" w:fill="auto"/>
        </w:rPr>
        <w:t>D3. Unique Entity Identifier and System for Award Management (SAM)</w:t>
      </w:r>
      <w:bookmarkEnd w:id="20"/>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bCs/>
          <w:i w:val="0"/>
          <w:strike w:val="0"/>
          <w:color w:val="000000"/>
          <w:sz w:val="24"/>
          <w:szCs w:val="24"/>
          <w:u w:val="none"/>
        </w:rPr>
        <w:t>Identifier and System for Award Management (SAM.gov) Registration:</w:t>
      </w:r>
      <w:r>
        <w:rPr>
          <w:rFonts w:ascii="Times New Roman" w:eastAsia="Times New Roman" w:hAnsi="Times New Roman" w:cs="Times New Roman"/>
          <w:b w:val="0"/>
          <w:bCs w:val="0"/>
          <w:i w:val="0"/>
          <w:strike w:val="0"/>
          <w:color w:val="000000"/>
          <w:sz w:val="24"/>
          <w:szCs w:val="24"/>
          <w:u w:val="none"/>
        </w:rPr>
        <w:t xml:space="preserve"> This requirement does not apply to individuals applying for funds as an individual (i.e., unrelated to any business or nonprofit organization you may own, operate, or work within), or any entity with an exception to bypass SAM.gov registration with prior approval from the funding bureau or office in accordance with bureau or office policy. All other applicants are required to register in SAM.gov prior to submitting a Federal award application and obtain a </w:t>
      </w:r>
      <w:hyperlink r:id="rId22" w:history="1">
        <w:r>
          <w:rPr>
            <w:rStyle w:val="ahref"/>
            <w:rFonts w:ascii="Times New Roman" w:eastAsia="Times New Roman" w:hAnsi="Times New Roman" w:cs="Times New Roman"/>
            <w:b w:val="0"/>
            <w:bCs w:val="0"/>
            <w:i w:val="0"/>
            <w:strike w:val="0"/>
            <w:color w:val="0000FF"/>
            <w:sz w:val="24"/>
            <w:szCs w:val="24"/>
            <w:u w:val="single" w:color="0000FF"/>
          </w:rPr>
          <w:t>Unique Entity Identifier (UEI)</w:t>
        </w:r>
      </w:hyperlink>
      <w:r>
        <w:rPr>
          <w:rFonts w:ascii="Times New Roman" w:eastAsia="Times New Roman" w:hAnsi="Times New Roman" w:cs="Times New Roman"/>
          <w:b w:val="0"/>
          <w:bCs w:val="0"/>
          <w:i w:val="0"/>
          <w:strike w:val="0"/>
          <w:color w:val="000000"/>
          <w:sz w:val="24"/>
          <w:szCs w:val="24"/>
          <w:u w:val="none"/>
        </w:rPr>
        <w:t xml:space="preserve"> which replaces the Data Universal Numbering System (DUNS) number from Dun &amp; Bradstreet in April 2022.</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A Federal award may not be made to an applicant that has not completed the SAM.gov registration. If an applicant selected for funding has not completed their SAM.gov registration by the time the program is ready to make an award, the program may determine the applicant is not qualified to receive an award. Federal award recipients must also continue to maintain an active SAM.gov registration with current information through the life of their Federal award(s).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bCs/>
          <w:i w:val="0"/>
          <w:strike w:val="0"/>
          <w:color w:val="000000"/>
          <w:sz w:val="24"/>
          <w:szCs w:val="24"/>
          <w:u w:val="none"/>
        </w:rPr>
        <w:t>Register with the System for Award Management (SAM)</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Applicants can register on the </w:t>
      </w:r>
      <w:hyperlink r:id="rId23" w:history="1">
        <w:r>
          <w:rPr>
            <w:rStyle w:val="ahref"/>
            <w:rFonts w:ascii="Times New Roman" w:eastAsia="Times New Roman" w:hAnsi="Times New Roman" w:cs="Times New Roman"/>
            <w:b w:val="0"/>
            <w:bCs w:val="0"/>
            <w:i w:val="0"/>
            <w:strike w:val="0"/>
            <w:color w:val="0000FF"/>
            <w:sz w:val="24"/>
            <w:szCs w:val="24"/>
            <w:u w:val="single" w:color="0000FF"/>
          </w:rPr>
          <w:t>SAM.gov</w:t>
        </w:r>
      </w:hyperlink>
      <w:r>
        <w:rPr>
          <w:rFonts w:ascii="Times New Roman" w:eastAsia="Times New Roman" w:hAnsi="Times New Roman" w:cs="Times New Roman"/>
          <w:b w:val="0"/>
          <w:bCs w:val="0"/>
          <w:i w:val="0"/>
          <w:strike w:val="0"/>
          <w:color w:val="000000"/>
          <w:sz w:val="24"/>
          <w:szCs w:val="24"/>
          <w:u w:val="none"/>
        </w:rPr>
        <w:t xml:space="preserve"> website. The “Help” tab on the website contains User Guides and other information to assist you with registration. The Grants.gov “</w:t>
      </w:r>
      <w:hyperlink r:id="rId24" w:history="1">
        <w:r>
          <w:rPr>
            <w:rStyle w:val="ahref"/>
            <w:rFonts w:ascii="Times New Roman" w:eastAsia="Times New Roman" w:hAnsi="Times New Roman" w:cs="Times New Roman"/>
            <w:b w:val="0"/>
            <w:bCs w:val="0"/>
            <w:i w:val="0"/>
            <w:strike w:val="0"/>
            <w:color w:val="0000FF"/>
            <w:sz w:val="24"/>
            <w:szCs w:val="24"/>
            <w:u w:val="single" w:color="0000FF"/>
          </w:rPr>
          <w:t>Register with SAM</w:t>
        </w:r>
      </w:hyperlink>
      <w:r>
        <w:rPr>
          <w:rFonts w:ascii="Times New Roman" w:eastAsia="Times New Roman" w:hAnsi="Times New Roman" w:cs="Times New Roman"/>
          <w:b w:val="0"/>
          <w:bCs w:val="0"/>
          <w:i w:val="0"/>
          <w:strike w:val="0"/>
          <w:color w:val="000000"/>
          <w:sz w:val="24"/>
          <w:szCs w:val="24"/>
          <w:u w:val="none"/>
        </w:rPr>
        <w:t xml:space="preserve">” page also provides detailed instructions. Applicants can contact the supporting Federal Service Desk for help registering in SAM. Once registered in SAM, entities will be assigned a Unique Entity Identifier (UEI).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made to the entity’s IRS information. </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There is no cost to register with SAM.gov. There are third-party vendors who will charge a fee in exchange for registering entities with SAM.gov; please be aware you can register and request help for free.</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If applicable, foreign entities who want to receive payment directly to a U.S. bank account must enter and maintain valid, current banking information in SAM.</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1" w:name="_Toc256000020"/>
      <w:r>
        <w:rPr>
          <w:iCs w:val="0"/>
          <w:color w:val="000000"/>
          <w:shd w:val="clear" w:color="auto" w:fill="auto"/>
        </w:rPr>
        <w:t>D4. Submission Dates and Times</w:t>
      </w:r>
      <w:bookmarkEnd w:id="21"/>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Notice of Funding Opportunities must identify due dates and times for all submissions according to 2 CFR 200, Appendix I, section D (4). Review and address all of the 2 CFR 200-Appendix I requirements for this section. These include clearly stating deadlines in terms of date and local time (Please Note: Grants.gov uses Eastern Time); what the deadline means and if submission method affects it; and the effect of missing a deadline. Format the information in this section so that it is easy to understand and use. A tabular format or checklist may be more helpful than narrative paragraphs.] This includes not only the full applications but also any preliminary submissions (e.g., letters of intent, white papers, or pre-applications). It also includes any other submissions of information before Federal award that are separate from the full application. If the funding opportunity is a general Notice of Funding Opportunity that is open for a period of time with no specific due dates for applications, this section should say so.</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Application Due Date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06/26/2023</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Application Due Date Explanation</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Electronically submitted applications must be submitted no later than 2:00 p.m. Pacific Daylight Time (5:00 p.m. Eastern Daylight Time) on the listed application due date.</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2" w:name="_Toc256000021"/>
      <w:r>
        <w:rPr>
          <w:iCs w:val="0"/>
          <w:color w:val="000000"/>
          <w:shd w:val="clear" w:color="auto" w:fill="auto"/>
        </w:rPr>
        <w:t>D5. Intergovernmental Review</w:t>
      </w:r>
      <w:bookmarkEnd w:id="22"/>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Required, if applicable. If the funding opportunity is subject to Executive Order 12372, 'Intergovernmental Review of Federal Programs,' the notice must say so. In alerting applicants that they must contact their state's Single Point of Contact (SPOC) to find out about and comply with the state's process under Executive Order 12372, it may be useful to inform potential applicants that the names and addresses of the SPOCs are listed in the Office of Management and Budget's Web site. www.whitehouse.gov/omb/grants/spoc.html.</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Prior to application submission, U.S. state and local government applicants should visit the OMB Office of Federal Financial Management website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3" w:name="_Toc256000022"/>
      <w:r>
        <w:rPr>
          <w:iCs w:val="0"/>
          <w:color w:val="000000"/>
          <w:shd w:val="clear" w:color="auto" w:fill="auto"/>
        </w:rPr>
        <w:t>D6. Funding Restrictions</w:t>
      </w:r>
      <w:bookmarkEnd w:id="23"/>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Notices must include information on funding restrictions in order to allow an applicant to develop an application and budget consistent with program requirements. Examples are whether construction is an allowable activity, if there are any limitations on direct costs such as foreign travel or equipment purchases, and if there are any limits on indirect costs (or facilities and administrative costs). Applicants must be advised if Federal awards will not allow reimbursement of pre-Federal award costs.</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Indirect Costs: Individuals</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Indirect Costs: Organizations</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Required Indirect Cost Statement to be submitted with Application</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All organizations must include the applicable statement from the following list in their application, and attach to their application any documentation identified in the applicable statement:</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We are:</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 </w:t>
      </w:r>
    </w:p>
    <w:p w:rsidP="00470374">
      <w:pPr>
        <w:pStyle w:val="Normal0"/>
        <w:keepLines w:val="0"/>
        <w:numPr>
          <w:ilvl w:val="0"/>
          <w:numId w:val="21"/>
        </w:numPr>
        <w:spacing w:before="0" w:after="2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 U.S. state or local government entity receiving more than $35 million in direct Federal funding each year with an indirect cost rate of [insert rate]. We submit our indirect cost rate proposals to our cognizant agency. Attached is a copy of our most recently approved rate agreement/certification.</w:t>
      </w:r>
    </w:p>
    <w:p w:rsidP="00470374">
      <w:pPr>
        <w:pStyle w:val="Normal0"/>
        <w:keepLines w:val="0"/>
        <w:numPr>
          <w:ilvl w:val="0"/>
          <w:numId w:val="21"/>
        </w:numPr>
        <w:spacing w:before="20" w:after="2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 U.S. state or local government entity receiving less than $35 million in direct Federal funding with an indirect cost rate of [insert rate]. We have prepared and will retain for audit an indirect cost rate proposal and related documentation.</w:t>
      </w:r>
    </w:p>
    <w:p w:rsidP="00470374">
      <w:pPr>
        <w:pStyle w:val="Normal0"/>
        <w:keepLines w:val="0"/>
        <w:numPr>
          <w:ilvl w:val="0"/>
          <w:numId w:val="21"/>
        </w:numPr>
        <w:spacing w:before="20" w:after="2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A [insert your organization type; U.S. states and local governments, do not use this statement] that has previously negotiated or currently has an approved indirect cost rate with our cognizant agency. Our indirect cost rate is [insert rate]. [Insert either: “Attached is a copy of our most recently approved but expired rate agreement. In the event an award is made, we will submit an indirect cost rate proposal to our cognizant agency within 90 calendar days after the award is made.” </w:t>
      </w:r>
      <w:r>
        <w:rPr>
          <w:rFonts w:ascii="Times New Roman" w:eastAsia="Times New Roman" w:hAnsi="Times New Roman" w:cs="Times New Roman"/>
          <w:b w:val="0"/>
          <w:bCs w:val="0"/>
          <w:i/>
          <w:iCs/>
          <w:strike w:val="0"/>
          <w:color w:val="000000"/>
          <w:sz w:val="24"/>
          <w:szCs w:val="24"/>
          <w:u w:val="none"/>
        </w:rPr>
        <w:t xml:space="preserve">or </w:t>
      </w:r>
      <w:r>
        <w:rPr>
          <w:rFonts w:ascii="Times New Roman" w:eastAsia="Times New Roman" w:hAnsi="Times New Roman" w:cs="Times New Roman"/>
          <w:b w:val="0"/>
          <w:bCs w:val="0"/>
          <w:i w:val="0"/>
          <w:strike w:val="0"/>
          <w:color w:val="000000"/>
          <w:sz w:val="24"/>
          <w:szCs w:val="24"/>
          <w:u w:val="none"/>
        </w:rPr>
        <w:t>“Attached is a copy of our current negotiated indirect cost rate agreement.”]</w:t>
      </w:r>
    </w:p>
    <w:p w:rsidP="00470374">
      <w:pPr>
        <w:pStyle w:val="Normal0"/>
        <w:keepLines w:val="0"/>
        <w:numPr>
          <w:ilvl w:val="0"/>
          <w:numId w:val="21"/>
        </w:numPr>
        <w:spacing w:before="20" w:after="2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 [insert your organization type] that has never submitted an indirect cost rate proposal to our cognizant agency. Our indirect cost rate is [insert rate]. If we receive an award, we will submit an indirect cost rate proposal to our cognizant agency within 90 calendar days after the award date.</w:t>
      </w:r>
    </w:p>
    <w:p w:rsidP="00470374">
      <w:pPr>
        <w:pStyle w:val="Normal0"/>
        <w:keepLines w:val="0"/>
        <w:numPr>
          <w:ilvl w:val="0"/>
          <w:numId w:val="21"/>
        </w:numPr>
        <w:spacing w:before="20" w:after="2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 [insert your organization type] that has never submitted an indirect cost rate proposal to our cognizant agency and has an indirect cost rate that is lower than 10%. Our indirect cost rate is [insert rate; must be lower than 10%]. However, if we receive an award we will not be able to meet the requirement to submit an indirect cost rate proposal to our cognizant agency within 90 calendar days after award. We request as a condition of award to charge a flat indirect cost rate of [insert rate; must be lower than 10%] against [insert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200.68]. We understand that we must notify the Service in writing if we establish an approved rate with our cognizant agency at any point during the award period.</w:t>
      </w:r>
    </w:p>
    <w:p w:rsidP="00470374">
      <w:pPr>
        <w:pStyle w:val="Normal0"/>
        <w:keepLines w:val="0"/>
        <w:numPr>
          <w:ilvl w:val="0"/>
          <w:numId w:val="21"/>
        </w:numPr>
        <w:spacing w:before="20" w:after="2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A [insert your organization type] that has never submitted an indirect cost rate proposal to our cognizant agency and has an indirect cost rate that is 10% or higher. Our indirect cost rate is [insert your organization’s indirect rate; must be 10% or higher]. However, if we receive an award we will not be able to meet the requirement to submit an indirect cost rate proposal to our cognizant agency within 90 calendar days after award. We request as a condition of award to charge a flat </w:t>
      </w:r>
      <w:r>
        <w:rPr>
          <w:rFonts w:ascii="Times New Roman" w:eastAsia="Times New Roman" w:hAnsi="Times New Roman" w:cs="Times New Roman"/>
          <w:b w:val="0"/>
          <w:bCs w:val="0"/>
          <w:i/>
          <w:iCs/>
          <w:strike w:val="0"/>
          <w:color w:val="000000"/>
          <w:sz w:val="24"/>
          <w:szCs w:val="24"/>
          <w:u w:val="none"/>
        </w:rPr>
        <w:t xml:space="preserve">de minimis </w:t>
      </w:r>
      <w:r>
        <w:rPr>
          <w:rFonts w:ascii="Times New Roman" w:eastAsia="Times New Roman" w:hAnsi="Times New Roman" w:cs="Times New Roman"/>
          <w:b w:val="0"/>
          <w:bCs w:val="0"/>
          <w:i w:val="0"/>
          <w:strike w:val="0"/>
          <w:color w:val="000000"/>
          <w:sz w:val="24"/>
          <w:szCs w:val="24"/>
          <w:u w:val="none"/>
        </w:rPr>
        <w:t>indirect cost rate of 10% to be charged against modified total direct project costs as defined in 2 CFR §200.68. We understand that we must notify the Service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rsidP="00470374">
      <w:pPr>
        <w:pStyle w:val="Normal0"/>
        <w:keepLines w:val="0"/>
        <w:numPr>
          <w:ilvl w:val="0"/>
          <w:numId w:val="21"/>
        </w:numPr>
        <w:spacing w:before="20" w:after="2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A [insert your organization type] that is submitting this proposal for consideration under the [“Program Title”], which has a Department of the Interior-approve indirect cost rate cap of [insert program rate]. If we have an approved indirect cost rate with our cognizant agency, we understand that we must apply this reduced rate against the same direct cost base as identified in our approved indirect cost rate agreement per the Financial Assistance Interior Regulation (FAIR) 2 CFR §1402.414. If we do not have an approved indirect cost rate with our cognizant agency, we understand that must charge indirect costs against the modified total direct cost base defined in 2 CFR §200.68 “Modified Total Direct Cost (MTDC)”. We understand that we must request prior approval from </w:t>
      </w:r>
      <w:r>
        <w:rPr>
          <w:rFonts w:ascii="Times New Roman" w:eastAsia="Times New Roman" w:hAnsi="Times New Roman" w:cs="Times New Roman"/>
          <w:b/>
          <w:bCs/>
          <w:i w:val="0"/>
          <w:strike w:val="0"/>
          <w:color w:val="000000"/>
          <w:sz w:val="24"/>
          <w:szCs w:val="24"/>
          <w:u w:val="none"/>
        </w:rPr>
        <w:t xml:space="preserve">[insert Bureau Here] </w:t>
      </w:r>
      <w:r>
        <w:rPr>
          <w:rFonts w:ascii="Times New Roman" w:eastAsia="Times New Roman" w:hAnsi="Times New Roman" w:cs="Times New Roman"/>
          <w:b w:val="0"/>
          <w:bCs w:val="0"/>
          <w:i w:val="0"/>
          <w:strike w:val="0"/>
          <w:color w:val="000000"/>
          <w:sz w:val="24"/>
          <w:szCs w:val="24"/>
          <w:u w:val="none"/>
        </w:rPr>
        <w:t xml:space="preserve">to use the 2 CFR 200 MTDC base instead of the base identified in our approved indirect cost rate agreement. We understand that </w:t>
      </w:r>
      <w:r>
        <w:rPr>
          <w:rFonts w:ascii="Times New Roman" w:eastAsia="Times New Roman" w:hAnsi="Times New Roman" w:cs="Times New Roman"/>
          <w:b/>
          <w:bCs/>
          <w:i w:val="0"/>
          <w:strike w:val="0"/>
          <w:color w:val="000000"/>
          <w:sz w:val="24"/>
          <w:szCs w:val="24"/>
          <w:u w:val="none"/>
        </w:rPr>
        <w:t xml:space="preserve">[Insert Bureau Here] </w:t>
      </w:r>
      <w:r>
        <w:rPr>
          <w:rFonts w:ascii="Times New Roman" w:eastAsia="Times New Roman" w:hAnsi="Times New Roman" w:cs="Times New Roman"/>
          <w:b w:val="0"/>
          <w:bCs w:val="0"/>
          <w:i w:val="0"/>
          <w:strike w:val="0"/>
          <w:color w:val="000000"/>
          <w:sz w:val="24"/>
          <w:szCs w:val="24"/>
          <w:u w:val="none"/>
        </w:rPr>
        <w:t>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the indirect costs are not recovered due to a voluntary reduction to our federally negotiated rate are not allowable for recovery via any other means.</w:t>
      </w:r>
    </w:p>
    <w:p w:rsidP="00470374">
      <w:pPr>
        <w:pStyle w:val="Normal0"/>
        <w:keepLines w:val="0"/>
        <w:numPr>
          <w:ilvl w:val="0"/>
          <w:numId w:val="21"/>
        </w:numPr>
        <w:spacing w:before="20" w:after="15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 [insert your organization type] that will charge all costs directly.</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Prohibited Uses of Awards Funds</w:t>
      </w:r>
    </w:p>
    <w:p w:rsidP="00470374">
      <w:pPr>
        <w:keepLines w:val="0"/>
        <w:spacing w:before="6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Add any additional program restrictions here.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Reimbursement of Pre-Award Costs</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4" w:name="_Toc256000023"/>
      <w:r>
        <w:rPr>
          <w:iCs w:val="0"/>
          <w:color w:val="000000"/>
          <w:shd w:val="clear" w:color="auto" w:fill="auto"/>
        </w:rPr>
        <w:t>D7. Other Submission Requirements</w:t>
      </w:r>
      <w:bookmarkEnd w:id="24"/>
      <w:r>
        <w:rPr>
          <w:iCs w:val="0"/>
          <w:color w:val="000000"/>
          <w:shd w:val="clear" w:color="auto" w:fill="auto"/>
        </w:rPr>
        <w:t xml:space="preserve"> </w:t>
      </w:r>
    </w:p>
    <w:p w:rsidP="00470374">
      <w:pPr>
        <w:keepLines w:val="0"/>
        <w:spacing w:before="6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This section must address any other submission requirements not included in the other paragraphs of this section.</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 xml:space="preserve">Please be aware that the electronic submission process requires first time users to register using an e- Authentication process. This registration process can be somewhat complex and can take up to 3 weeks to complete. Be advised that it is virtually impossible to begin the process of electronic submission for the first time if you start just a few days before the due date. If you are from a university, contact your Office of Sponsored Programs. They may already have completed the registration process and should work with you to submit the application. </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 xml:space="preserve">If you have any questions or problems with the registration process, or the completion of the application package, please contact the grants.gov help desk at 1-800-518-4726 or </w:t>
      </w:r>
      <w:hyperlink r:id="rId25" w:history="1">
        <w:r>
          <w:rPr>
            <w:rStyle w:val="ahref"/>
            <w:rFonts w:ascii="Times New Roman" w:eastAsia="Times New Roman" w:hAnsi="Times New Roman" w:cs="Times New Roman"/>
            <w:b w:val="0"/>
            <w:bCs w:val="0"/>
            <w:i w:val="0"/>
            <w:strike w:val="0"/>
            <w:vanish w:val="0"/>
            <w:color w:val="0000FF"/>
            <w:sz w:val="24"/>
            <w:szCs w:val="24"/>
            <w:u w:val="single" w:color="0000FF"/>
          </w:rPr>
          <w:t>support@grants.gov</w:t>
        </w:r>
      </w:hyperlink>
      <w:r>
        <w:rPr>
          <w:rFonts w:ascii="Times New Roman" w:eastAsia="Times New Roman" w:hAnsi="Times New Roman" w:cs="Times New Roman"/>
          <w:b w:val="0"/>
          <w:bCs w:val="0"/>
          <w:i w:val="0"/>
          <w:strike w:val="0"/>
          <w:vanish w:val="0"/>
          <w:color w:val="000000"/>
          <w:sz w:val="24"/>
          <w:szCs w:val="24"/>
          <w:u w:val="none"/>
        </w:rPr>
        <w:t>.</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Briefly, when you submit a grant application package to Grants.gov, you will receive a confirmation screen as well as three additional emails over two business days from Grants.gov informing you of your application processing status: 1. Confirmation screen</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2. Submission Receipt (with “Track My Application” link) 3. Submission Validation (or Rejection with Errors) 4. Agency Retrieval</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CONFIRMATION: Submission Confirmation Screen.</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After you submit your grant application package, a confirmation screen will appear on your computer screen. This screen confirms that you have submitted an application to Grants.gov.</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NOTIFICATION 1: Submission Receipt Email Within two business days after your application package has been received by the Grants.gov system, you will receive a submission receipt email which indicates that your submission has entered the Grants.gov system and is ready for validation. This email also contains a tracking number for use while tracking the status of the submission as well as a “Track My Application” link, to use to see the progress of your submission.</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 xml:space="preserve">NOTIFICATION 2: Submission Validation Receipt Email – This is the important one! </w:t>
      </w:r>
      <w:r>
        <w:rPr>
          <w:rFonts w:ascii="Times New Roman" w:eastAsia="Times New Roman" w:hAnsi="Times New Roman" w:cs="Times New Roman"/>
          <w:b w:val="0"/>
          <w:bCs w:val="0"/>
          <w:i w:val="0"/>
          <w:strike w:val="0"/>
          <w:vanish w:val="0"/>
          <w:color w:val="000000"/>
          <w:sz w:val="24"/>
          <w:szCs w:val="24"/>
          <w:u w:val="none"/>
        </w:rPr>
        <w:t>After you receive the submission receipt email, the next email you will receive will be a message validating or rejecting your submitted application package with errors. The Grants.gov system is designed to check for technical errors within the submitted application package. Grants.gov does not review application content for award determination. Grants.gov will not post the application if there are errors. Failure to correct errors and submit by the date and time for closing may not be a reason for accepting a late application.</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 xml:space="preserve">NOTIFICATION 3: Grantor Agency Retrieval Email Once your application package has passed validation it is delivered to the grantor for award determination and further approval. After the grantor has confirmed receipt of your application, you will be sent a </w:t>
      </w:r>
      <w:r>
        <w:rPr>
          <w:rFonts w:ascii="Times New Roman" w:eastAsia="Times New Roman" w:hAnsi="Times New Roman" w:cs="Times New Roman"/>
          <w:b/>
          <w:bCs/>
          <w:i w:val="0"/>
          <w:strike w:val="0"/>
          <w:vanish w:val="0"/>
          <w:color w:val="000000"/>
          <w:sz w:val="24"/>
          <w:szCs w:val="24"/>
          <w:u w:val="none"/>
        </w:rPr>
        <w:t xml:space="preserve">third and final email </w:t>
      </w:r>
      <w:r>
        <w:rPr>
          <w:rFonts w:ascii="Times New Roman" w:eastAsia="Times New Roman" w:hAnsi="Times New Roman" w:cs="Times New Roman"/>
          <w:b w:val="0"/>
          <w:bCs w:val="0"/>
          <w:i w:val="0"/>
          <w:strike w:val="0"/>
          <w:vanish w:val="0"/>
          <w:color w:val="000000"/>
          <w:sz w:val="24"/>
          <w:szCs w:val="24"/>
          <w:u w:val="none"/>
        </w:rPr>
        <w:t>from Grants.gov. The grantor may also assign your application package an agency specific tracking number for use within their internal system. IF YOU HAVE NOT RECEIVED THIS E- MAIL WITHIN FOUR DAYS OF THE CLOSING DATE, PLEASE CONTACT THE CONTRACTING OFFICER.</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 xml:space="preserve">If you need help entering your proposal, you can reach the </w:t>
      </w:r>
      <w:r>
        <w:rPr>
          <w:rFonts w:ascii="Times New Roman" w:eastAsia="Times New Roman" w:hAnsi="Times New Roman" w:cs="Times New Roman"/>
          <w:b/>
          <w:bCs/>
          <w:i w:val="0"/>
          <w:strike w:val="0"/>
          <w:vanish w:val="0"/>
          <w:color w:val="000000"/>
          <w:sz w:val="24"/>
          <w:szCs w:val="24"/>
          <w:u w:val="none"/>
        </w:rPr>
        <w:t xml:space="preserve">Grants.gov Contact Center at: </w:t>
      </w:r>
      <w:r>
        <w:rPr>
          <w:rFonts w:ascii="Times New Roman" w:eastAsia="Times New Roman" w:hAnsi="Times New Roman" w:cs="Times New Roman"/>
          <w:b w:val="0"/>
          <w:bCs w:val="0"/>
          <w:i w:val="0"/>
          <w:strike w:val="0"/>
          <w:vanish w:val="0"/>
          <w:color w:val="000000"/>
          <w:sz w:val="24"/>
          <w:szCs w:val="24"/>
          <w:u w:val="none"/>
        </w:rPr>
        <w:t>1-800- 518- 4726. Their hours of operation are Monday-Friday, 7:00 a.m. to 9:00 p.m., Eastern Time, and they are closed on Federal Holidays.</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During the application period an applicant may submit a revised or corrected proposal through grants.gov. Include a cover letter as the first page of the proposal stating that the proposal is revised and indicating that the previous submittal is to be withdrawn from consideration. See Section 11, Application Preparation Instructions, which describes requirements for the proposal and other application components.</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Please allow sufficient time for the proposal to be submitted electronically through Grants.gov and allow time for possible computer delays. Applicants are strongly advised not to wait until the last minute for submission. A proposal received after the closing date and time will NOT be considered for award. If the USGS determines that a proposal will not be considered for award due to lateness, the applicant will be notified immediately.</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5" w:name="_Toc256000024"/>
      <w:r>
        <w:rPr>
          <w:iCs w:val="0"/>
          <w:color w:val="000000"/>
          <w:shd w:val="clear" w:color="auto" w:fill="auto"/>
        </w:rPr>
        <w:t>D8. Application Checklist</w:t>
      </w:r>
      <w:bookmarkEnd w:id="25"/>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SF-424, Application for Federal Assistance or Application for Federal Assistance-Individual</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SF-424B or D, Assurances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Project Narrative</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SF-424A or C, Budget Information</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Budget Narrative</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Indirect Cost Statement and related documentation (when applicable)</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Conflict of Internet Disclose (when applicable)</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Data Availability (when applicable)</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SF-LLL, Disclosure of Lobbying Activites (when applicable)</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1Heading1"/>
        <w:widowControl/>
        <w:spacing w:before="161" w:after="161"/>
        <w:ind w:left="45" w:right="45"/>
        <w:outlineLvl w:val="9"/>
        <w:rPr>
          <w:b/>
          <w:bCs/>
          <w:szCs w:val="24"/>
        </w:rPr>
      </w:pPr>
      <w:bookmarkStart w:id="26" w:name="_Toc256000025"/>
      <w:r>
        <w:rPr>
          <w:color w:val="000000"/>
          <w:kern w:val="0"/>
          <w:shd w:val="clear" w:color="auto" w:fill="auto"/>
        </w:rPr>
        <w:t>E. Application Review Information</w:t>
      </w:r>
      <w:bookmarkEnd w:id="26"/>
    </w:p>
    <w:p w:rsidP="00470374">
      <w:pPr>
        <w:keepLines w:val="0"/>
        <w:spacing w:before="120" w:after="6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This section must address the criteria that the Federal awarding agency will use to evaluate applications. This includes the merit and other review criteria that evaluators will use to judge applications, including any statutory, regulatory, or other preferences (e.g., minority status or Native American tribal preferences) that will be applied in the review process.</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7" w:name="_Toc256000026"/>
      <w:r>
        <w:rPr>
          <w:iCs w:val="0"/>
          <w:color w:val="000000"/>
          <w:shd w:val="clear" w:color="auto" w:fill="auto"/>
        </w:rPr>
        <w:t>E1. Criteria</w:t>
      </w:r>
      <w:bookmarkEnd w:id="27"/>
    </w:p>
    <w:p w:rsidP="00470374">
      <w:pPr>
        <w:pStyle w:val="Hidden"/>
        <w:keepLines w:val="0"/>
        <w:spacing w:before="120" w:after="60"/>
        <w:ind w:left="0"/>
        <w:jc w:val="left"/>
        <w:rPr>
          <w:rFonts w:ascii="Times New Roman" w:eastAsia="Times New Roman" w:hAnsi="Times New Roman" w:cs="Times New Roman"/>
          <w:b w:val="0"/>
          <w:i w:val="0"/>
          <w:strike w:val="0"/>
          <w:vanish/>
          <w:color w:val="009745"/>
          <w:sz w:val="24"/>
          <w:u w:val="none"/>
        </w:rPr>
      </w:pPr>
      <w:r>
        <w:rPr>
          <w:rFonts w:ascii="Times New Roman" w:eastAsia="Times New Roman" w:hAnsi="Times New Roman" w:cs="Times New Roman"/>
          <w:b/>
          <w:bCs/>
          <w:i w:val="0"/>
          <w:strike w:val="0"/>
          <w:vanish/>
          <w:color w:val="009745"/>
          <w:sz w:val="24"/>
          <w:u w:val="none"/>
        </w:rPr>
        <w:t>Author Instructions</w:t>
      </w:r>
      <w:r>
        <w:rPr>
          <w:rFonts w:ascii="Times New Roman" w:eastAsia="Times New Roman" w:hAnsi="Times New Roman" w:cs="Times New Roman"/>
          <w:b/>
          <w:bCs/>
          <w:i/>
          <w:iCs/>
          <w:strike w:val="0"/>
          <w:vanish/>
          <w:color w:val="009745"/>
          <w:sz w:val="24"/>
          <w:u w:val="none"/>
        </w:rPr>
        <w:t>:</w:t>
      </w:r>
      <w:r>
        <w:rPr>
          <w:rFonts w:ascii="Times New Roman" w:eastAsia="Times New Roman" w:hAnsi="Times New Roman" w:cs="Times New Roman"/>
          <w:b w:val="0"/>
          <w:i w:val="0"/>
          <w:strike w:val="0"/>
          <w:vanish/>
          <w:color w:val="009745"/>
          <w:sz w:val="24"/>
          <w:u w:val="none"/>
        </w:rPr>
        <w:t xml:space="preserve"> </w:t>
      </w:r>
      <w:r>
        <w:rPr>
          <w:rFonts w:ascii="Times New Roman" w:eastAsia="Times New Roman" w:hAnsi="Times New Roman" w:cs="Times New Roman"/>
          <w:b w:val="0"/>
          <w:i/>
          <w:iCs/>
          <w:strike w:val="0"/>
          <w:vanish/>
          <w:color w:val="009745"/>
          <w:sz w:val="24"/>
          <w:u w:val="none"/>
        </w:rPr>
        <w:t>All Competitive programs must design formal application evaluation and selection procedures before posting Notices of Funding Opportunity on Grants.gov.</w:t>
      </w:r>
      <w:r>
        <w:rPr>
          <w:rFonts w:ascii="Times New Roman" w:eastAsia="Times New Roman" w:hAnsi="Times New Roman" w:cs="Times New Roman"/>
          <w:b w:val="0"/>
          <w:i/>
          <w:iCs/>
          <w:strike w:val="0"/>
          <w:vanish/>
          <w:color w:val="009745"/>
          <w:sz w:val="24"/>
          <w:u w:val="none"/>
        </w:rPr>
        <w:t xml:space="preserve"> </w:t>
      </w:r>
      <w:r>
        <w:rPr>
          <w:rFonts w:ascii="Times New Roman" w:eastAsia="Times New Roman" w:hAnsi="Times New Roman" w:cs="Times New Roman"/>
          <w:b w:val="0"/>
          <w:i/>
          <w:iCs/>
          <w:strike w:val="0"/>
          <w:vanish/>
          <w:color w:val="009745"/>
          <w:sz w:val="24"/>
          <w:u w:val="none"/>
        </w:rPr>
        <w:t xml:space="preserve"> Programs must document these procedures in writing and either describe them in full, or incorporate them by reference, in all Notices of Funding Opportunity.</w:t>
      </w:r>
      <w:r>
        <w:rPr>
          <w:rFonts w:ascii="Times New Roman" w:eastAsia="Times New Roman" w:hAnsi="Times New Roman" w:cs="Times New Roman"/>
          <w:b w:val="0"/>
          <w:i/>
          <w:iCs/>
          <w:strike w:val="0"/>
          <w:vanish/>
          <w:color w:val="009745"/>
          <w:sz w:val="24"/>
          <w:u w:val="none"/>
        </w:rPr>
        <w:t xml:space="preserve"> </w:t>
      </w:r>
      <w:r>
        <w:rPr>
          <w:rFonts w:ascii="Times New Roman" w:eastAsia="Times New Roman" w:hAnsi="Times New Roman" w:cs="Times New Roman"/>
          <w:b w:val="0"/>
          <w:i/>
          <w:iCs/>
          <w:strike w:val="0"/>
          <w:vanish/>
          <w:color w:val="009745"/>
          <w:sz w:val="24"/>
          <w:u w:val="none"/>
        </w:rPr>
        <w:t xml:space="preserve"> Describe all criteria and sub-criteria used to evaluate applications, including merit and other criteria used to judge applications.</w:t>
      </w:r>
      <w:r>
        <w:rPr>
          <w:rFonts w:ascii="Times New Roman" w:eastAsia="Times New Roman" w:hAnsi="Times New Roman" w:cs="Times New Roman"/>
          <w:b w:val="0"/>
          <w:i/>
          <w:iCs/>
          <w:strike w:val="0"/>
          <w:vanish/>
          <w:color w:val="009745"/>
          <w:sz w:val="24"/>
          <w:u w:val="none"/>
        </w:rPr>
        <w:t xml:space="preserve"> </w:t>
      </w:r>
      <w:r>
        <w:rPr>
          <w:rFonts w:ascii="Times New Roman" w:eastAsia="Times New Roman" w:hAnsi="Times New Roman" w:cs="Times New Roman"/>
          <w:b w:val="0"/>
          <w:i/>
          <w:iCs/>
          <w:strike w:val="0"/>
          <w:vanish/>
          <w:color w:val="009745"/>
          <w:sz w:val="24"/>
          <w:u w:val="none"/>
        </w:rPr>
        <w:t xml:space="preserve"> Include any statutory, regulatory, or other preferences applicable to the process and provide a detailed explanation of those and their effect (e.g., result in additional points). These criteria are different from eligibility criteria addressed before accepting an application for review and any program policy applied during selection after the review process is complete.</w:t>
      </w:r>
      <w:r>
        <w:rPr>
          <w:rFonts w:ascii="Times New Roman" w:eastAsia="Times New Roman" w:hAnsi="Times New Roman" w:cs="Times New Roman"/>
          <w:b w:val="0"/>
          <w:i/>
          <w:iCs/>
          <w:strike w:val="0"/>
          <w:vanish/>
          <w:color w:val="009745"/>
          <w:sz w:val="24"/>
          <w:u w:val="none"/>
        </w:rPr>
        <w:t xml:space="preserve"> </w:t>
      </w:r>
      <w:r>
        <w:rPr>
          <w:rFonts w:ascii="Times New Roman" w:eastAsia="Times New Roman" w:hAnsi="Times New Roman" w:cs="Times New Roman"/>
          <w:b w:val="0"/>
          <w:i/>
          <w:iCs/>
          <w:strike w:val="0"/>
          <w:vanish/>
          <w:color w:val="009745"/>
          <w:sz w:val="24"/>
          <w:u w:val="none"/>
        </w:rPr>
        <w:t xml:space="preserve"> The intent is to be transparent about the process so all applicants have a fair opportunity to address those in their applications.</w:t>
      </w:r>
      <w:r>
        <w:rPr>
          <w:rFonts w:ascii="Times New Roman" w:eastAsia="Times New Roman" w:hAnsi="Times New Roman" w:cs="Times New Roman"/>
          <w:b w:val="0"/>
          <w:i/>
          <w:iCs/>
          <w:strike w:val="0"/>
          <w:vanish/>
          <w:color w:val="009745"/>
          <w:sz w:val="24"/>
          <w:u w:val="none"/>
        </w:rPr>
        <w:t xml:space="preserve"> </w:t>
      </w:r>
      <w:r>
        <w:rPr>
          <w:rFonts w:ascii="Times New Roman" w:eastAsia="Times New Roman" w:hAnsi="Times New Roman" w:cs="Times New Roman"/>
          <w:b w:val="0"/>
          <w:i/>
          <w:iCs/>
          <w:strike w:val="0"/>
          <w:vanish/>
          <w:color w:val="009745"/>
          <w:sz w:val="24"/>
          <w:u w:val="none"/>
        </w:rPr>
        <w:t xml:space="preserve"> If cost sharing will be considered in the review (as opposed to being treated as an eligibility criterion), specifically address how it will be considered (e.g., results in additional points, or to break ties between applicants with equivalent scores after evaluation of all other factors).</w:t>
      </w:r>
      <w:r>
        <w:rPr>
          <w:rFonts w:ascii="Times New Roman" w:eastAsia="Times New Roman" w:hAnsi="Times New Roman" w:cs="Times New Roman"/>
          <w:b w:val="0"/>
          <w:i/>
          <w:iCs/>
          <w:strike w:val="0"/>
          <w:vanish/>
          <w:color w:val="009745"/>
          <w:sz w:val="24"/>
          <w:u w:val="none"/>
        </w:rPr>
        <w:t xml:space="preserve"> </w:t>
      </w:r>
      <w:r>
        <w:rPr>
          <w:rFonts w:ascii="Times New Roman" w:eastAsia="Times New Roman" w:hAnsi="Times New Roman" w:cs="Times New Roman"/>
          <w:b w:val="0"/>
          <w:i/>
          <w:iCs/>
          <w:strike w:val="0"/>
          <w:vanish/>
          <w:color w:val="009745"/>
          <w:sz w:val="24"/>
          <w:u w:val="none"/>
        </w:rPr>
        <w:t xml:space="preserve"> Clearly state any restrictions on the types of costs that are acceptable as cost sharing</w:t>
      </w:r>
      <w:r>
        <w:rPr>
          <w:rFonts w:ascii="Times New Roman" w:eastAsia="Times New Roman" w:hAnsi="Times New Roman" w:cs="Times New Roman"/>
          <w:b w:val="0"/>
          <w:i w:val="0"/>
          <w:strike w:val="0"/>
          <w:vanish/>
          <w:color w:val="009745"/>
          <w:sz w:val="24"/>
          <w:u w:val="none"/>
        </w:rPr>
        <w:t xml:space="preserve"> </w:t>
      </w:r>
    </w:p>
    <w:p w:rsidP="00470374">
      <w:pPr>
        <w:pStyle w:val="p0"/>
        <w:keepLines w:val="0"/>
        <w:spacing w:before="0" w:after="140"/>
        <w:ind w:left="0"/>
        <w:jc w:val="left"/>
        <w:rPr>
          <w:rFonts w:ascii="Times New Roman" w:eastAsia="Times New Roman" w:hAnsi="Times New Roman" w:cs="Times New Roman"/>
          <w:b w:val="0"/>
          <w:i w:val="0"/>
          <w:strike w:val="0"/>
          <w:vanish/>
          <w:color w:val="009745"/>
          <w:sz w:val="24"/>
          <w:szCs w:val="24"/>
          <w:u w:val="none"/>
        </w:rPr>
      </w:pPr>
      <w:r>
        <w:rPr>
          <w:rFonts w:ascii="Times New Roman" w:eastAsia="Times New Roman" w:hAnsi="Times New Roman" w:cs="Times New Roman"/>
          <w:b w:val="0"/>
          <w:i w:val="0"/>
          <w:strike w:val="0"/>
          <w:vanish/>
          <w:color w:val="009745"/>
          <w:sz w:val="24"/>
          <w:szCs w:val="24"/>
          <w:u w:val="none"/>
        </w:rPr>
        <w:t xml:space="preserve"> </w:t>
      </w:r>
    </w:p>
    <w:p w:rsidP="00470374">
      <w:pPr>
        <w:keepLines w:val="0"/>
        <w:spacing w:before="120" w:after="60"/>
        <w:ind w:left="0"/>
        <w:jc w:val="left"/>
        <w:rPr>
          <w:rFonts w:ascii="Times New Roman" w:eastAsia="Times New Roman" w:hAnsi="Times New Roman" w:cs="Times New Roman"/>
          <w:b w:val="0"/>
          <w:i w:val="0"/>
          <w:strike w:val="0"/>
          <w:vanish/>
          <w:color w:val="000000"/>
          <w:sz w:val="24"/>
          <w:u w:val="none"/>
        </w:rPr>
      </w:pPr>
    </w:p>
    <w:tbl>
      <w:tblPr>
        <w:tblStyle w:val="tablecriteria-linked-element"/>
        <w:tblW w:w="5000" w:type="pct"/>
        <w:tblCellSpacing w:w="0" w:type="dxa"/>
        <w:tblInd w:w="15" w:type="dxa"/>
        <w:tblCellMar>
          <w:top w:w="15" w:type="dxa"/>
          <w:left w:w="15" w:type="dxa"/>
          <w:bottom w:w="15" w:type="dxa"/>
          <w:right w:w="15" w:type="dxa"/>
        </w:tblCellMar>
        <w:tblLook w:val="05E0"/>
      </w:tblPr>
      <w:tblGrid>
        <w:gridCol w:w="6074"/>
        <w:gridCol w:w="3271"/>
      </w:tblGrid>
      <w:tr>
        <w:tblPrEx>
          <w:tblW w:w="5000" w:type="pct"/>
          <w:tblCellSpacing w:w="0" w:type="dxa"/>
          <w:tblInd w:w="15" w:type="dxa"/>
          <w:tblCellMar>
            <w:top w:w="15" w:type="dxa"/>
            <w:left w:w="15" w:type="dxa"/>
            <w:bottom w:w="15" w:type="dxa"/>
            <w:right w:w="15" w:type="dxa"/>
          </w:tblCellMar>
          <w:tblLook w:val="05E0"/>
        </w:tblPrEx>
        <w:trPr>
          <w:tblCellSpacing w:w="0" w:type="dxa"/>
        </w:trPr>
        <w:tc>
          <w:tcPr>
            <w:tcW w:w="3250" w:type="pct"/>
            <w:noWrap w:val="0"/>
            <w:tcMar>
              <w:top w:w="15" w:type="dxa"/>
              <w:left w:w="15" w:type="dxa"/>
              <w:bottom w:w="15" w:type="dxa"/>
              <w:right w:w="15" w:type="dxa"/>
            </w:tcMar>
            <w:vAlign w:val="center"/>
            <w:hideMark/>
          </w:tcPr>
          <w:p w:rsidP="00470374">
            <w:pPr>
              <w:keepLines w:val="0"/>
              <w:spacing w:before="20" w:after="20"/>
              <w:ind w:left="0"/>
              <w:jc w:val="left"/>
              <w:rPr>
                <w:rFonts w:ascii="Times New Roman" w:eastAsia="Times New Roman" w:hAnsi="Times New Roman" w:cs="Times New Roman"/>
                <w:b/>
                <w:bCs/>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 xml:space="preserve">1. Scientific Quality and Impact </w:t>
            </w:r>
          </w:p>
        </w:tc>
        <w:tc>
          <w:tcPr>
            <w:tcW w:w="1750" w:type="pct"/>
            <w:noWrap w:val="0"/>
            <w:tcMar>
              <w:top w:w="15" w:type="dxa"/>
              <w:left w:w="15" w:type="dxa"/>
              <w:bottom w:w="15" w:type="dxa"/>
              <w:right w:w="15" w:type="dxa"/>
            </w:tcMar>
            <w:vAlign w:val="center"/>
            <w:hideMark/>
          </w:tcPr>
          <w:p w:rsidP="00470374">
            <w:pPr>
              <w:keepLines w:val="0"/>
              <w:spacing w:before="20" w:after="20"/>
              <w:ind w:left="0"/>
              <w:jc w:val="right"/>
              <w:rPr>
                <w:rFonts w:ascii="Times New Roman" w:eastAsia="Times New Roman" w:hAnsi="Times New Roman" w:cs="Times New Roman"/>
                <w:b/>
                <w:bCs/>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 xml:space="preserve">Maximum Points: </w:t>
            </w:r>
            <w:r>
              <w:rPr>
                <w:rStyle w:val="criteria-linked-elementdata-modeexportcriteria-score"/>
                <w:rFonts w:ascii="Times New Roman" w:eastAsia="Times New Roman" w:hAnsi="Times New Roman" w:cs="Times New Roman"/>
                <w:b w:val="0"/>
                <w:bCs w:val="0"/>
                <w:i w:val="0"/>
                <w:strike w:val="0"/>
                <w:vanish w:val="0"/>
                <w:color w:val="000000"/>
                <w:sz w:val="24"/>
                <w:szCs w:val="24"/>
                <w:u w:val="none"/>
                <w:bdr w:val="none" w:sz="0" w:space="0" w:color="auto"/>
              </w:rPr>
              <w:t>20</w:t>
            </w:r>
            <w:r>
              <w:rPr>
                <w:rStyle w:val="criteria-linked-elementdata-modeexportcriteria-score"/>
                <w:rFonts w:ascii="Times New Roman" w:eastAsia="Times New Roman" w:hAnsi="Times New Roman" w:cs="Times New Roman"/>
                <w:b w:val="0"/>
                <w:bCs w:val="0"/>
                <w:i w:val="0"/>
                <w:strike w:val="0"/>
                <w:vanish w:val="0"/>
                <w:color w:val="000000"/>
                <w:sz w:val="24"/>
                <w:szCs w:val="24"/>
                <w:u w:val="none"/>
              </w:rPr>
              <w:t xml:space="preserve"> </w:t>
            </w:r>
          </w:p>
        </w:tc>
      </w:tr>
      <w:tr>
        <w:tblPrEx>
          <w:tblW w:w="5000" w:type="pct"/>
          <w:tblCellSpacing w:w="0" w:type="dxa"/>
          <w:tblInd w:w="15" w:type="dxa"/>
          <w:tblCellMar>
            <w:top w:w="15" w:type="dxa"/>
            <w:left w:w="15" w:type="dxa"/>
            <w:bottom w:w="15" w:type="dxa"/>
            <w:right w:w="15" w:type="dxa"/>
          </w:tblCellMar>
          <w:tblLook w:val="05E0"/>
        </w:tblPrEx>
        <w:trPr>
          <w:tblCellSpacing w:w="0" w:type="dxa"/>
        </w:trPr>
        <w:tc>
          <w:tcPr>
            <w:gridSpan w:val="2"/>
            <w:noWrap w:val="0"/>
            <w:tcMar>
              <w:top w:w="0" w:type="dxa"/>
              <w:left w:w="0" w:type="dxa"/>
              <w:bottom w:w="0" w:type="dxa"/>
              <w:right w:w="0" w:type="dxa"/>
            </w:tcMar>
            <w:vAlign w:val="center"/>
            <w:hideMark/>
          </w:tcPr>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Is the proposed study of high scientific quality with clear objectives? What is the relevance to BOEM's mission?</w:t>
            </w:r>
          </w:p>
        </w:tc>
      </w:tr>
    </w:tbl>
    <w:p>
      <w:pPr>
        <w:rPr>
          <w:vanish/>
        </w:rPr>
      </w:pPr>
    </w:p>
    <w:tbl>
      <w:tblPr>
        <w:tblStyle w:val="tablecriteria-linked-element"/>
        <w:tblW w:w="5000" w:type="pct"/>
        <w:tblCellSpacing w:w="0" w:type="dxa"/>
        <w:tblInd w:w="15" w:type="dxa"/>
        <w:tblCellMar>
          <w:top w:w="15" w:type="dxa"/>
          <w:left w:w="15" w:type="dxa"/>
          <w:bottom w:w="15" w:type="dxa"/>
          <w:right w:w="15" w:type="dxa"/>
        </w:tblCellMar>
        <w:tblLook w:val="05E0"/>
      </w:tblPr>
      <w:tblGrid>
        <w:gridCol w:w="6074"/>
        <w:gridCol w:w="3271"/>
      </w:tblGrid>
      <w:tr>
        <w:tblPrEx>
          <w:tblW w:w="5000" w:type="pct"/>
          <w:tblCellSpacing w:w="0" w:type="dxa"/>
          <w:tblInd w:w="15" w:type="dxa"/>
          <w:tblCellMar>
            <w:top w:w="15" w:type="dxa"/>
            <w:left w:w="15" w:type="dxa"/>
            <w:bottom w:w="15" w:type="dxa"/>
            <w:right w:w="15" w:type="dxa"/>
          </w:tblCellMar>
          <w:tblLook w:val="05E0"/>
        </w:tblPrEx>
        <w:trPr>
          <w:tblCellSpacing w:w="0" w:type="dxa"/>
        </w:trPr>
        <w:tc>
          <w:tcPr>
            <w:tcW w:w="3250" w:type="pct"/>
            <w:noWrap w:val="0"/>
            <w:tcMar>
              <w:top w:w="15" w:type="dxa"/>
              <w:left w:w="15" w:type="dxa"/>
              <w:bottom w:w="15" w:type="dxa"/>
              <w:right w:w="15" w:type="dxa"/>
            </w:tcMar>
            <w:vAlign w:val="center"/>
            <w:hideMark/>
          </w:tcPr>
          <w:p w:rsidP="00470374">
            <w:pPr>
              <w:keepLines w:val="0"/>
              <w:spacing w:before="20" w:after="20"/>
              <w:ind w:left="0"/>
              <w:jc w:val="left"/>
              <w:rPr>
                <w:rFonts w:ascii="Times New Roman" w:eastAsia="Times New Roman" w:hAnsi="Times New Roman" w:cs="Times New Roman"/>
                <w:b/>
                <w:bCs/>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 xml:space="preserve">2. Work Plan/Methodology </w:t>
            </w:r>
          </w:p>
        </w:tc>
        <w:tc>
          <w:tcPr>
            <w:tcW w:w="1750" w:type="pct"/>
            <w:noWrap w:val="0"/>
            <w:tcMar>
              <w:top w:w="15" w:type="dxa"/>
              <w:left w:w="15" w:type="dxa"/>
              <w:bottom w:w="15" w:type="dxa"/>
              <w:right w:w="15" w:type="dxa"/>
            </w:tcMar>
            <w:vAlign w:val="center"/>
            <w:hideMark/>
          </w:tcPr>
          <w:p w:rsidP="00470374">
            <w:pPr>
              <w:keepLines w:val="0"/>
              <w:spacing w:before="20" w:after="20"/>
              <w:ind w:left="0"/>
              <w:jc w:val="right"/>
              <w:rPr>
                <w:rFonts w:ascii="Times New Roman" w:eastAsia="Times New Roman" w:hAnsi="Times New Roman" w:cs="Times New Roman"/>
                <w:b/>
                <w:bCs/>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 xml:space="preserve">Maximum Points: </w:t>
            </w:r>
            <w:r>
              <w:rPr>
                <w:rStyle w:val="criteria-linked-elementdata-modeexportcriteria-score"/>
                <w:rFonts w:ascii="Times New Roman" w:eastAsia="Times New Roman" w:hAnsi="Times New Roman" w:cs="Times New Roman"/>
                <w:b w:val="0"/>
                <w:bCs w:val="0"/>
                <w:i w:val="0"/>
                <w:strike w:val="0"/>
                <w:vanish w:val="0"/>
                <w:color w:val="000000"/>
                <w:sz w:val="24"/>
                <w:szCs w:val="24"/>
                <w:u w:val="none"/>
                <w:bdr w:val="none" w:sz="0" w:space="0" w:color="auto"/>
              </w:rPr>
              <w:t>20</w:t>
            </w:r>
            <w:r>
              <w:rPr>
                <w:rStyle w:val="criteria-linked-elementdata-modeexportcriteria-score"/>
                <w:rFonts w:ascii="Times New Roman" w:eastAsia="Times New Roman" w:hAnsi="Times New Roman" w:cs="Times New Roman"/>
                <w:b w:val="0"/>
                <w:bCs w:val="0"/>
                <w:i w:val="0"/>
                <w:strike w:val="0"/>
                <w:vanish w:val="0"/>
                <w:color w:val="000000"/>
                <w:sz w:val="24"/>
                <w:szCs w:val="24"/>
                <w:u w:val="none"/>
              </w:rPr>
              <w:t xml:space="preserve"> </w:t>
            </w:r>
          </w:p>
        </w:tc>
      </w:tr>
      <w:tr>
        <w:tblPrEx>
          <w:tblW w:w="5000" w:type="pct"/>
          <w:tblCellSpacing w:w="0" w:type="dxa"/>
          <w:tblInd w:w="15" w:type="dxa"/>
          <w:tblCellMar>
            <w:top w:w="15" w:type="dxa"/>
            <w:left w:w="15" w:type="dxa"/>
            <w:bottom w:w="15" w:type="dxa"/>
            <w:right w:w="15" w:type="dxa"/>
          </w:tblCellMar>
          <w:tblLook w:val="05E0"/>
        </w:tblPrEx>
        <w:trPr>
          <w:tblCellSpacing w:w="0" w:type="dxa"/>
        </w:trPr>
        <w:tc>
          <w:tcPr>
            <w:gridSpan w:val="2"/>
            <w:noWrap w:val="0"/>
            <w:tcMar>
              <w:top w:w="0" w:type="dxa"/>
              <w:left w:w="0" w:type="dxa"/>
              <w:bottom w:w="0" w:type="dxa"/>
              <w:right w:w="0" w:type="dxa"/>
            </w:tcMar>
            <w:vAlign w:val="center"/>
            <w:hideMark/>
          </w:tcPr>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Is the strategy coherent and clear? Are the scientific objectives appropriate for the proposed timeframe? Are the geographic areas selected for the study appropriate? Are the proposed methods appropriate and adequate to meet the objectives? Are logistics adequately addressed? Does the proposal address contingency plans for missed field work, equipment failure, and other problems?</w:t>
            </w:r>
          </w:p>
        </w:tc>
      </w:tr>
    </w:tbl>
    <w:p>
      <w:pPr>
        <w:rPr>
          <w:vanish/>
        </w:rPr>
      </w:pPr>
    </w:p>
    <w:tbl>
      <w:tblPr>
        <w:tblStyle w:val="tablecriteria-linked-element"/>
        <w:tblW w:w="5000" w:type="pct"/>
        <w:tblCellSpacing w:w="0" w:type="dxa"/>
        <w:tblInd w:w="15" w:type="dxa"/>
        <w:tblCellMar>
          <w:top w:w="15" w:type="dxa"/>
          <w:left w:w="15" w:type="dxa"/>
          <w:bottom w:w="15" w:type="dxa"/>
          <w:right w:w="15" w:type="dxa"/>
        </w:tblCellMar>
        <w:tblLook w:val="05E0"/>
      </w:tblPr>
      <w:tblGrid>
        <w:gridCol w:w="6074"/>
        <w:gridCol w:w="3271"/>
      </w:tblGrid>
      <w:tr>
        <w:tblPrEx>
          <w:tblW w:w="5000" w:type="pct"/>
          <w:tblCellSpacing w:w="0" w:type="dxa"/>
          <w:tblInd w:w="15" w:type="dxa"/>
          <w:tblCellMar>
            <w:top w:w="15" w:type="dxa"/>
            <w:left w:w="15" w:type="dxa"/>
            <w:bottom w:w="15" w:type="dxa"/>
            <w:right w:w="15" w:type="dxa"/>
          </w:tblCellMar>
          <w:tblLook w:val="05E0"/>
        </w:tblPrEx>
        <w:trPr>
          <w:tblCellSpacing w:w="0" w:type="dxa"/>
        </w:trPr>
        <w:tc>
          <w:tcPr>
            <w:tcW w:w="3250" w:type="pct"/>
            <w:noWrap w:val="0"/>
            <w:tcMar>
              <w:top w:w="15" w:type="dxa"/>
              <w:left w:w="15" w:type="dxa"/>
              <w:bottom w:w="15" w:type="dxa"/>
              <w:right w:w="15" w:type="dxa"/>
            </w:tcMar>
            <w:vAlign w:val="center"/>
            <w:hideMark/>
          </w:tcPr>
          <w:p w:rsidP="00470374">
            <w:pPr>
              <w:keepLines w:val="0"/>
              <w:spacing w:before="20" w:after="20"/>
              <w:ind w:left="0"/>
              <w:jc w:val="left"/>
              <w:rPr>
                <w:rFonts w:ascii="Times New Roman" w:eastAsia="Times New Roman" w:hAnsi="Times New Roman" w:cs="Times New Roman"/>
                <w:b/>
                <w:bCs/>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 xml:space="preserve">3. Experience/Competence of Research Personnel </w:t>
            </w:r>
          </w:p>
        </w:tc>
        <w:tc>
          <w:tcPr>
            <w:tcW w:w="1750" w:type="pct"/>
            <w:noWrap w:val="0"/>
            <w:tcMar>
              <w:top w:w="15" w:type="dxa"/>
              <w:left w:w="15" w:type="dxa"/>
              <w:bottom w:w="15" w:type="dxa"/>
              <w:right w:w="15" w:type="dxa"/>
            </w:tcMar>
            <w:vAlign w:val="center"/>
            <w:hideMark/>
          </w:tcPr>
          <w:p w:rsidP="00470374">
            <w:pPr>
              <w:keepLines w:val="0"/>
              <w:spacing w:before="20" w:after="20"/>
              <w:ind w:left="0"/>
              <w:jc w:val="right"/>
              <w:rPr>
                <w:rFonts w:ascii="Times New Roman" w:eastAsia="Times New Roman" w:hAnsi="Times New Roman" w:cs="Times New Roman"/>
                <w:b/>
                <w:bCs/>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 xml:space="preserve">Maximum Points: </w:t>
            </w:r>
            <w:r>
              <w:rPr>
                <w:rStyle w:val="criteria-linked-elementdata-modeexportcriteria-score"/>
                <w:rFonts w:ascii="Times New Roman" w:eastAsia="Times New Roman" w:hAnsi="Times New Roman" w:cs="Times New Roman"/>
                <w:b w:val="0"/>
                <w:bCs w:val="0"/>
                <w:i w:val="0"/>
                <w:strike w:val="0"/>
                <w:vanish w:val="0"/>
                <w:color w:val="000000"/>
                <w:sz w:val="24"/>
                <w:szCs w:val="24"/>
                <w:u w:val="none"/>
                <w:bdr w:val="none" w:sz="0" w:space="0" w:color="auto"/>
              </w:rPr>
              <w:t>20</w:t>
            </w:r>
            <w:r>
              <w:rPr>
                <w:rStyle w:val="criteria-linked-elementdata-modeexportcriteria-score"/>
                <w:rFonts w:ascii="Times New Roman" w:eastAsia="Times New Roman" w:hAnsi="Times New Roman" w:cs="Times New Roman"/>
                <w:b w:val="0"/>
                <w:bCs w:val="0"/>
                <w:i w:val="0"/>
                <w:strike w:val="0"/>
                <w:vanish w:val="0"/>
                <w:color w:val="000000"/>
                <w:sz w:val="24"/>
                <w:szCs w:val="24"/>
                <w:u w:val="none"/>
              </w:rPr>
              <w:t xml:space="preserve"> </w:t>
            </w:r>
          </w:p>
        </w:tc>
      </w:tr>
      <w:tr>
        <w:tblPrEx>
          <w:tblW w:w="5000" w:type="pct"/>
          <w:tblCellSpacing w:w="0" w:type="dxa"/>
          <w:tblInd w:w="15" w:type="dxa"/>
          <w:tblCellMar>
            <w:top w:w="15" w:type="dxa"/>
            <w:left w:w="15" w:type="dxa"/>
            <w:bottom w:w="15" w:type="dxa"/>
            <w:right w:w="15" w:type="dxa"/>
          </w:tblCellMar>
          <w:tblLook w:val="05E0"/>
        </w:tblPrEx>
        <w:trPr>
          <w:tblCellSpacing w:w="0" w:type="dxa"/>
        </w:trPr>
        <w:tc>
          <w:tcPr>
            <w:gridSpan w:val="2"/>
            <w:noWrap w:val="0"/>
            <w:tcMar>
              <w:top w:w="0" w:type="dxa"/>
              <w:left w:w="0" w:type="dxa"/>
              <w:bottom w:w="0" w:type="dxa"/>
              <w:right w:w="0" w:type="dxa"/>
            </w:tcMar>
            <w:vAlign w:val="center"/>
            <w:hideMark/>
          </w:tcPr>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Has the applicant demonstrated (through bibliographic references, relevant education,experience, awards, etc.) that they are capable of doing the proposed research? Has the applicant demonstrated a thorough knowledge of the scientific problem? Have products been on schedule and within budget?</w:t>
            </w:r>
          </w:p>
        </w:tc>
      </w:tr>
    </w:tbl>
    <w:p>
      <w:pPr>
        <w:rPr>
          <w:vanish/>
        </w:rPr>
      </w:pPr>
    </w:p>
    <w:tbl>
      <w:tblPr>
        <w:tblStyle w:val="tablecriteria-linked-element"/>
        <w:tblW w:w="5000" w:type="pct"/>
        <w:tblCellSpacing w:w="0" w:type="dxa"/>
        <w:tblInd w:w="15" w:type="dxa"/>
        <w:tblCellMar>
          <w:top w:w="15" w:type="dxa"/>
          <w:left w:w="15" w:type="dxa"/>
          <w:bottom w:w="15" w:type="dxa"/>
          <w:right w:w="15" w:type="dxa"/>
        </w:tblCellMar>
        <w:tblLook w:val="05E0"/>
      </w:tblPr>
      <w:tblGrid>
        <w:gridCol w:w="6074"/>
        <w:gridCol w:w="3271"/>
      </w:tblGrid>
      <w:tr>
        <w:tblPrEx>
          <w:tblW w:w="5000" w:type="pct"/>
          <w:tblCellSpacing w:w="0" w:type="dxa"/>
          <w:tblInd w:w="15" w:type="dxa"/>
          <w:tblCellMar>
            <w:top w:w="15" w:type="dxa"/>
            <w:left w:w="15" w:type="dxa"/>
            <w:bottom w:w="15" w:type="dxa"/>
            <w:right w:w="15" w:type="dxa"/>
          </w:tblCellMar>
          <w:tblLook w:val="05E0"/>
        </w:tblPrEx>
        <w:trPr>
          <w:tblCellSpacing w:w="0" w:type="dxa"/>
        </w:trPr>
        <w:tc>
          <w:tcPr>
            <w:tcW w:w="3250" w:type="pct"/>
            <w:noWrap w:val="0"/>
            <w:tcMar>
              <w:top w:w="15" w:type="dxa"/>
              <w:left w:w="15" w:type="dxa"/>
              <w:bottom w:w="15" w:type="dxa"/>
              <w:right w:w="15" w:type="dxa"/>
            </w:tcMar>
            <w:vAlign w:val="center"/>
            <w:hideMark/>
          </w:tcPr>
          <w:p w:rsidP="00470374">
            <w:pPr>
              <w:keepLines w:val="0"/>
              <w:spacing w:before="20" w:after="20"/>
              <w:ind w:left="0"/>
              <w:jc w:val="left"/>
              <w:rPr>
                <w:rFonts w:ascii="Times New Roman" w:eastAsia="Times New Roman" w:hAnsi="Times New Roman" w:cs="Times New Roman"/>
                <w:b/>
                <w:bCs/>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 xml:space="preserve">4. Budget Justification and Clarity </w:t>
            </w:r>
          </w:p>
        </w:tc>
        <w:tc>
          <w:tcPr>
            <w:tcW w:w="1750" w:type="pct"/>
            <w:noWrap w:val="0"/>
            <w:tcMar>
              <w:top w:w="15" w:type="dxa"/>
              <w:left w:w="15" w:type="dxa"/>
              <w:bottom w:w="15" w:type="dxa"/>
              <w:right w:w="15" w:type="dxa"/>
            </w:tcMar>
            <w:vAlign w:val="center"/>
            <w:hideMark/>
          </w:tcPr>
          <w:p w:rsidP="00470374">
            <w:pPr>
              <w:keepLines w:val="0"/>
              <w:spacing w:before="20" w:after="20"/>
              <w:ind w:left="0"/>
              <w:jc w:val="right"/>
              <w:rPr>
                <w:rFonts w:ascii="Times New Roman" w:eastAsia="Times New Roman" w:hAnsi="Times New Roman" w:cs="Times New Roman"/>
                <w:b/>
                <w:bCs/>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 xml:space="preserve">Maximum Points: </w:t>
            </w:r>
            <w:r>
              <w:rPr>
                <w:rStyle w:val="criteria-linked-elementdata-modeexportcriteria-score"/>
                <w:rFonts w:ascii="Times New Roman" w:eastAsia="Times New Roman" w:hAnsi="Times New Roman" w:cs="Times New Roman"/>
                <w:b w:val="0"/>
                <w:bCs w:val="0"/>
                <w:i w:val="0"/>
                <w:strike w:val="0"/>
                <w:vanish w:val="0"/>
                <w:color w:val="000000"/>
                <w:sz w:val="24"/>
                <w:szCs w:val="24"/>
                <w:u w:val="none"/>
                <w:bdr w:val="none" w:sz="0" w:space="0" w:color="auto"/>
              </w:rPr>
              <w:t>20</w:t>
            </w:r>
            <w:r>
              <w:rPr>
                <w:rStyle w:val="criteria-linked-elementdata-modeexportcriteria-score"/>
                <w:rFonts w:ascii="Times New Roman" w:eastAsia="Times New Roman" w:hAnsi="Times New Roman" w:cs="Times New Roman"/>
                <w:b w:val="0"/>
                <w:bCs w:val="0"/>
                <w:i w:val="0"/>
                <w:strike w:val="0"/>
                <w:vanish w:val="0"/>
                <w:color w:val="000000"/>
                <w:sz w:val="24"/>
                <w:szCs w:val="24"/>
                <w:u w:val="none"/>
              </w:rPr>
              <w:t xml:space="preserve"> </w:t>
            </w:r>
          </w:p>
        </w:tc>
      </w:tr>
      <w:tr>
        <w:tblPrEx>
          <w:tblW w:w="5000" w:type="pct"/>
          <w:tblCellSpacing w:w="0" w:type="dxa"/>
          <w:tblInd w:w="15" w:type="dxa"/>
          <w:tblCellMar>
            <w:top w:w="15" w:type="dxa"/>
            <w:left w:w="15" w:type="dxa"/>
            <w:bottom w:w="15" w:type="dxa"/>
            <w:right w:w="15" w:type="dxa"/>
          </w:tblCellMar>
          <w:tblLook w:val="05E0"/>
        </w:tblPrEx>
        <w:trPr>
          <w:tblCellSpacing w:w="0" w:type="dxa"/>
        </w:trPr>
        <w:tc>
          <w:tcPr>
            <w:gridSpan w:val="2"/>
            <w:noWrap w:val="0"/>
            <w:tcMar>
              <w:top w:w="0" w:type="dxa"/>
              <w:left w:w="0" w:type="dxa"/>
              <w:bottom w:w="0" w:type="dxa"/>
              <w:right w:w="0" w:type="dxa"/>
            </w:tcMar>
            <w:vAlign w:val="center"/>
            <w:hideMark/>
          </w:tcPr>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Is project staffing sufficient (e.g., experience, knowledge and skills) to accomplish the proposed goals? Are field expenses, supplies, lab work, and other expenses appropriate? Are expenses adequately itemized?</w:t>
            </w:r>
          </w:p>
        </w:tc>
      </w:tr>
    </w:tbl>
    <w:p>
      <w:pPr>
        <w:rPr>
          <w:vanish/>
        </w:rPr>
      </w:pPr>
    </w:p>
    <w:tbl>
      <w:tblPr>
        <w:tblStyle w:val="tablecriteria-linked-element"/>
        <w:tblW w:w="5000" w:type="pct"/>
        <w:tblCellSpacing w:w="0" w:type="dxa"/>
        <w:tblInd w:w="15" w:type="dxa"/>
        <w:tblCellMar>
          <w:top w:w="15" w:type="dxa"/>
          <w:left w:w="15" w:type="dxa"/>
          <w:bottom w:w="15" w:type="dxa"/>
          <w:right w:w="15" w:type="dxa"/>
        </w:tblCellMar>
        <w:tblLook w:val="05E0"/>
      </w:tblPr>
      <w:tblGrid>
        <w:gridCol w:w="6074"/>
        <w:gridCol w:w="3271"/>
      </w:tblGrid>
      <w:tr>
        <w:tblPrEx>
          <w:tblW w:w="5000" w:type="pct"/>
          <w:tblCellSpacing w:w="0" w:type="dxa"/>
          <w:tblInd w:w="15" w:type="dxa"/>
          <w:tblCellMar>
            <w:top w:w="15" w:type="dxa"/>
            <w:left w:w="15" w:type="dxa"/>
            <w:bottom w:w="15" w:type="dxa"/>
            <w:right w:w="15" w:type="dxa"/>
          </w:tblCellMar>
          <w:tblLook w:val="05E0"/>
        </w:tblPrEx>
        <w:trPr>
          <w:tblCellSpacing w:w="0" w:type="dxa"/>
        </w:trPr>
        <w:tc>
          <w:tcPr>
            <w:tcW w:w="3250" w:type="pct"/>
            <w:noWrap w:val="0"/>
            <w:tcMar>
              <w:top w:w="15" w:type="dxa"/>
              <w:left w:w="15" w:type="dxa"/>
              <w:bottom w:w="15" w:type="dxa"/>
              <w:right w:w="15" w:type="dxa"/>
            </w:tcMar>
            <w:vAlign w:val="center"/>
            <w:hideMark/>
          </w:tcPr>
          <w:p w:rsidP="00470374">
            <w:pPr>
              <w:keepLines w:val="0"/>
              <w:spacing w:before="20" w:after="20"/>
              <w:ind w:left="0"/>
              <w:jc w:val="left"/>
              <w:rPr>
                <w:rFonts w:ascii="Times New Roman" w:eastAsia="Times New Roman" w:hAnsi="Times New Roman" w:cs="Times New Roman"/>
                <w:b/>
                <w:bCs/>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 xml:space="preserve">5. Planned Products and Dissemination of Results </w:t>
            </w:r>
          </w:p>
        </w:tc>
        <w:tc>
          <w:tcPr>
            <w:tcW w:w="1750" w:type="pct"/>
            <w:noWrap w:val="0"/>
            <w:tcMar>
              <w:top w:w="15" w:type="dxa"/>
              <w:left w:w="15" w:type="dxa"/>
              <w:bottom w:w="15" w:type="dxa"/>
              <w:right w:w="15" w:type="dxa"/>
            </w:tcMar>
            <w:vAlign w:val="center"/>
            <w:hideMark/>
          </w:tcPr>
          <w:p w:rsidP="00470374">
            <w:pPr>
              <w:keepLines w:val="0"/>
              <w:spacing w:before="20" w:after="20"/>
              <w:ind w:left="0"/>
              <w:jc w:val="right"/>
              <w:rPr>
                <w:rFonts w:ascii="Times New Roman" w:eastAsia="Times New Roman" w:hAnsi="Times New Roman" w:cs="Times New Roman"/>
                <w:b/>
                <w:bCs/>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 xml:space="preserve">Maximum Points: </w:t>
            </w:r>
            <w:r>
              <w:rPr>
                <w:rStyle w:val="criteria-linked-elementdata-modeexportcriteria-score"/>
                <w:rFonts w:ascii="Times New Roman" w:eastAsia="Times New Roman" w:hAnsi="Times New Roman" w:cs="Times New Roman"/>
                <w:b w:val="0"/>
                <w:bCs w:val="0"/>
                <w:i w:val="0"/>
                <w:strike w:val="0"/>
                <w:vanish w:val="0"/>
                <w:color w:val="000000"/>
                <w:sz w:val="24"/>
                <w:szCs w:val="24"/>
                <w:u w:val="none"/>
                <w:bdr w:val="none" w:sz="0" w:space="0" w:color="auto"/>
              </w:rPr>
              <w:t>20</w:t>
            </w:r>
            <w:r>
              <w:rPr>
                <w:rStyle w:val="criteria-linked-elementdata-modeexportcriteria-score"/>
                <w:rFonts w:ascii="Times New Roman" w:eastAsia="Times New Roman" w:hAnsi="Times New Roman" w:cs="Times New Roman"/>
                <w:b w:val="0"/>
                <w:bCs w:val="0"/>
                <w:i w:val="0"/>
                <w:strike w:val="0"/>
                <w:vanish w:val="0"/>
                <w:color w:val="000000"/>
                <w:sz w:val="24"/>
                <w:szCs w:val="24"/>
                <w:u w:val="none"/>
              </w:rPr>
              <w:t xml:space="preserve"> </w:t>
            </w:r>
          </w:p>
        </w:tc>
      </w:tr>
      <w:tr>
        <w:tblPrEx>
          <w:tblW w:w="5000" w:type="pct"/>
          <w:tblCellSpacing w:w="0" w:type="dxa"/>
          <w:tblInd w:w="15" w:type="dxa"/>
          <w:tblCellMar>
            <w:top w:w="15" w:type="dxa"/>
            <w:left w:w="15" w:type="dxa"/>
            <w:bottom w:w="15" w:type="dxa"/>
            <w:right w:w="15" w:type="dxa"/>
          </w:tblCellMar>
          <w:tblLook w:val="05E0"/>
        </w:tblPrEx>
        <w:trPr>
          <w:tblCellSpacing w:w="0" w:type="dxa"/>
        </w:trPr>
        <w:tc>
          <w:tcPr>
            <w:gridSpan w:val="2"/>
            <w:noWrap w:val="0"/>
            <w:tcMar>
              <w:top w:w="0" w:type="dxa"/>
              <w:left w:w="0" w:type="dxa"/>
              <w:bottom w:w="0" w:type="dxa"/>
              <w:right w:w="0" w:type="dxa"/>
            </w:tcMar>
            <w:vAlign w:val="center"/>
            <w:hideMark/>
          </w:tcPr>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Are the products clearly defined? Will they be useful for offshore energy planning and decision-making? Will the results be published in a peer-reviewed form? Does the proposal indicate the Principal Investigator will provide data and metadata in a format that meets Federal data standards? Will the products be accessible and comprehensible to the public?</w:t>
            </w:r>
          </w:p>
        </w:tc>
      </w:tr>
    </w:tbl>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8" w:name="_Toc256000027"/>
      <w:r>
        <w:rPr>
          <w:iCs w:val="0"/>
          <w:color w:val="000000"/>
          <w:shd w:val="clear" w:color="auto" w:fill="auto"/>
        </w:rPr>
        <w:t>E2. Review and Selection Process</w:t>
      </w:r>
      <w:bookmarkEnd w:id="28"/>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The proposal will be reviewed by BOEM scientists and program managers, and possibly external peer reviewers. Reviewers have expertise in Federal offshore programs and/or the specific scientific discipline of the proposal.</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 </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9" w:name="_Toc256000028"/>
      <w:r>
        <w:rPr>
          <w:iCs w:val="0"/>
          <w:color w:val="000000"/>
          <w:shd w:val="clear" w:color="auto" w:fill="auto"/>
        </w:rPr>
        <w:t>E3. CFR - Regulatory Information</w:t>
      </w:r>
      <w:bookmarkEnd w:id="29"/>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BOEM will review and consider applications for funding in accordance with the following policy documents:</w:t>
      </w:r>
    </w:p>
    <w:p w:rsidP="00470374">
      <w:pPr>
        <w:keepLines w:val="0"/>
        <w:numPr>
          <w:ilvl w:val="0"/>
          <w:numId w:val="22"/>
        </w:numPr>
        <w:spacing w:before="0" w:after="20"/>
        <w:ind w:left="72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 xml:space="preserve">President’s September 2, 2020, memorandum entitled </w:t>
      </w:r>
      <w:r>
        <w:rPr>
          <w:rFonts w:ascii="Times New Roman" w:eastAsia="Times New Roman" w:hAnsi="Times New Roman" w:cs="Times New Roman"/>
          <w:b w:val="0"/>
          <w:i/>
          <w:iCs/>
          <w:strike w:val="0"/>
          <w:color w:val="000000"/>
          <w:sz w:val="24"/>
          <w:szCs w:val="24"/>
          <w:u w:val="none"/>
        </w:rPr>
        <w:t>Memorandum on Reviewing Funding to State and Local Government Recipients of Federal Funds that Are Permitting Anarchy, Violence, and Destruction in American Cities</w:t>
      </w:r>
      <w:r>
        <w:rPr>
          <w:rFonts w:ascii="Times New Roman" w:eastAsia="Times New Roman" w:hAnsi="Times New Roman" w:cs="Times New Roman"/>
          <w:b w:val="0"/>
          <w:i w:val="0"/>
          <w:strike w:val="0"/>
          <w:color w:val="000000"/>
          <w:sz w:val="24"/>
          <w:szCs w:val="24"/>
          <w:u w:val="none"/>
        </w:rPr>
        <w:t>.</w:t>
      </w:r>
    </w:p>
    <w:p w:rsidP="00470374">
      <w:pPr>
        <w:keepLines w:val="0"/>
        <w:numPr>
          <w:ilvl w:val="0"/>
          <w:numId w:val="22"/>
        </w:numPr>
        <w:spacing w:before="20" w:after="20"/>
        <w:ind w:left="72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iCs/>
          <w:strike w:val="0"/>
          <w:color w:val="000000"/>
          <w:sz w:val="24"/>
          <w:szCs w:val="24"/>
          <w:u w:val="none"/>
        </w:rPr>
        <w:t>Executive Order on Protecting American Monuments, Memorials, and Statues and Combating Recent Criminal Violence</w:t>
      </w:r>
      <w:r>
        <w:rPr>
          <w:rFonts w:ascii="Times New Roman" w:eastAsia="Times New Roman" w:hAnsi="Times New Roman" w:cs="Times New Roman"/>
          <w:b w:val="0"/>
          <w:i/>
          <w:iCs/>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(E.O. 13933); and</w:t>
      </w:r>
    </w:p>
    <w:p w:rsidP="00470374">
      <w:pPr>
        <w:keepLines w:val="0"/>
        <w:numPr>
          <w:ilvl w:val="0"/>
          <w:numId w:val="22"/>
        </w:numPr>
        <w:spacing w:before="20" w:after="20"/>
        <w:ind w:left="72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Guidance for Grants and Agreements in Title 2 of the Code of Federal Regulations (2 CFR 200), as updated in the Federal Register’s 85 FR 49506 on August 13, 2020, particularly on:</w:t>
      </w:r>
    </w:p>
    <w:p w:rsidP="00470374">
      <w:pPr>
        <w:keepLines w:val="0"/>
        <w:numPr>
          <w:ilvl w:val="1"/>
          <w:numId w:val="22"/>
        </w:numPr>
        <w:spacing w:before="0" w:after="20"/>
        <w:ind w:left="144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Selecting recipients most likely to be successful in delivering results based on the program objectives through an objective process of evaluating Federal award applications (2 CFR part 200.205),</w:t>
      </w:r>
    </w:p>
    <w:p w:rsidP="00470374">
      <w:pPr>
        <w:keepLines w:val="0"/>
        <w:numPr>
          <w:ilvl w:val="1"/>
          <w:numId w:val="22"/>
        </w:numPr>
        <w:spacing w:before="20" w:after="20"/>
        <w:ind w:left="144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Prohibiting the purchase of certain telecommunication and video surveillance services or equipment in alignment with section 889 of the National Defense Authorization Act of 2019 (Pub. L. No. 115—232) (2 CFR part 200.216),</w:t>
      </w:r>
    </w:p>
    <w:p w:rsidP="00470374">
      <w:pPr>
        <w:keepLines w:val="0"/>
        <w:numPr>
          <w:ilvl w:val="1"/>
          <w:numId w:val="22"/>
        </w:numPr>
        <w:spacing w:before="20" w:after="20"/>
        <w:ind w:left="144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 xml:space="preserve">Promoting the freedom of speech and religious liberty in alignment with </w:t>
      </w:r>
      <w:r>
        <w:rPr>
          <w:rFonts w:ascii="Times New Roman" w:eastAsia="Times New Roman" w:hAnsi="Times New Roman" w:cs="Times New Roman"/>
          <w:b w:val="0"/>
          <w:i/>
          <w:iCs/>
          <w:strike w:val="0"/>
          <w:color w:val="000000"/>
          <w:sz w:val="24"/>
          <w:szCs w:val="24"/>
          <w:u w:val="none"/>
        </w:rPr>
        <w:t>Promoting Free Speech and Religious Liberty</w:t>
      </w:r>
      <w:r>
        <w:rPr>
          <w:rFonts w:ascii="Times New Roman" w:eastAsia="Times New Roman" w:hAnsi="Times New Roman" w:cs="Times New Roman"/>
          <w:b w:val="0"/>
          <w:i/>
          <w:iCs/>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(E.O. 13798) and </w:t>
      </w:r>
      <w:r>
        <w:rPr>
          <w:rFonts w:ascii="Times New Roman" w:eastAsia="Times New Roman" w:hAnsi="Times New Roman" w:cs="Times New Roman"/>
          <w:b w:val="0"/>
          <w:i/>
          <w:iCs/>
          <w:strike w:val="0"/>
          <w:color w:val="000000"/>
          <w:sz w:val="24"/>
          <w:szCs w:val="24"/>
          <w:u w:val="none"/>
        </w:rPr>
        <w:t>Improving Free Inquiry, Transparency, and Accountability at Colleges and Universities</w:t>
      </w:r>
      <w:r>
        <w:rPr>
          <w:rFonts w:ascii="Times New Roman" w:eastAsia="Times New Roman" w:hAnsi="Times New Roman" w:cs="Times New Roman"/>
          <w:b w:val="0"/>
          <w:i/>
          <w:iCs/>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(E.O. 13864) (parts 200.300, 200.303, 200.339, and 200.341),</w:t>
      </w:r>
    </w:p>
    <w:p w:rsidP="00470374">
      <w:pPr>
        <w:keepLines w:val="0"/>
        <w:numPr>
          <w:ilvl w:val="1"/>
          <w:numId w:val="22"/>
        </w:numPr>
        <w:spacing w:before="20" w:after="20"/>
        <w:ind w:left="144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Providing a preference, to the extent permitted by law, to maximize use of goods, products, and materials produced in the United States (2 CFR part 200.322), and</w:t>
      </w:r>
    </w:p>
    <w:p w:rsidP="00470374">
      <w:pPr>
        <w:keepLines w:val="0"/>
        <w:numPr>
          <w:ilvl w:val="1"/>
          <w:numId w:val="22"/>
        </w:numPr>
        <w:spacing w:before="20" w:after="150"/>
        <w:ind w:left="144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Terminating agreements in whole or in part to the greatest extent authorized by law if an award no longer effectuates the program goals or agency priorities (2 CFR part 200.340).</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30" w:name="_Toc256000029"/>
      <w:r>
        <w:rPr>
          <w:iCs w:val="0"/>
          <w:color w:val="000000"/>
          <w:shd w:val="clear" w:color="auto" w:fill="auto"/>
        </w:rPr>
        <w:t>E4. Anticipated Announcement and Federal Award Dates</w:t>
      </w:r>
      <w:bookmarkEnd w:id="30"/>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1Heading1"/>
        <w:widowControl/>
        <w:spacing w:before="161" w:after="161"/>
        <w:ind w:left="45" w:right="45"/>
        <w:outlineLvl w:val="9"/>
        <w:rPr>
          <w:b/>
          <w:bCs/>
          <w:szCs w:val="24"/>
        </w:rPr>
      </w:pPr>
      <w:bookmarkStart w:id="31" w:name="_Toc256000030"/>
      <w:r>
        <w:rPr>
          <w:color w:val="000000"/>
          <w:kern w:val="0"/>
          <w:shd w:val="clear" w:color="auto" w:fill="auto"/>
        </w:rPr>
        <w:t>F. Federal Award Administration Information</w:t>
      </w:r>
      <w:bookmarkEnd w:id="31"/>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32" w:name="_Toc256000031"/>
      <w:r>
        <w:rPr>
          <w:iCs w:val="0"/>
          <w:color w:val="000000"/>
          <w:shd w:val="clear" w:color="auto" w:fill="auto"/>
        </w:rPr>
        <w:t>F1. Federal Award Notices</w:t>
      </w:r>
      <w:bookmarkEnd w:id="32"/>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Awards are based on the application submitted to and approved by BOEM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Method of Payment: The BOEM uses the Automated Standard Application for Payments (ASAP) financial assistance payment system, management by the United States Department of the Treasury, to provide electronic invoicing and payment for funds under this award.</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With the award of each cooperative agreement, an account will be set up from which the Recipient can draw down funds.</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Recipients must be registered in the ASAP system and must be linked to BOEM's Agency Location Code prior to award in order to make the funds available.</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Once an award decision has been made, if your organization has not received a financial assistance award from BOEM in the past, the Financial Assistance/Contracting Officer will initiate the process in ASAP for your organization.</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The Financial Assistance/Contracting Officer will need the name of your organization's ASAP contact in order to do this and will contact you for your ASAP contact information.</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 </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33" w:name="_Toc256000032"/>
      <w:r>
        <w:rPr>
          <w:iCs w:val="0"/>
          <w:color w:val="000000"/>
          <w:shd w:val="clear" w:color="auto" w:fill="auto"/>
        </w:rPr>
        <w:t>F2. Administrative and National Policy Requirements</w:t>
      </w:r>
      <w:bookmarkEnd w:id="33"/>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See the “DOI Standard Terms and Conditions” for the administrative and national policy requirements applicable to DOI awards.</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In the text field below include the link to DOI Standard Terms and Conditions and any program- or project-specific terms or conditions that will apply to recipients under the program.</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The link to the DOI Standard Terms and Conditions is</w:t>
      </w:r>
      <w:r>
        <w:rPr>
          <w:rFonts w:ascii="Times New Roman" w:eastAsia="Times New Roman" w:hAnsi="Times New Roman" w:cs="Times New Roman"/>
          <w:b w:val="0"/>
          <w:i w:val="0"/>
          <w:strike w:val="0"/>
          <w:vanish w:val="0"/>
          <w:color w:val="000000"/>
          <w:sz w:val="24"/>
          <w:szCs w:val="24"/>
          <w:u w:val="none"/>
        </w:rPr>
        <w:t xml:space="preserve"> </w:t>
      </w:r>
      <w:hyperlink r:id="rId26" w:history="1">
        <w:r>
          <w:rPr>
            <w:rStyle w:val="ahref"/>
            <w:rFonts w:ascii="Times New Roman" w:eastAsia="Times New Roman" w:hAnsi="Times New Roman" w:cs="Times New Roman"/>
            <w:b w:val="0"/>
            <w:i w:val="0"/>
            <w:strike w:val="0"/>
            <w:vanish w:val="0"/>
            <w:color w:val="0000FF"/>
            <w:sz w:val="24"/>
            <w:szCs w:val="24"/>
            <w:u w:val="single" w:color="0000FF"/>
          </w:rPr>
          <w:t>https://www.doi.gov/grants/doi-standard-terms-and-conditions</w:t>
        </w:r>
      </w:hyperlink>
      <w:r>
        <w:rPr>
          <w:rFonts w:ascii="Times New Roman" w:eastAsia="Times New Roman" w:hAnsi="Times New Roman" w:cs="Times New Roman"/>
          <w:b w:val="0"/>
          <w:i w:val="0"/>
          <w:strike w:val="0"/>
          <w:vanish w:val="0"/>
          <w:color w:val="000000"/>
          <w:sz w:val="24"/>
          <w:szCs w:val="24"/>
          <w:u w:val="none"/>
        </w:rPr>
        <w:t>. Please contact the Federal Awarding Agency Contact in Section G1 below for information on the applicability of these terms and conditions.</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Data Availability</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Per the Financial Assistance Interior Regulation (FAIR), </w:t>
      </w:r>
      <w:hyperlink r:id="rId27" w:history="1">
        <w:r>
          <w:rPr>
            <w:rStyle w:val="ahref"/>
            <w:rFonts w:ascii="Times New Roman" w:eastAsia="Times New Roman" w:hAnsi="Times New Roman" w:cs="Times New Roman"/>
            <w:b w:val="0"/>
            <w:bCs w:val="0"/>
            <w:i w:val="0"/>
            <w:strike w:val="0"/>
            <w:color w:val="0000FF"/>
            <w:sz w:val="24"/>
            <w:szCs w:val="24"/>
            <w:u w:val="single" w:color="0000FF"/>
          </w:rPr>
          <w:t>2 CFR §1402.315:</w:t>
        </w:r>
      </w:hyperlink>
      <w:r>
        <w:rPr>
          <w:rFonts w:ascii="Times New Roman" w:eastAsia="Times New Roman" w:hAnsi="Times New Roman" w:cs="Times New Roman"/>
          <w:b w:val="0"/>
          <w:bCs w:val="0"/>
          <w:i w:val="0"/>
          <w:strike w:val="0"/>
          <w:color w:val="000000"/>
          <w:sz w:val="24"/>
          <w:szCs w:val="24"/>
          <w:u w:val="none"/>
        </w:rPr>
        <w:t xml:space="preserve"> (a)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 (b) The Federal Government has the right to: (1) Obtain, reproduce, publish, or otherwise use the data, methodology, factual inputs, models, analyses, technical information, reports, conclusions, or other scientific assessments, produced under a Federal award; and (2)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See the Service’s General Award Terms and Conditions for the general administrative and national policy requirements applicable to Service awards. The Service will communicate any other program- or project-specific special terms and conditions to recipients in their notices of award.</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34" w:name="_Toc256000033"/>
      <w:r>
        <w:rPr>
          <w:iCs w:val="0"/>
          <w:color w:val="000000"/>
          <w:shd w:val="clear" w:color="auto" w:fill="auto"/>
        </w:rPr>
        <w:t>F3. Reporting</w:t>
      </w:r>
      <w:bookmarkEnd w:id="34"/>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Financial Reports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All recipients must use the SF-425, Federal Financial Report form for financial reporting. Final reports are due no later than 90 calendar days after the award period of performance end date or termination date. For awards with periods of performance longer than 12 months, recipients are required to submit </w:t>
      </w:r>
      <w:r>
        <w:rPr>
          <w:rFonts w:ascii="Times New Roman" w:eastAsia="Times New Roman" w:hAnsi="Times New Roman" w:cs="Times New Roman"/>
          <w:b/>
          <w:bCs/>
          <w:i w:val="0"/>
          <w:strike w:val="0"/>
          <w:color w:val="000000"/>
          <w:sz w:val="24"/>
          <w:szCs w:val="24"/>
          <w:u w:val="none"/>
        </w:rPr>
        <w:t xml:space="preserve">interim </w:t>
      </w:r>
      <w:r>
        <w:rPr>
          <w:rFonts w:ascii="Times New Roman" w:eastAsia="Times New Roman" w:hAnsi="Times New Roman" w:cs="Times New Roman"/>
          <w:b w:val="0"/>
          <w:bCs w:val="0"/>
          <w:i w:val="0"/>
          <w:strike w:val="0"/>
          <w:color w:val="000000"/>
          <w:sz w:val="24"/>
          <w:szCs w:val="24"/>
          <w:u w:val="none"/>
        </w:rPr>
        <w:t>financial reports on the frequency established in the Notice of Award.</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Recipient specific reporting requirements, including the required reports, reporting frequency, and report due dates will be included in all Notices of Award, as applicable. Only interim financial reporting on awards to ASAP-waived entities using the SF- 270/271 and requesting payment at least once annually throughout the entire award period of performance may be waived. In the text field below enter any program specific reporting requirements.</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Performance Reports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financial reports on the frequency established in the Notice of Award. See Service policy 516 FW 1, Monitoring Financial and Performance Reporting for Financial Assistance for more information.</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 Significant Development Reports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Events may occur between the scheduled performance reporting dates which have significant impact upon the supported activity.</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In such cases, recipients are required to notify the Bureau in writing as soon as the recipient becomes aware of any problems, delays, or adverse conditions that will materially impair the ability to meet the objective of the Federal award.</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This disclosure must include a statement of any corrective action(s) taken or contemplated, and any assistance needed to resolve the situation.</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The recipient should also notify [Insert Bureau Here] in writing of any favorable developments that enable meeting time schedules and objectives sooner or at less cost than anticipated or producing more or different beneficial results than originally planned.</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d. Real Property Reports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Recipients and subrecipients are required to submit status reports on the status of real property in which the Federal government retains an interest.</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The required frequency of these reports will depend on the anticipated length of the Federal interest period.</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The Bureau will include recipient-specific real property reporting requirements, including the required data elements, reporting frequency, and report due dates, as applicable.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Conflict of Internet Disclosures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Recipients must notify the program immediately in writing of any conflict of interest that arise during the life of their Federal award, including those reported to them by any subrecipient under the award. Recipients must notify the program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for more information on these restrictions. The [Insert Bureau Here]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2 CFR 200.338 Remedies for Noncompliance, including termination of the award.</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Other Mandatory Disclosures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 Federal entities that receive a Federal award including the terms and conditions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Reporting Matters Related to Recipient Integrity and Performance</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If the total value of your 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 in accordance with Appendix XII to 2 CFR 200.</w:t>
      </w:r>
    </w:p>
    <w:p w:rsidP="00470374">
      <w:pPr>
        <w:keepLines w:val="0"/>
        <w:spacing w:before="120" w:after="6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1Heading1"/>
        <w:widowControl/>
        <w:spacing w:before="161" w:after="161"/>
        <w:ind w:left="45" w:right="45"/>
        <w:outlineLvl w:val="9"/>
        <w:rPr>
          <w:b/>
          <w:bCs/>
          <w:szCs w:val="24"/>
        </w:rPr>
      </w:pPr>
      <w:bookmarkStart w:id="35" w:name="_Toc256000034"/>
      <w:r>
        <w:rPr>
          <w:color w:val="000000"/>
          <w:kern w:val="0"/>
          <w:shd w:val="clear" w:color="auto" w:fill="auto"/>
        </w:rPr>
        <w:t>G. Federal Awarding Agency Contact(s)</w:t>
      </w:r>
      <w:bookmarkEnd w:id="35"/>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First Name</w:t>
      </w:r>
    </w:p>
    <w:p w:rsidP="00470374">
      <w:pPr>
        <w:keepLines w:val="0"/>
        <w:spacing w:before="6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The Notice of Funding Opportunity must give potential applicants a point(s) of contact for answering questions or helping with problems while the funding opportunity is open.</w:t>
      </w:r>
    </w:p>
    <w:p w:rsidP="00470374">
      <w:pPr>
        <w:pStyle w:val="div"/>
        <w:keepLines w:val="0"/>
        <w:spacing w:before="20" w:after="2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 xml:space="preserve">Dominique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Last Name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Bruce-Morton</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Address</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45600 Woodland Road, VAE-AMD, Sterling, VA 20166</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Telephone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703-787-1342</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Email</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dominique.bruce-morton@bsee.gov</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36" w:name="_Toc256000035"/>
      <w:r>
        <w:rPr>
          <w:iCs w:val="0"/>
          <w:color w:val="000000"/>
          <w:shd w:val="clear" w:color="auto" w:fill="auto"/>
        </w:rPr>
        <w:t>G2. Administrative/Budget Questions Program Office Contact</w:t>
      </w:r>
      <w:bookmarkEnd w:id="36"/>
      <w:r>
        <w:rPr>
          <w:iCs w:val="0"/>
          <w:color w:val="000000"/>
          <w:shd w:val="clear" w:color="auto" w:fill="auto"/>
        </w:rPr>
        <w:t xml:space="preserve"> </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bCs/>
          <w:i w:val="0"/>
          <w:strike w:val="0"/>
          <w:color w:val="000000"/>
          <w:sz w:val="24"/>
          <w:szCs w:val="24"/>
          <w:u w:val="none"/>
        </w:rPr>
        <w:t>For programmatic technical assistance, please contact:</w:t>
      </w:r>
      <w:r>
        <w:rPr>
          <w:rFonts w:ascii="Times New Roman" w:eastAsia="Times New Roman" w:hAnsi="Times New Roman" w:cs="Times New Roman"/>
          <w:b/>
          <w:bCs/>
          <w:i w:val="0"/>
          <w:strike w:val="0"/>
          <w:color w:val="000000"/>
          <w:sz w:val="24"/>
          <w:szCs w:val="24"/>
          <w:u w:val="none"/>
        </w:rPr>
        <w:t xml:space="preserve">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First Name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 xml:space="preserve">Jacob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Last Name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 xml:space="preserve">Levenson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Address</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45600 Woodland Road, VAE-AMD, Sterling, VA 20166</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Telephone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703-787-1710</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Email</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jacob.levenson@boem.gov</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37" w:name="_Toc256000036"/>
      <w:r>
        <w:rPr>
          <w:iCs w:val="0"/>
          <w:color w:val="000000"/>
          <w:shd w:val="clear" w:color="auto" w:fill="auto"/>
        </w:rPr>
        <w:t>G3. Grants Staff Contact</w:t>
      </w:r>
      <w:bookmarkEnd w:id="37"/>
      <w:r>
        <w:rPr>
          <w:iCs w:val="0"/>
          <w:color w:val="000000"/>
          <w:shd w:val="clear" w:color="auto" w:fill="auto"/>
        </w:rPr>
        <w:t xml:space="preserve"> </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bCs/>
          <w:i w:val="0"/>
          <w:strike w:val="0"/>
          <w:color w:val="000000"/>
          <w:sz w:val="24"/>
          <w:szCs w:val="24"/>
          <w:u w:val="none"/>
        </w:rPr>
        <w:t>For financial, awards management, or budget assistance, contact:</w:t>
      </w:r>
      <w:r>
        <w:rPr>
          <w:rFonts w:ascii="Times New Roman" w:eastAsia="Times New Roman" w:hAnsi="Times New Roman" w:cs="Times New Roman"/>
          <w:b/>
          <w:bCs/>
          <w:i w:val="0"/>
          <w:strike w:val="0"/>
          <w:color w:val="000000"/>
          <w:sz w:val="24"/>
          <w:szCs w:val="24"/>
          <w:u w:val="none"/>
        </w:rPr>
        <w:t xml:space="preserve">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First Name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Last Name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Address</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Telephone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Email</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38" w:name="_Toc256000037"/>
      <w:r>
        <w:rPr>
          <w:iCs w:val="0"/>
          <w:color w:val="000000"/>
          <w:shd w:val="clear" w:color="auto" w:fill="auto"/>
        </w:rPr>
        <w:t>G4. Technical Support</w:t>
      </w:r>
      <w:bookmarkEnd w:id="38"/>
      <w:r>
        <w:rPr>
          <w:iCs w:val="0"/>
          <w:color w:val="000000"/>
          <w:shd w:val="clear" w:color="auto" w:fill="auto"/>
        </w:rPr>
        <w:t xml:space="preserve"> </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bCs/>
          <w:i w:val="0"/>
          <w:strike w:val="0"/>
          <w:color w:val="000000"/>
          <w:sz w:val="24"/>
          <w:szCs w:val="24"/>
          <w:u w:val="none"/>
        </w:rPr>
        <w:t>For Grants.gov technical registration and submission, downloading forms and application packages, contact:</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Name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Grants.gov Customer Support</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Telephone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1-800-518-4726</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Email</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Support@grants.gov</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1Heading1"/>
        <w:widowControl/>
        <w:spacing w:before="161" w:after="161"/>
        <w:ind w:left="45" w:right="45"/>
        <w:outlineLvl w:val="9"/>
        <w:rPr>
          <w:b/>
          <w:bCs/>
          <w:szCs w:val="24"/>
        </w:rPr>
      </w:pPr>
      <w:bookmarkStart w:id="39" w:name="_Toc256000038"/>
      <w:r>
        <w:rPr>
          <w:color w:val="000000"/>
          <w:kern w:val="0"/>
          <w:shd w:val="clear" w:color="auto" w:fill="auto"/>
        </w:rPr>
        <w:t>H. Other Information</w:t>
      </w:r>
      <w:bookmarkEnd w:id="39"/>
    </w:p>
    <w:p w:rsidP="00470374">
      <w:pPr>
        <w:pStyle w:val="Hidden"/>
        <w:keepLines w:val="0"/>
        <w:spacing w:before="120" w:after="60"/>
        <w:ind w:left="0"/>
        <w:jc w:val="left"/>
        <w:rPr>
          <w:rFonts w:ascii="Times New Roman" w:eastAsia="Times New Roman" w:hAnsi="Times New Roman" w:cs="Times New Roman"/>
          <w:b w:val="0"/>
          <w:i w:val="0"/>
          <w:strike w:val="0"/>
          <w:vanish/>
          <w:color w:val="009745"/>
          <w:sz w:val="24"/>
          <w:u w:val="none"/>
        </w:rPr>
      </w:pPr>
      <w:r>
        <w:rPr>
          <w:rFonts w:ascii="Times New Roman" w:eastAsia="Times New Roman" w:hAnsi="Times New Roman" w:cs="Times New Roman"/>
          <w:b w:val="0"/>
          <w:i w:val="0"/>
          <w:strike w:val="0"/>
          <w:vanish/>
          <w:color w:val="009745"/>
          <w:sz w:val="24"/>
          <w:u w:val="none"/>
        </w:rPr>
        <w:t xml:space="preserve">This section may include any additional information that will assist a potential applicant. For example, the section might: </w:t>
      </w:r>
    </w:p>
    <w:p w:rsidP="00470374">
      <w:pPr>
        <w:pStyle w:val="p0"/>
        <w:keepLines w:val="0"/>
        <w:spacing w:before="0" w:after="140"/>
        <w:ind w:left="0"/>
        <w:jc w:val="left"/>
        <w:rPr>
          <w:rFonts w:ascii="Times New Roman" w:eastAsia="Times New Roman" w:hAnsi="Times New Roman" w:cs="Times New Roman"/>
          <w:b w:val="0"/>
          <w:i w:val="0"/>
          <w:strike w:val="0"/>
          <w:vanish/>
          <w:color w:val="009745"/>
          <w:sz w:val="24"/>
          <w:szCs w:val="24"/>
          <w:u w:val="none"/>
        </w:rPr>
      </w:pPr>
      <w:r>
        <w:rPr>
          <w:rFonts w:ascii="Times New Roman" w:eastAsia="Times New Roman" w:hAnsi="Times New Roman" w:cs="Times New Roman"/>
          <w:b w:val="0"/>
          <w:i w:val="0"/>
          <w:strike w:val="0"/>
          <w:vanish/>
          <w:color w:val="009745"/>
          <w:sz w:val="24"/>
          <w:szCs w:val="24"/>
          <w:u w:val="none"/>
        </w:rPr>
        <w:t>i. Indicate whether this is a new program or a one-time initiative.</w:t>
      </w:r>
    </w:p>
    <w:p w:rsidP="00470374">
      <w:pPr>
        <w:pStyle w:val="p0"/>
        <w:keepLines w:val="0"/>
        <w:spacing w:before="0" w:after="140"/>
        <w:ind w:left="0"/>
        <w:jc w:val="left"/>
        <w:rPr>
          <w:rFonts w:ascii="Times New Roman" w:eastAsia="Times New Roman" w:hAnsi="Times New Roman" w:cs="Times New Roman"/>
          <w:b w:val="0"/>
          <w:i w:val="0"/>
          <w:strike w:val="0"/>
          <w:vanish/>
          <w:color w:val="009745"/>
          <w:sz w:val="24"/>
          <w:szCs w:val="24"/>
          <w:u w:val="none"/>
        </w:rPr>
      </w:pPr>
      <w:r>
        <w:rPr>
          <w:rFonts w:ascii="Times New Roman" w:eastAsia="Times New Roman" w:hAnsi="Times New Roman" w:cs="Times New Roman"/>
          <w:b w:val="0"/>
          <w:i w:val="0"/>
          <w:strike w:val="0"/>
          <w:vanish/>
          <w:color w:val="009745"/>
          <w:sz w:val="24"/>
          <w:szCs w:val="24"/>
          <w:u w:val="none"/>
        </w:rPr>
        <w:t>ii. Mention related programs or other upcoming or ongoing Federal awarding agency funding opportunities for similar activities.</w:t>
      </w:r>
    </w:p>
    <w:p w:rsidP="00470374">
      <w:pPr>
        <w:pStyle w:val="p0"/>
        <w:keepLines w:val="0"/>
        <w:spacing w:before="0" w:after="140"/>
        <w:ind w:left="0"/>
        <w:jc w:val="left"/>
        <w:rPr>
          <w:rFonts w:ascii="Times New Roman" w:eastAsia="Times New Roman" w:hAnsi="Times New Roman" w:cs="Times New Roman"/>
          <w:b w:val="0"/>
          <w:i w:val="0"/>
          <w:strike w:val="0"/>
          <w:vanish/>
          <w:color w:val="009745"/>
          <w:sz w:val="24"/>
          <w:szCs w:val="24"/>
          <w:u w:val="none"/>
        </w:rPr>
      </w:pPr>
      <w:r>
        <w:rPr>
          <w:rFonts w:ascii="Times New Roman" w:eastAsia="Times New Roman" w:hAnsi="Times New Roman" w:cs="Times New Roman"/>
          <w:b w:val="0"/>
          <w:i w:val="0"/>
          <w:strike w:val="0"/>
          <w:vanish/>
          <w:color w:val="009745"/>
          <w:sz w:val="24"/>
          <w:szCs w:val="24"/>
          <w:u w:val="none"/>
        </w:rPr>
        <w:t>iii. Include current Internet addresses for Federal awarding agency web sites that may be useful to an applicant in understanding the program.</w:t>
      </w:r>
    </w:p>
    <w:p w:rsidP="00470374">
      <w:pPr>
        <w:pStyle w:val="p0"/>
        <w:keepLines w:val="0"/>
        <w:spacing w:before="0" w:after="140"/>
        <w:ind w:left="0"/>
        <w:jc w:val="left"/>
        <w:rPr>
          <w:rFonts w:ascii="Times New Roman" w:eastAsia="Times New Roman" w:hAnsi="Times New Roman" w:cs="Times New Roman"/>
          <w:b w:val="0"/>
          <w:i w:val="0"/>
          <w:strike w:val="0"/>
          <w:vanish/>
          <w:color w:val="009745"/>
          <w:sz w:val="24"/>
          <w:szCs w:val="24"/>
          <w:u w:val="none"/>
        </w:rPr>
      </w:pPr>
      <w:r>
        <w:rPr>
          <w:rFonts w:ascii="Times New Roman" w:eastAsia="Times New Roman" w:hAnsi="Times New Roman" w:cs="Times New Roman"/>
          <w:b w:val="0"/>
          <w:i w:val="0"/>
          <w:strike w:val="0"/>
          <w:vanish/>
          <w:color w:val="009745"/>
          <w:sz w:val="24"/>
          <w:szCs w:val="24"/>
          <w:u w:val="none"/>
        </w:rPr>
        <w:t>iv. Alert applicants to the need to identify proprietary information and inform them about the way the Federal awarding agency will handle it.</w:t>
      </w:r>
    </w:p>
    <w:p w:rsidP="00470374">
      <w:pPr>
        <w:pStyle w:val="p0"/>
        <w:keepLines w:val="0"/>
        <w:spacing w:before="0" w:after="140"/>
        <w:ind w:left="0"/>
        <w:jc w:val="left"/>
        <w:rPr>
          <w:rFonts w:ascii="Times New Roman" w:eastAsia="Times New Roman" w:hAnsi="Times New Roman" w:cs="Times New Roman"/>
          <w:b w:val="0"/>
          <w:i w:val="0"/>
          <w:strike w:val="0"/>
          <w:vanish/>
          <w:color w:val="009745"/>
          <w:sz w:val="24"/>
          <w:szCs w:val="24"/>
          <w:u w:val="none"/>
        </w:rPr>
      </w:pPr>
      <w:r>
        <w:rPr>
          <w:rFonts w:ascii="Times New Roman" w:eastAsia="Times New Roman" w:hAnsi="Times New Roman" w:cs="Times New Roman"/>
          <w:b w:val="0"/>
          <w:i w:val="0"/>
          <w:strike w:val="0"/>
          <w:vanish/>
          <w:color w:val="009745"/>
          <w:sz w:val="24"/>
          <w:szCs w:val="24"/>
          <w:u w:val="none"/>
        </w:rPr>
        <w:t>v. Include certain routine notices to applicants (e.g., that the Federal Government is not obligated to make any Federal award as a result of the announcement or that only grants officers can bind the Federal Government to the expenditure of funds).</w:t>
      </w:r>
    </w:p>
    <w:p w:rsidP="00470374">
      <w:pPr>
        <w:keepLines w:val="0"/>
        <w:spacing w:before="120" w:after="60"/>
        <w:ind w:left="0"/>
        <w:jc w:val="left"/>
        <w:rPr>
          <w:rFonts w:ascii="Times New Roman" w:eastAsia="Times New Roman" w:hAnsi="Times New Roman" w:cs="Times New Roman"/>
          <w:b w:val="0"/>
          <w:i w:val="0"/>
          <w:strike w:val="0"/>
          <w:vanish/>
          <w:color w:val="000000"/>
          <w:sz w:val="24"/>
          <w:u w:val="none"/>
        </w:rPr>
      </w:pP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Environmental Studies Program Information System (ESPIS)</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ESPIS data will be submitted to the Project Officer, in a mutually agreeable format (e.g. readable, and writeable by Microsoft Windows®), as a final deliverable of the study to include the:</w:t>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single"/>
        </w:rPr>
        <w:t>a. Final Report and Technical Summary:</w:t>
      </w:r>
      <w:r>
        <w:rPr>
          <w:rFonts w:ascii="Times New Roman" w:eastAsia="Times New Roman" w:hAnsi="Times New Roman" w:cs="Times New Roman"/>
          <w:b w:val="0"/>
          <w:i w:val="0"/>
          <w:strike w:val="0"/>
          <w:vanish w:val="0"/>
          <w:color w:val="000000"/>
          <w:sz w:val="24"/>
          <w:szCs w:val="24"/>
          <w:u w:val="none"/>
        </w:rPr>
        <w:t xml:space="preserve"> the copies of the narratives of study results in both Microsoft Word and Adobe Acrobat (PDF/A) formats, without any password protections for open access by BOEM staff and the public, following the Environmental Studies Program Report Specifications (</w:t>
      </w:r>
      <w:hyperlink r:id="rId28" w:history="1">
        <w:r>
          <w:rPr>
            <w:rStyle w:val="ahref"/>
            <w:rFonts w:ascii="Times New Roman" w:eastAsia="Times New Roman" w:hAnsi="Times New Roman" w:cs="Times New Roman"/>
            <w:b w:val="0"/>
            <w:i w:val="0"/>
            <w:strike w:val="0"/>
            <w:vanish w:val="0"/>
            <w:color w:val="0000FF"/>
            <w:sz w:val="24"/>
            <w:szCs w:val="24"/>
            <w:u w:val="single" w:color="0000FF"/>
          </w:rPr>
          <w:t>https://www.boem.gov/esp-data-and-information-specifications</w:t>
        </w:r>
      </w:hyperlink>
      <w:r>
        <w:rPr>
          <w:rFonts w:ascii="Times New Roman" w:eastAsia="Times New Roman" w:hAnsi="Times New Roman" w:cs="Times New Roman"/>
          <w:b w:val="0"/>
          <w:i w:val="0"/>
          <w:strike w:val="0"/>
          <w:vanish w:val="0"/>
          <w:color w:val="000000"/>
          <w:sz w:val="24"/>
          <w:szCs w:val="24"/>
          <w:u w:val="none"/>
        </w:rPr>
        <w:t>).</w:t>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single"/>
        </w:rPr>
        <w:t>b. Study Footprint</w:t>
      </w:r>
      <w:r>
        <w:rPr>
          <w:rFonts w:ascii="Times New Roman" w:eastAsia="Times New Roman" w:hAnsi="Times New Roman" w:cs="Times New Roman"/>
          <w:b w:val="0"/>
          <w:i w:val="0"/>
          <w:strike w:val="0"/>
          <w:vanish w:val="0"/>
          <w:color w:val="000000"/>
          <w:sz w:val="24"/>
          <w:szCs w:val="24"/>
          <w:u w:val="none"/>
        </w:rPr>
        <w:t>: the geographic information that enables the referencing of the study using a geographic information system (GIS), following the study footprint specifications.</w:t>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single"/>
        </w:rPr>
        <w:t>c. Study Footprint Metadata:</w:t>
      </w:r>
      <w:r>
        <w:rPr>
          <w:rFonts w:ascii="Times New Roman" w:eastAsia="Times New Roman" w:hAnsi="Times New Roman" w:cs="Times New Roman"/>
          <w:b w:val="0"/>
          <w:i w:val="0"/>
          <w:strike w:val="0"/>
          <w:vanish w:val="0"/>
          <w:color w:val="000000"/>
          <w:sz w:val="24"/>
          <w:szCs w:val="24"/>
          <w:u w:val="single"/>
        </w:rPr>
        <w:t xml:space="preserve"> </w:t>
      </w:r>
      <w:r>
        <w:rPr>
          <w:rFonts w:ascii="Times New Roman" w:eastAsia="Times New Roman" w:hAnsi="Times New Roman" w:cs="Times New Roman"/>
          <w:b w:val="0"/>
          <w:i w:val="0"/>
          <w:strike w:val="0"/>
          <w:vanish w:val="0"/>
          <w:color w:val="000000"/>
          <w:sz w:val="24"/>
          <w:szCs w:val="24"/>
          <w:u w:val="none"/>
        </w:rPr>
        <w:t>the scientific attribution information required to enhance discoverability of the study in the ESPIS system and third party sites (such as http://www.data.gov/), following the study footprint metadata specifications.</w:t>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single"/>
        </w:rPr>
        <w:t>d. Study Map:</w:t>
      </w:r>
      <w:r>
        <w:rPr>
          <w:rFonts w:ascii="Times New Roman" w:eastAsia="Times New Roman" w:hAnsi="Times New Roman" w:cs="Times New Roman"/>
          <w:b w:val="0"/>
          <w:i w:val="0"/>
          <w:strike w:val="0"/>
          <w:vanish w:val="0"/>
          <w:color w:val="000000"/>
          <w:sz w:val="24"/>
          <w:szCs w:val="24"/>
          <w:u w:val="none"/>
        </w:rPr>
        <w:t xml:space="preserve"> the study area map embedded in the (i) Final Report, and (ii) Technical Summary that depicts the study footprint and that is cited in the study footprint metadata.</w:t>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single"/>
        </w:rPr>
        <w:t>e. Federal Geographic Data Committee (FGDC) compliant metadata for each scientific dataset:</w:t>
      </w:r>
      <w:r>
        <w:rPr>
          <w:rFonts w:ascii="Times New Roman" w:eastAsia="Times New Roman" w:hAnsi="Times New Roman" w:cs="Times New Roman"/>
          <w:b w:val="0"/>
          <w:i w:val="0"/>
          <w:strike w:val="0"/>
          <w:vanish w:val="0"/>
          <w:color w:val="000000"/>
          <w:sz w:val="24"/>
          <w:szCs w:val="24"/>
          <w:u w:val="single"/>
        </w:rPr>
        <w:t xml:space="preserve"> </w:t>
      </w:r>
      <w:r>
        <w:rPr>
          <w:rFonts w:ascii="Times New Roman" w:eastAsia="Times New Roman" w:hAnsi="Times New Roman" w:cs="Times New Roman"/>
          <w:b w:val="0"/>
          <w:i w:val="0"/>
          <w:strike w:val="0"/>
          <w:vanish w:val="0"/>
          <w:color w:val="000000"/>
          <w:sz w:val="24"/>
          <w:szCs w:val="24"/>
          <w:u w:val="none"/>
        </w:rPr>
        <w:t>the scientific, technical, and administrative information for each coherent unit of scientific data, including the physical medium, file information, volume, and access uniform resource locator (URL), when applicable.</w:t>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single"/>
        </w:rPr>
        <w:t>f. Copy of related publications:</w:t>
      </w:r>
      <w:r>
        <w:rPr>
          <w:rFonts w:ascii="Times New Roman" w:eastAsia="Times New Roman" w:hAnsi="Times New Roman" w:cs="Times New Roman"/>
          <w:b w:val="0"/>
          <w:i w:val="0"/>
          <w:strike w:val="0"/>
          <w:vanish w:val="0"/>
          <w:color w:val="000000"/>
          <w:sz w:val="24"/>
          <w:szCs w:val="24"/>
          <w:u w:val="none"/>
        </w:rPr>
        <w:t xml:space="preserve"> the manuscripts of scholarly publications and conference presentations for research funded by this agreement for free and unlimited use by BOEM staff, which may take the form of a full-text, final, pre-publication copy of the related publication in cases that the publisher enforces pay for access or copyright restrictions.</w:t>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single"/>
        </w:rPr>
        <w:t>g. Bibliographic information for related publications</w:t>
      </w:r>
      <w:r>
        <w:rPr>
          <w:rFonts w:ascii="Times New Roman" w:eastAsia="Times New Roman" w:hAnsi="Times New Roman" w:cs="Times New Roman"/>
          <w:b w:val="0"/>
          <w:i w:val="0"/>
          <w:strike w:val="0"/>
          <w:vanish w:val="0"/>
          <w:color w:val="000000"/>
          <w:sz w:val="24"/>
          <w:szCs w:val="24"/>
          <w:u w:val="none"/>
        </w:rPr>
        <w:t>: the information on each related publication needed for formatting Council of Science Editors (CSE) bibliographies using the name-date system, including the URL and Digital Object Identifier to access the publication on the publisher’s website, when applicable.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Paperwork Reduction Act Statement</w:t>
      </w:r>
    </w:p>
    <w:p w:rsidP="00470374">
      <w:pPr>
        <w:keepLines w:val="0"/>
        <w:spacing w:before="6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The following statement is the Bureau’s standard PRA Statement that programs must enter in the field below. The statement includes average burden estimates. If these estimates are significantly different from the average completion times for your program, update them as needed and add this burden statement in the text field. Please do not change or remove any other language in the standard PRA Statement.</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Geospatial Data Act</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All geospatial data* collected for or produced through the use of the Department of the Interior financial assistance funds are required to meet all relevant standards established by the Federal Geospatial Data Committee (FGDC) as authorized by Geospatial Data Act of 2018, Pub. L. 115-254, Subtitle F – Geospatial Data, §§ 751-759C, codified at 43 U.S.C. §§ 2801–2811. Interior requires fully compliant metadata on all Geographic Information Systems files developed for financial assistance projects. If a funded financial assistance project involves acquiring or collecting geospatial data, the recipient is required to search GeoPlatform.gov to determine that no existing Federal, State, local or private data meet the Government’s needs and are available at no cost before acquiring or collecting additional geospatial data.</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Geospatial Data Act of 2018, Pub. L. 115-254, Subtitle F – Geospatial Data, §§ 751-759C, codified at 43 U.S.C. §§ 2801–2811 - Federal recipient collection of geospatial data through the use of the Department of the Interior financial assistance funds requires a due diligence search at the GeoPlatform.gov list of datasets to discover whether the needed geospatial-related data, products, or services already exist. If the required data set already exists, the recipient must use it. If the required data is not already available, the recipient must produce the proposed geospatial data, products, or services in compliance with applicable proposed guidance and standards established by the Federal Geospatial Data Committee (FGDC) posted at </w:t>
      </w:r>
      <w:hyperlink r:id="rId29" w:tgtFrame="_blank" w:history="1">
        <w:r>
          <w:rPr>
            <w:rStyle w:val="ahref"/>
            <w:rFonts w:ascii="Times New Roman" w:eastAsia="Times New Roman" w:hAnsi="Times New Roman" w:cs="Times New Roman"/>
            <w:b w:val="0"/>
            <w:bCs w:val="0"/>
            <w:i w:val="0"/>
            <w:strike w:val="0"/>
            <w:color w:val="0000FF"/>
            <w:sz w:val="24"/>
            <w:szCs w:val="24"/>
            <w:u w:val="single" w:color="0000FF"/>
          </w:rPr>
          <w:t>www.fgdc.gov</w:t>
        </w:r>
      </w:hyperlink>
      <w:r>
        <w:rPr>
          <w:rFonts w:ascii="Times New Roman" w:eastAsia="Times New Roman" w:hAnsi="Times New Roman" w:cs="Times New Roman"/>
          <w:b w:val="0"/>
          <w:bCs w:val="0"/>
          <w:i w:val="0"/>
          <w:strike w:val="0"/>
          <w:color w:val="000000"/>
          <w:sz w:val="24"/>
          <w:szCs w:val="24"/>
          <w:u w:val="none"/>
        </w:rPr>
        <w:t>.</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Recipients must submit a digital copy of all GIS data produced or collected as part of the award funds to the bureau or office via email or data transfer. All GIS data files shall be in open format. All delineated GIS data (points, lines or polygons) should be established in compliance with the approved open data standards with complete feature level metadata.</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*Geospatial data refers to data regarding natural or man-made, imaginary, or physical features. It also includes location information, and information referring to boundaries, points of interest, and mobility data.</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Requirements for Availability of Data (2 CFR § 1402.315)</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The Federal Government has the right to:</w:t>
      </w:r>
    </w:p>
    <w:p w:rsidP="00470374">
      <w:pPr>
        <w:pStyle w:val="Normal0"/>
        <w:keepLines w:val="0"/>
        <w:numPr>
          <w:ilvl w:val="0"/>
          <w:numId w:val="23"/>
        </w:numPr>
        <w:spacing w:before="0" w:after="2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Obtain, reproduce, publish, or otherwise use the data, methodology, factual inputs, models, analyses, technical information, reports, conclusions, or other scientific assessments, produced under a Federal award; and</w:t>
      </w:r>
    </w:p>
    <w:p w:rsidP="00470374">
      <w:pPr>
        <w:pStyle w:val="Normal0"/>
        <w:keepLines w:val="0"/>
        <w:numPr>
          <w:ilvl w:val="0"/>
          <w:numId w:val="23"/>
        </w:numPr>
        <w:spacing w:before="20" w:after="15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Authorize others to receive, reproduce, publish, or otherwise use such data, methodology, factual inputs, models, analyses, technical information, reports, conclusions, or other scientific assessments, for Federal purposes, including to allow for meaningful third-party evaluation.</w:t>
      </w:r>
    </w:p>
    <w:p w:rsidP="00470374">
      <w:pPr>
        <w:keepLines w:val="0"/>
        <w:spacing w:before="20" w:after="20"/>
        <w:ind w:left="0"/>
        <w:jc w:val="left"/>
      </w:pPr>
    </w:p>
    <w:sectPr w:rsidSect="00F51971">
      <w:footerReference w:type="default" r:id="rId30"/>
      <w:type w:val="nextPage"/>
      <w:pgSz w:w="12240" w:h="15840"/>
      <w:pgMar w:top="1440" w:right="1440" w:bottom="1440" w:left="1440" w:header="720" w:footer="720" w:gutter="0"/>
      <w:pgNumType w:start="1"/>
      <w:cols w:space="720"/>
      <w:titlePg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3" w:author="Brian Mchugh" w:date="2023-04-13T13:47:29Z">
    <w:p w:rsidP="00470374" w14:paraId="17CF280E">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Need to confirm funding amount. Total amount allocated towards study is $850,000 ($450,000 for FY23)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7CF280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subsetted="1" w:fontKey="{F6666D96-0361-46B7-A5CC-3EC4A25A8805}"/>
    <w:embedBold r:id="rId2" w:subsetted="1" w:fontKey="{A7D7C4AA-1A4B-409E-A82C-501611FF6F40}"/>
    <w:embedItalic r:id="rId3" w:subsetted="1" w:fontKey="{AEFEF927-465F-4AA3-BCD0-9CED3BD5D4D1}"/>
    <w:embedBoldItalic r:id="rId4" w:subsetted="1" w:fontKey="{71B1EC96-60F1-4358-9666-79B6ACE999FF}"/>
  </w:font>
  <w:font w:name="Courier New">
    <w:panose1 w:val="02070309020205020404"/>
    <w:charset w:val="00"/>
    <w:family w:val="modern"/>
    <w:pitch w:val="fixed"/>
    <w:sig w:usb0="E0002EFF" w:usb1="C0007843" w:usb2="00000009" w:usb3="00000000" w:csb0="000001FF" w:csb1="00000000"/>
    <w:embedRegular r:id="rId5" w:subsetted="1" w:fontKey="{170F787F-E45D-437F-8521-42C7C096AFCF}"/>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Helvetica">
    <w:charset w:val="00"/>
    <w:family w:val="auto"/>
    <w:pitch w:val="default"/>
  </w:font>
  <w:font w:name="Time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94C" w14:paraId="6BC5749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4D4" w:rsidRPr="008A694C" w:rsidP="008A694C" w14:paraId="06F02D5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94C" w14:paraId="5FDCBAD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113"/>
      <w:gridCol w:w="3113"/>
      <w:gridCol w:w="3113"/>
    </w:tblGrid>
    <w:tr>
      <w:tblPrEx>
        <w:tblW w:w="5000" w:type="pct"/>
        <w:tblCellMar>
          <w:left w:w="108" w:type="dxa"/>
          <w:right w:w="108" w:type="dxa"/>
        </w:tblCellMar>
      </w:tblPrEx>
      <w:tc>
        <w:tcPr>
          <w:tcW w:w="1650" w:type="pct"/>
        </w:tcPr>
        <w:p>
          <w:pPr>
            <w:jc w:val="center"/>
          </w:pPr>
        </w:p>
      </w:tc>
      <w:tc>
        <w:tcPr>
          <w:tcW w:w="1650" w:type="pct"/>
        </w:tcPr>
        <w:p>
          <w:pPr>
            <w:jc w:val="center"/>
          </w:pPr>
        </w:p>
      </w:tc>
      <w:tc>
        <w:tcPr>
          <w:tcW w:w="1650" w:type="pct"/>
        </w:tcPr>
        <w:p>
          <w:pPr>
            <w:jc w:val="center"/>
          </w:pPr>
          <w:r>
            <w:t xml:space="preserve">Page </w:t>
          </w:r>
          <w:r>
            <w:fldChar w:fldCharType="begin"/>
          </w:r>
          <w:r>
            <w:instrText xml:space="preserve"> PAGE </w:instrText>
          </w:r>
          <w:r>
            <w:fldChar w:fldCharType="separate"/>
          </w:r>
          <w:r>
            <w:t>22</w:t>
          </w:r>
          <w:r>
            <w:fldChar w:fldCharType="end"/>
          </w:r>
          <w:r>
            <w:t xml:space="preserve"> of </w:t>
          </w:r>
          <w:r>
            <w:fldChar w:fldCharType="begin"/>
          </w:r>
          <w:r>
            <w:instrText xml:space="preserve"> </w:instrText>
          </w:r>
          <w:r>
            <w:instrText>=</w:instrText>
          </w:r>
          <w:r>
            <w:instrText xml:space="preserve"> </w:instrText>
          </w:r>
          <w:r>
            <w:fldChar w:fldCharType="begin"/>
          </w:r>
          <w:r>
            <w:instrText xml:space="preserve"> </w:instrText>
          </w:r>
          <w:r>
            <w:instrText>NUMPAGES</w:instrText>
          </w:r>
          <w:r>
            <w:instrText xml:space="preserve"> </w:instrText>
          </w:r>
          <w:r>
            <w:fldChar w:fldCharType="separate"/>
          </w:r>
          <w:r>
            <w:instrText>23</w:instrText>
          </w:r>
          <w:r>
            <w:fldChar w:fldCharType="end"/>
          </w:r>
          <w:r>
            <w:instrText xml:space="preserve"> </w:instrText>
          </w:r>
          <w:r>
            <w:instrText>-</w:instrText>
          </w:r>
          <w:r>
            <w:instrText xml:space="preserve"> </w:instrText>
          </w:r>
          <w:r>
            <w:instrText>1</w:instrText>
          </w:r>
          <w:r>
            <w:instrText xml:space="preserve"> </w:instrText>
          </w:r>
          <w:r>
            <w:fldChar w:fldCharType="separate"/>
          </w:r>
          <w:r>
            <w:t>22</w:t>
          </w:r>
          <w:r>
            <w:fldChar w:fldCharType="end"/>
          </w:r>
        </w:p>
      </w:tc>
    </w:tr>
  </w:tbl>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94C" w14:paraId="2F2F4F0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94C" w14:paraId="0CE0A1E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94C" w14:paraId="069B0EC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0C56CB"/>
    <w:multiLevelType w:val="hybridMultilevel"/>
    <w:tmpl w:val="DEAE6F06"/>
    <w:lvl w:ilvl="0">
      <w:start w:val="1"/>
      <w:numFmt w:val="bullet"/>
      <w:lvlText w:val=""/>
      <w:lvlJc w:val="left"/>
      <w:pPr>
        <w:ind w:left="783" w:hanging="360"/>
      </w:pPr>
      <w:rPr>
        <w:rFonts w:ascii="Symbol" w:hAnsi="Symbol" w:hint="default"/>
      </w:rPr>
    </w:lvl>
    <w:lvl w:ilvl="1" w:tentative="1">
      <w:start w:val="1"/>
      <w:numFmt w:val="bullet"/>
      <w:lvlText w:val="o"/>
      <w:lvlJc w:val="left"/>
      <w:pPr>
        <w:ind w:left="1503" w:hanging="360"/>
      </w:pPr>
      <w:rPr>
        <w:rFonts w:ascii="Courier New" w:hAnsi="Courier New" w:cs="Courier New" w:hint="default"/>
      </w:rPr>
    </w:lvl>
    <w:lvl w:ilvl="2" w:tentative="1">
      <w:start w:val="1"/>
      <w:numFmt w:val="bullet"/>
      <w:lvlText w:val=""/>
      <w:lvlJc w:val="left"/>
      <w:pPr>
        <w:ind w:left="2223" w:hanging="360"/>
      </w:pPr>
      <w:rPr>
        <w:rFonts w:ascii="Wingdings" w:hAnsi="Wingdings" w:hint="default"/>
      </w:rPr>
    </w:lvl>
    <w:lvl w:ilvl="3" w:tentative="1">
      <w:start w:val="1"/>
      <w:numFmt w:val="bullet"/>
      <w:lvlText w:val=""/>
      <w:lvlJc w:val="left"/>
      <w:pPr>
        <w:ind w:left="2943" w:hanging="360"/>
      </w:pPr>
      <w:rPr>
        <w:rFonts w:ascii="Symbol" w:hAnsi="Symbol" w:hint="default"/>
      </w:rPr>
    </w:lvl>
    <w:lvl w:ilvl="4" w:tentative="1">
      <w:start w:val="1"/>
      <w:numFmt w:val="bullet"/>
      <w:lvlText w:val="o"/>
      <w:lvlJc w:val="left"/>
      <w:pPr>
        <w:ind w:left="3663" w:hanging="360"/>
      </w:pPr>
      <w:rPr>
        <w:rFonts w:ascii="Courier New" w:hAnsi="Courier New" w:cs="Courier New" w:hint="default"/>
      </w:rPr>
    </w:lvl>
    <w:lvl w:ilvl="5" w:tentative="1">
      <w:start w:val="1"/>
      <w:numFmt w:val="bullet"/>
      <w:lvlText w:val=""/>
      <w:lvlJc w:val="left"/>
      <w:pPr>
        <w:ind w:left="4383" w:hanging="360"/>
      </w:pPr>
      <w:rPr>
        <w:rFonts w:ascii="Wingdings" w:hAnsi="Wingdings" w:hint="default"/>
      </w:rPr>
    </w:lvl>
    <w:lvl w:ilvl="6" w:tentative="1">
      <w:start w:val="1"/>
      <w:numFmt w:val="bullet"/>
      <w:lvlText w:val=""/>
      <w:lvlJc w:val="left"/>
      <w:pPr>
        <w:ind w:left="5103" w:hanging="360"/>
      </w:pPr>
      <w:rPr>
        <w:rFonts w:ascii="Symbol" w:hAnsi="Symbol" w:hint="default"/>
      </w:rPr>
    </w:lvl>
    <w:lvl w:ilvl="7" w:tentative="1">
      <w:start w:val="1"/>
      <w:numFmt w:val="bullet"/>
      <w:lvlText w:val="o"/>
      <w:lvlJc w:val="left"/>
      <w:pPr>
        <w:ind w:left="5823" w:hanging="360"/>
      </w:pPr>
      <w:rPr>
        <w:rFonts w:ascii="Courier New" w:hAnsi="Courier New" w:cs="Courier New" w:hint="default"/>
      </w:rPr>
    </w:lvl>
    <w:lvl w:ilvl="8" w:tentative="1">
      <w:start w:val="1"/>
      <w:numFmt w:val="bullet"/>
      <w:lvlText w:val=""/>
      <w:lvlJc w:val="left"/>
      <w:pPr>
        <w:ind w:left="6543" w:hanging="360"/>
      </w:pPr>
      <w:rPr>
        <w:rFonts w:ascii="Wingdings" w:hAnsi="Wingdings" w:hint="default"/>
      </w:rPr>
    </w:lvl>
  </w:abstractNum>
  <w:abstractNum w:abstractNumId="1">
    <w:nsid w:val="08025E21"/>
    <w:multiLevelType w:val="hybridMultilevel"/>
    <w:tmpl w:val="37E836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DFB6BF4"/>
    <w:multiLevelType w:val="hybridMultilevel"/>
    <w:tmpl w:val="D780DCE2"/>
    <w:lvl w:ilvl="0">
      <w:start w:val="1"/>
      <w:numFmt w:val="bullet"/>
      <w:pStyle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3">
    <w:nsid w:val="22E84D12"/>
    <w:multiLevelType w:val="hybridMultilevel"/>
    <w:tmpl w:val="1686870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23105D2C"/>
    <w:multiLevelType w:val="hybridMultilevel"/>
    <w:tmpl w:val="5010F3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AFD5771"/>
    <w:multiLevelType w:val="hybridMultilevel"/>
    <w:tmpl w:val="AE64D2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BAC7556"/>
    <w:multiLevelType w:val="hybridMultilevel"/>
    <w:tmpl w:val="624ECE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C5E2AB5"/>
    <w:multiLevelType w:val="multilevel"/>
    <w:tmpl w:val="2DFCA6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4FCC1E5B"/>
    <w:multiLevelType w:val="hybridMultilevel"/>
    <w:tmpl w:val="66FAFD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9B0054B"/>
    <w:multiLevelType w:val="hybridMultilevel"/>
    <w:tmpl w:val="9BE67068"/>
    <w:lvl w:ilvl="0">
      <w:start w:val="1"/>
      <w:numFmt w:val="bullet"/>
      <w:pStyle w:val="DoubleIndentedBullet"/>
      <w:lvlText w:val=""/>
      <w:lvlJc w:val="left"/>
      <w:pPr>
        <w:ind w:left="1584" w:hanging="360"/>
      </w:pPr>
      <w:rPr>
        <w:rFonts w:ascii="Symbol" w:hAnsi="Symbol" w:hint="default"/>
      </w:rPr>
    </w:lvl>
    <w:lvl w:ilvl="1" w:tentative="1">
      <w:start w:val="1"/>
      <w:numFmt w:val="bullet"/>
      <w:lvlText w:val="o"/>
      <w:lvlJc w:val="left"/>
      <w:pPr>
        <w:ind w:left="2304" w:hanging="360"/>
      </w:pPr>
      <w:rPr>
        <w:rFonts w:ascii="Courier New" w:hAnsi="Courier New" w:hint="default"/>
      </w:rPr>
    </w:lvl>
    <w:lvl w:ilvl="2" w:tentative="1">
      <w:start w:val="1"/>
      <w:numFmt w:val="bullet"/>
      <w:lvlText w:val=""/>
      <w:lvlJc w:val="left"/>
      <w:pPr>
        <w:ind w:left="3024" w:hanging="360"/>
      </w:pPr>
      <w:rPr>
        <w:rFonts w:ascii="Wingdings" w:hAnsi="Wingdings" w:hint="default"/>
      </w:rPr>
    </w:lvl>
    <w:lvl w:ilvl="3" w:tentative="1">
      <w:start w:val="1"/>
      <w:numFmt w:val="bullet"/>
      <w:lvlText w:val=""/>
      <w:lvlJc w:val="left"/>
      <w:pPr>
        <w:ind w:left="3744" w:hanging="360"/>
      </w:pPr>
      <w:rPr>
        <w:rFonts w:ascii="Symbol" w:hAnsi="Symbol" w:hint="default"/>
      </w:rPr>
    </w:lvl>
    <w:lvl w:ilvl="4" w:tentative="1">
      <w:start w:val="1"/>
      <w:numFmt w:val="bullet"/>
      <w:lvlText w:val="o"/>
      <w:lvlJc w:val="left"/>
      <w:pPr>
        <w:ind w:left="4464" w:hanging="360"/>
      </w:pPr>
      <w:rPr>
        <w:rFonts w:ascii="Courier New" w:hAnsi="Courier New" w:hint="default"/>
      </w:rPr>
    </w:lvl>
    <w:lvl w:ilvl="5" w:tentative="1">
      <w:start w:val="1"/>
      <w:numFmt w:val="bullet"/>
      <w:lvlText w:val=""/>
      <w:lvlJc w:val="left"/>
      <w:pPr>
        <w:ind w:left="5184" w:hanging="360"/>
      </w:pPr>
      <w:rPr>
        <w:rFonts w:ascii="Wingdings" w:hAnsi="Wingdings" w:hint="default"/>
      </w:rPr>
    </w:lvl>
    <w:lvl w:ilvl="6" w:tentative="1">
      <w:start w:val="1"/>
      <w:numFmt w:val="bullet"/>
      <w:lvlText w:val=""/>
      <w:lvlJc w:val="left"/>
      <w:pPr>
        <w:ind w:left="5904" w:hanging="360"/>
      </w:pPr>
      <w:rPr>
        <w:rFonts w:ascii="Symbol" w:hAnsi="Symbol" w:hint="default"/>
      </w:rPr>
    </w:lvl>
    <w:lvl w:ilvl="7" w:tentative="1">
      <w:start w:val="1"/>
      <w:numFmt w:val="bullet"/>
      <w:lvlText w:val="o"/>
      <w:lvlJc w:val="left"/>
      <w:pPr>
        <w:ind w:left="6624" w:hanging="360"/>
      </w:pPr>
      <w:rPr>
        <w:rFonts w:ascii="Courier New" w:hAnsi="Courier New" w:hint="default"/>
      </w:rPr>
    </w:lvl>
    <w:lvl w:ilvl="8" w:tentative="1">
      <w:start w:val="1"/>
      <w:numFmt w:val="bullet"/>
      <w:lvlText w:val=""/>
      <w:lvlJc w:val="left"/>
      <w:pPr>
        <w:ind w:left="7344" w:hanging="360"/>
      </w:pPr>
      <w:rPr>
        <w:rFonts w:ascii="Wingdings" w:hAnsi="Wingdings" w:hint="default"/>
      </w:rPr>
    </w:lvl>
  </w:abstractNum>
  <w:abstractNum w:abstractNumId="11">
    <w:nsid w:val="5B5D4D46"/>
    <w:multiLevelType w:val="hybridMultilevel"/>
    <w:tmpl w:val="C3A651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6093E66"/>
    <w:multiLevelType w:val="hybridMultilevel"/>
    <w:tmpl w:val="37DA2D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AD71B05"/>
    <w:multiLevelType w:val="hybridMultilevel"/>
    <w:tmpl w:val="6B1EC6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76823451"/>
    <w:multiLevelType w:val="hybridMultilevel"/>
    <w:tmpl w:val="A92817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9CF54E8"/>
    <w:multiLevelType w:val="hybridMultilevel"/>
    <w:tmpl w:val="01E4CE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9CF54E9"/>
    <w:multiLevelType w:val="hybridMultilevel"/>
    <w:tmpl w:val="79CF54E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79CF54EA"/>
    <w:multiLevelType w:val="hybridMultilevel"/>
    <w:tmpl w:val="79CF54E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79CF54EB"/>
    <w:multiLevelType w:val="hybridMultilevel"/>
    <w:tmpl w:val="79CF54E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79CF54EC"/>
    <w:multiLevelType w:val="multilevel"/>
    <w:tmpl w:val="79CF54E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3"/>
  </w:num>
  <w:num w:numId="4">
    <w:abstractNumId w:val="4"/>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
  </w:num>
  <w:num w:numId="8">
    <w:abstractNumId w:val="10"/>
  </w:num>
  <w:num w:numId="9">
    <w:abstractNumId w:val="11"/>
  </w:num>
  <w:num w:numId="10">
    <w:abstractNumId w:val="13"/>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5"/>
  </w:num>
  <w:num w:numId="15">
    <w:abstractNumId w:val="1"/>
  </w:num>
  <w:num w:numId="16">
    <w:abstractNumId w:val="7"/>
  </w:num>
  <w:num w:numId="17">
    <w:abstractNumId w:val="12"/>
  </w:num>
  <w:num w:numId="18">
    <w:abstractNumId w:val="9"/>
  </w:num>
  <w:num w:numId="19">
    <w:abstractNumId w:val="0"/>
  </w:num>
  <w:num w:numId="20">
    <w:abstractNumId w:val="16"/>
  </w:num>
  <w:num w:numId="21">
    <w:abstractNumId w:val="17"/>
  </w:num>
  <w:num w:numId="22">
    <w:abstractNumId w:val="18"/>
  </w:num>
  <w:num w:numId="23">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TrueTypeFonts/>
  <w:embedSystemFonts/>
  <w:saveSubsetFonts/>
  <w:proofState w:spelling="clean" w:grammar="clean"/>
  <w:doNotTrackFormatting/>
  <w:documentProtection w:edit="comments" w:formatting="1" w:enforcement="0"/>
  <w:defaultTabStop w:val="720"/>
  <w:defaultTableStyle w:val="TableGrid"/>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5F6"/>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A2DAA"/>
    <w:rsid w:val="002A4B16"/>
    <w:rsid w:val="002A6FD5"/>
    <w:rsid w:val="002A71BB"/>
    <w:rsid w:val="002A7A49"/>
    <w:rsid w:val="002B6104"/>
    <w:rsid w:val="002C202B"/>
    <w:rsid w:val="002C50FF"/>
    <w:rsid w:val="002C6255"/>
    <w:rsid w:val="002D0E56"/>
    <w:rsid w:val="002D519B"/>
    <w:rsid w:val="002D5496"/>
    <w:rsid w:val="002D75C7"/>
    <w:rsid w:val="002E28AF"/>
    <w:rsid w:val="002E47F5"/>
    <w:rsid w:val="002E734E"/>
    <w:rsid w:val="002E73F2"/>
    <w:rsid w:val="002E7696"/>
    <w:rsid w:val="002E7DE5"/>
    <w:rsid w:val="002F1918"/>
    <w:rsid w:val="002F5323"/>
    <w:rsid w:val="002F6B62"/>
    <w:rsid w:val="002F6D25"/>
    <w:rsid w:val="00301896"/>
    <w:rsid w:val="00303039"/>
    <w:rsid w:val="0030369E"/>
    <w:rsid w:val="00305DD3"/>
    <w:rsid w:val="00306259"/>
    <w:rsid w:val="003109A8"/>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6736"/>
    <w:rsid w:val="003677A8"/>
    <w:rsid w:val="00367C1A"/>
    <w:rsid w:val="003710EA"/>
    <w:rsid w:val="00371B86"/>
    <w:rsid w:val="0037227E"/>
    <w:rsid w:val="00374B44"/>
    <w:rsid w:val="00375384"/>
    <w:rsid w:val="003763B6"/>
    <w:rsid w:val="00377488"/>
    <w:rsid w:val="00377EFF"/>
    <w:rsid w:val="0038082E"/>
    <w:rsid w:val="00381028"/>
    <w:rsid w:val="00382DA1"/>
    <w:rsid w:val="00390015"/>
    <w:rsid w:val="00392265"/>
    <w:rsid w:val="00392314"/>
    <w:rsid w:val="00394664"/>
    <w:rsid w:val="00395432"/>
    <w:rsid w:val="003A0A9C"/>
    <w:rsid w:val="003A4D8B"/>
    <w:rsid w:val="003A5A67"/>
    <w:rsid w:val="003B00EA"/>
    <w:rsid w:val="003B1559"/>
    <w:rsid w:val="003B4C95"/>
    <w:rsid w:val="003B4FB2"/>
    <w:rsid w:val="003B5A0B"/>
    <w:rsid w:val="003C56CF"/>
    <w:rsid w:val="003D1E1D"/>
    <w:rsid w:val="003D3334"/>
    <w:rsid w:val="003D4EDF"/>
    <w:rsid w:val="003D7099"/>
    <w:rsid w:val="003D77B3"/>
    <w:rsid w:val="003E1061"/>
    <w:rsid w:val="003E180B"/>
    <w:rsid w:val="003E1B34"/>
    <w:rsid w:val="003E32DC"/>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4AFE"/>
    <w:rsid w:val="005F637E"/>
    <w:rsid w:val="005F7C68"/>
    <w:rsid w:val="0060086C"/>
    <w:rsid w:val="00600ABF"/>
    <w:rsid w:val="00601CC7"/>
    <w:rsid w:val="00602A1D"/>
    <w:rsid w:val="00604FCE"/>
    <w:rsid w:val="00607754"/>
    <w:rsid w:val="00607EE4"/>
    <w:rsid w:val="006110CF"/>
    <w:rsid w:val="006110DD"/>
    <w:rsid w:val="0061113A"/>
    <w:rsid w:val="00611E5D"/>
    <w:rsid w:val="0061470C"/>
    <w:rsid w:val="0061569C"/>
    <w:rsid w:val="00617BF5"/>
    <w:rsid w:val="006207B6"/>
    <w:rsid w:val="00622F9E"/>
    <w:rsid w:val="0062480A"/>
    <w:rsid w:val="00625CFF"/>
    <w:rsid w:val="006264C4"/>
    <w:rsid w:val="006270F5"/>
    <w:rsid w:val="00627CB0"/>
    <w:rsid w:val="00631433"/>
    <w:rsid w:val="00632D80"/>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25DB"/>
    <w:rsid w:val="00AE25DD"/>
    <w:rsid w:val="00AE41D1"/>
    <w:rsid w:val="00AF2685"/>
    <w:rsid w:val="00AF421A"/>
    <w:rsid w:val="00AF7478"/>
    <w:rsid w:val="00AF76FA"/>
    <w:rsid w:val="00B006CA"/>
    <w:rsid w:val="00B0090C"/>
    <w:rsid w:val="00B01451"/>
    <w:rsid w:val="00B030CA"/>
    <w:rsid w:val="00B06AB9"/>
    <w:rsid w:val="00B0739E"/>
    <w:rsid w:val="00B135C8"/>
    <w:rsid w:val="00B14829"/>
    <w:rsid w:val="00B167FA"/>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67E94"/>
    <w:rsid w:val="00B72A14"/>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3A88"/>
    <w:rsid w:val="00BD5D23"/>
    <w:rsid w:val="00BD674A"/>
    <w:rsid w:val="00BD6C0C"/>
    <w:rsid w:val="00BE23D7"/>
    <w:rsid w:val="00BE411A"/>
    <w:rsid w:val="00BE54E1"/>
    <w:rsid w:val="00BE601D"/>
    <w:rsid w:val="00BE7B02"/>
    <w:rsid w:val="00BF0134"/>
    <w:rsid w:val="00BF0DEF"/>
    <w:rsid w:val="00BF12F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F4F"/>
    <w:rsid w:val="00C5409B"/>
    <w:rsid w:val="00C54705"/>
    <w:rsid w:val="00C56411"/>
    <w:rsid w:val="00C57173"/>
    <w:rsid w:val="00C61CA3"/>
    <w:rsid w:val="00C62CA0"/>
    <w:rsid w:val="00C63130"/>
    <w:rsid w:val="00C63C34"/>
    <w:rsid w:val="00C644B7"/>
    <w:rsid w:val="00C6519E"/>
    <w:rsid w:val="00C65479"/>
    <w:rsid w:val="00C67320"/>
    <w:rsid w:val="00C73EEE"/>
    <w:rsid w:val="00C742FF"/>
    <w:rsid w:val="00C748F5"/>
    <w:rsid w:val="00C7503D"/>
    <w:rsid w:val="00C76F32"/>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8E0"/>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31CCC"/>
    <w:rsid w:val="00E34692"/>
    <w:rsid w:val="00E34970"/>
    <w:rsid w:val="00E40597"/>
    <w:rsid w:val="00E40C59"/>
    <w:rsid w:val="00E41DA5"/>
    <w:rsid w:val="00E429C0"/>
    <w:rsid w:val="00E42F16"/>
    <w:rsid w:val="00E437CD"/>
    <w:rsid w:val="00E43B4E"/>
    <w:rsid w:val="00E464D3"/>
    <w:rsid w:val="00E465CC"/>
    <w:rsid w:val="00E524A3"/>
    <w:rsid w:val="00E5609D"/>
    <w:rsid w:val="00E60B11"/>
    <w:rsid w:val="00E61B98"/>
    <w:rsid w:val="00E61DD3"/>
    <w:rsid w:val="00E6337C"/>
    <w:rsid w:val="00E6711D"/>
    <w:rsid w:val="00E671DE"/>
    <w:rsid w:val="00E6762F"/>
    <w:rsid w:val="00E720A8"/>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3996"/>
    <w:rsid w:val="00F33FA2"/>
    <w:rsid w:val="00F3530D"/>
    <w:rsid w:val="00F36AC5"/>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E0221"/>
    <w:rsid w:val="00FE38AC"/>
    <w:rsid w:val="00FE673B"/>
    <w:rsid w:val="00FE6B55"/>
    <w:rsid w:val="00FE7C36"/>
    <w:rsid w:val="00FF13A1"/>
    <w:rsid w:val="00FF4DAB"/>
    <w:rsid w:val="00FF54A7"/>
    <w:rsid w:val="00FF6514"/>
    <w:rsid w:val="00FF68D7"/>
    <w:rsid w:val="00FF69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locked="0" w:semiHidden="1" w:unhideWhenUsed="1"/>
    <w:lsdException w:name="Table Grid" w:locked="0" w:uiPriority="59"/>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0374"/>
    <w:rPr>
      <w:color w:val="000000"/>
      <w:sz w:val="24"/>
      <w:szCs w:val="26"/>
    </w:rPr>
  </w:style>
  <w:style w:type="paragraph" w:styleId="Heading1">
    <w:name w:val="heading 1"/>
    <w:next w:val="Normal"/>
    <w:link w:val="Heading1Char"/>
    <w:autoRedefine/>
    <w:uiPriority w:val="9"/>
    <w:qFormat/>
    <w:locked/>
    <w:rsid w:val="00722CEB"/>
    <w:pPr>
      <w:widowControl w:val="0"/>
      <w:spacing w:before="200" w:after="80"/>
      <w:outlineLvl w:val="0"/>
    </w:pPr>
    <w:rPr>
      <w:rFonts w:cs="Arial"/>
      <w:b/>
      <w:bCs/>
      <w:kern w:val="32"/>
      <w:sz w:val="32"/>
      <w:szCs w:val="36"/>
      <w:lang w:val="x-none" w:eastAsia="x-none"/>
    </w:rPr>
  </w:style>
  <w:style w:type="paragraph" w:styleId="Heading2">
    <w:name w:val="heading 2"/>
    <w:next w:val="Normal"/>
    <w:link w:val="Heading2Char"/>
    <w:autoRedefine/>
    <w:uiPriority w:val="9"/>
    <w:qFormat/>
    <w:locked/>
    <w:rsid w:val="00470374"/>
    <w:pPr>
      <w:keepNext/>
      <w:spacing w:before="120" w:after="60"/>
      <w:outlineLvl w:val="1"/>
    </w:pPr>
    <w:rPr>
      <w:rFonts w:cs="Arial"/>
      <w:b/>
      <w:bCs/>
      <w:iCs/>
      <w:sz w:val="32"/>
      <w:szCs w:val="32"/>
      <w:lang w:val="x-none" w:eastAsia="x-none"/>
    </w:rPr>
  </w:style>
  <w:style w:type="paragraph" w:styleId="Heading3">
    <w:name w:val="heading 3"/>
    <w:basedOn w:val="Normal"/>
    <w:next w:val="Normal"/>
    <w:link w:val="Heading3Char"/>
    <w:autoRedefine/>
    <w:uiPriority w:val="9"/>
    <w:locked/>
    <w:rsid w:val="0045300F"/>
    <w:pPr>
      <w:keepNext/>
      <w:tabs>
        <w:tab w:val="right" w:pos="9360"/>
      </w:tabs>
      <w:spacing w:before="80"/>
      <w:outlineLvl w:val="2"/>
    </w:pPr>
    <w:rPr>
      <w:rFonts w:eastAsia="+mn-ea" w:cs="Arial"/>
      <w:b/>
      <w:bCs/>
      <w:sz w:val="28"/>
      <w:szCs w:val="28"/>
      <w:lang w:val="x-none" w:eastAsia="x-none"/>
    </w:rPr>
  </w:style>
  <w:style w:type="paragraph" w:styleId="Heading4">
    <w:name w:val="heading 4"/>
    <w:basedOn w:val="Normal"/>
    <w:next w:val="Normal"/>
    <w:link w:val="Heading4Char"/>
    <w:uiPriority w:val="9"/>
    <w:qFormat/>
    <w:rsid w:val="0045300F"/>
    <w:pPr>
      <w:outlineLvl w:val="3"/>
    </w:pPr>
    <w:rPr>
      <w:b/>
      <w:szCs w:val="24"/>
      <w:lang w:val="x-none" w:eastAsia="x-none"/>
    </w:rPr>
  </w:style>
  <w:style w:type="paragraph" w:styleId="Heading6">
    <w:name w:val="heading 6"/>
    <w:basedOn w:val="Normal"/>
    <w:next w:val="Normal"/>
    <w:link w:val="Heading6Char"/>
    <w:autoRedefine/>
    <w:locked/>
    <w:rsid w:val="00C62CA0"/>
    <w:pPr>
      <w:spacing w:before="80"/>
      <w:outlineLvl w:val="5"/>
    </w:pPr>
    <w:rPr>
      <w:b/>
      <w:bCs/>
      <w:i/>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8F389E"/>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22CEB"/>
    <w:rPr>
      <w:rFonts w:cs="Arial"/>
      <w:b/>
      <w:bCs/>
      <w:kern w:val="32"/>
      <w:sz w:val="32"/>
      <w:szCs w:val="36"/>
      <w:lang w:val="x-none" w:eastAsia="x-none"/>
    </w:rPr>
  </w:style>
  <w:style w:type="character" w:customStyle="1" w:styleId="Heading2Char">
    <w:name w:val="Heading 2 Char"/>
    <w:link w:val="Heading2"/>
    <w:uiPriority w:val="9"/>
    <w:rsid w:val="00470374"/>
    <w:rPr>
      <w:rFonts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45300F"/>
    <w:rPr>
      <w:rFonts w:ascii="Verdana" w:hAnsi="Verdana"/>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8F389E"/>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3F33C8"/>
    <w:pPr>
      <w:spacing w:before="60" w:after="60"/>
      <w:outlineLvl w:val="0"/>
    </w:pPr>
    <w:rPr>
      <w:rFonts w:ascii="Cambria" w:hAnsi="Cambria"/>
      <w:b/>
      <w:bCs/>
      <w:color w:val="auto"/>
      <w:kern w:val="28"/>
      <w:sz w:val="32"/>
      <w:szCs w:val="32"/>
      <w:lang w:val="x-none" w:eastAsia="x-none"/>
    </w:rPr>
  </w:style>
  <w:style w:type="character" w:customStyle="1" w:styleId="TitleChar">
    <w:name w:val="Title Char"/>
    <w:link w:val="Title"/>
    <w:uiPriority w:val="10"/>
    <w:rsid w:val="003F33C8"/>
    <w:rPr>
      <w:rFonts w:ascii="Cambria" w:hAnsi="Cambria"/>
      <w:b/>
      <w:bCs/>
      <w:kern w:val="28"/>
      <w:sz w:val="32"/>
      <w:szCs w:val="32"/>
      <w:lang w:val="x-none" w:eastAsia="x-none"/>
    </w:rPr>
  </w:style>
  <w:style w:type="character" w:styleId="Emphasis">
    <w:name w:val="Emphasis"/>
    <w:uiPriority w:val="20"/>
    <w:qFormat/>
    <w:rsid w:val="0045300F"/>
    <w:rPr>
      <w:rFonts w:cs="Times New Roman"/>
      <w:i/>
      <w:iCs/>
    </w:rPr>
  </w:style>
  <w:style w:type="paragraph" w:styleId="ListParagraph">
    <w:name w:val="List Paragraph"/>
    <w:basedOn w:val="Normal"/>
    <w:uiPriority w:val="34"/>
    <w:qFormat/>
    <w:rsid w:val="0045300F"/>
    <w:pPr>
      <w:ind w:left="432"/>
    </w:pPr>
  </w:style>
  <w:style w:type="paragraph" w:styleId="Subtitle">
    <w:name w:val="Subtitle"/>
    <w:basedOn w:val="Normal"/>
    <w:next w:val="Normal"/>
    <w:link w:val="SubtitleChar"/>
    <w:uiPriority w:val="11"/>
    <w:locked/>
    <w:rsid w:val="00C62CA0"/>
    <w:pPr>
      <w:spacing w:after="60"/>
      <w:jc w:val="center"/>
      <w:outlineLvl w:val="1"/>
    </w:pPr>
    <w:rPr>
      <w:rFonts w:ascii="Cambria" w:hAnsi="Cambria"/>
    </w:rPr>
  </w:style>
  <w:style w:type="character" w:customStyle="1" w:styleId="SubtitleChar">
    <w:name w:val="Subtitle Char"/>
    <w:link w:val="Subtitle"/>
    <w:uiPriority w:val="11"/>
    <w:rsid w:val="00C62CA0"/>
    <w:rPr>
      <w:rFonts w:ascii="Cambria" w:eastAsia="Times New Roman" w:hAnsi="Cambria" w:cs="Times New Roman"/>
      <w:sz w:val="24"/>
      <w:szCs w:val="24"/>
    </w:rPr>
  </w:style>
  <w:style w:type="paragraph" w:customStyle="1" w:styleId="Hidden">
    <w:name w:val="Hidden"/>
    <w:next w:val="Normal"/>
    <w:link w:val="HiddenChar"/>
    <w:qFormat/>
    <w:locked/>
    <w:rsid w:val="00470374"/>
    <w:pPr>
      <w:keepNext/>
      <w:keepLines/>
      <w:spacing w:beforeLines="40" w:afterLines="40" w:line="276" w:lineRule="auto"/>
      <w:contextualSpacing/>
      <w:outlineLvl w:val="3"/>
    </w:pPr>
    <w:rPr>
      <w:rFonts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470374"/>
    <w:rPr>
      <w:rFonts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0C01B0"/>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0C01B0"/>
    <w:rPr>
      <w:rFonts w:ascii="Arial" w:hAnsi="Arial"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45300F"/>
    <w:rPr>
      <w:rFonts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45300F"/>
    <w:pPr>
      <w:widowControl w:val="0"/>
      <w:numPr>
        <w:numId w:val="7"/>
      </w:numPr>
      <w:ind w:left="432"/>
    </w:pPr>
    <w:rPr>
      <w:rFonts w:ascii="Verdana" w:hAnsi="Verdana"/>
      <w:color w:val="000000"/>
      <w:sz w:val="18"/>
      <w:szCs w:val="26"/>
    </w:rPr>
  </w:style>
  <w:style w:type="character" w:styleId="Strong">
    <w:name w:val="Strong"/>
    <w:uiPriority w:val="22"/>
    <w:qFormat/>
    <w:rsid w:val="0045300F"/>
    <w:rPr>
      <w:rFonts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45300F"/>
    <w:pPr>
      <w:numPr>
        <w:numId w:val="8"/>
      </w:numPr>
    </w:pPr>
    <w:rPr>
      <w:rFonts w:ascii="Verdana" w:hAnsi="Verdana"/>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45300F"/>
    <w:rPr>
      <w:b/>
      <w:bCs/>
      <w:smallCaps/>
      <w:spacing w:val="5"/>
    </w:rPr>
  </w:style>
  <w:style w:type="character" w:customStyle="1" w:styleId="Hidden-Character">
    <w:name w:val="Hidden - Character"/>
    <w:uiPriority w:val="1"/>
    <w:qFormat/>
    <w:locked/>
    <w:rsid w:val="00470374"/>
    <w:rPr>
      <w:rFonts w:ascii="Times New Roman" w:hAnsi="Times New Roman"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2"/>
      </w:numPr>
    </w:pPr>
  </w:style>
  <w:style w:type="character" w:customStyle="1" w:styleId="apple-style-span">
    <w:name w:val="apple-style-span"/>
    <w:locked/>
    <w:rsid w:val="0090270A"/>
  </w:style>
  <w:style w:type="character" w:customStyle="1" w:styleId="regulartext1">
    <w:name w:val="regulartext1"/>
    <w:locked/>
    <w:rsid w:val="00527534"/>
  </w:style>
  <w:style w:type="character" w:customStyle="1" w:styleId="apple-converted-space">
    <w:name w:val="apple-converted-space"/>
    <w:locked/>
    <w:rsid w:val="00527534"/>
  </w:style>
  <w:style w:type="character" w:customStyle="1" w:styleId="Subscript">
    <w:name w:val="Subscript"/>
    <w:uiPriority w:val="1"/>
    <w:qFormat/>
    <w:rsid w:val="0045300F"/>
    <w:rPr>
      <w:caps w:val="0"/>
      <w:smallCaps w:val="0"/>
      <w:strike w:val="0"/>
      <w:dstrike w:val="0"/>
      <w:vanish w:val="0"/>
      <w:color w:val="000000"/>
      <w:vertAlign w:val="subscript"/>
    </w:rPr>
  </w:style>
  <w:style w:type="character" w:customStyle="1" w:styleId="Superscript">
    <w:name w:val="Superscript"/>
    <w:uiPriority w:val="1"/>
    <w:qFormat/>
    <w:rsid w:val="0045300F"/>
    <w:rPr>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C9570A"/>
    <w:pPr>
      <w:keepNext/>
      <w:spacing w:line="276" w:lineRule="auto"/>
    </w:pPr>
    <w:rPr>
      <w:rFonts w:ascii="Arial" w:eastAsia="Calibri" w:hAnsi="Arial" w:cs="Arial"/>
      <w:color w:val="00B050"/>
      <w:szCs w:val="24"/>
    </w:rPr>
  </w:style>
  <w:style w:type="paragraph" w:customStyle="1" w:styleId="MainHeading">
    <w:name w:val="Main Heading"/>
    <w:link w:val="MainHeadingChar"/>
    <w:autoRedefine/>
    <w:qFormat/>
    <w:rsid w:val="00470374"/>
    <w:rPr>
      <w:rFonts w:cs="Arial"/>
      <w:b/>
      <w:bCs/>
      <w:kern w:val="32"/>
      <w:sz w:val="36"/>
      <w:szCs w:val="36"/>
      <w:lang w:val="x-none" w:eastAsia="x-none"/>
    </w:rPr>
  </w:style>
  <w:style w:type="character" w:customStyle="1" w:styleId="MainHeadingChar">
    <w:name w:val="Main Heading Char"/>
    <w:basedOn w:val="DefaultParagraphFont"/>
    <w:link w:val="MainHeading"/>
    <w:rsid w:val="00470374"/>
    <w:rPr>
      <w:rFonts w:cs="Arial"/>
      <w:b/>
      <w:bCs/>
      <w:kern w:val="32"/>
      <w:sz w:val="36"/>
      <w:szCs w:val="36"/>
      <w:lang w:val="x-none" w:eastAsia="x-none"/>
    </w:rPr>
  </w:style>
  <w:style w:type="paragraph" w:customStyle="1" w:styleId="Heading">
    <w:name w:val="Heading"/>
    <w:link w:val="HeadingChar"/>
    <w:autoRedefine/>
    <w:qFormat/>
    <w:rsid w:val="00470374"/>
    <w:rPr>
      <w:b/>
      <w:color w:val="000000"/>
      <w:sz w:val="24"/>
      <w:szCs w:val="24"/>
      <w:lang w:val="x-none" w:eastAsia="x-none"/>
    </w:rPr>
  </w:style>
  <w:style w:type="character" w:customStyle="1" w:styleId="HeadingChar">
    <w:name w:val="Heading Char"/>
    <w:basedOn w:val="Heading4Char"/>
    <w:link w:val="Heading"/>
    <w:rsid w:val="00470374"/>
    <w:rPr>
      <w:rFonts w:ascii="Verdana" w:hAnsi="Verdana"/>
      <w:b/>
      <w:color w:val="000000"/>
      <w:sz w:val="24"/>
      <w:szCs w:val="24"/>
      <w:lang w:val="x-none" w:eastAsia="x-none"/>
    </w:rPr>
  </w:style>
  <w:style w:type="paragraph" w:customStyle="1" w:styleId="Label">
    <w:name w:val="Label"/>
    <w:link w:val="LabelChar"/>
    <w:qFormat/>
    <w:rsid w:val="00470374"/>
    <w:rPr>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470374"/>
    <w:rPr>
      <w:rFonts w:ascii="Verdana" w:hAnsi="Verdana"/>
      <w:b/>
      <w:color w:val="000000"/>
      <w:sz w:val="24"/>
      <w:szCs w:val="24"/>
      <w:lang w:val="x-none" w:eastAsia="x-none"/>
    </w:rPr>
  </w:style>
  <w:style w:type="table" w:styleId="GridTable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iv">
    <w:name w:val="div"/>
    <w:basedOn w:val="Normal"/>
    <w:rPr>
      <w:rFonts w:ascii="Times New Roman" w:eastAsia="Times New Roman" w:hAnsi="Times New Roman" w:cs="Times New Roman"/>
      <w:sz w:val="24"/>
      <w:szCs w:val="24"/>
    </w:rPr>
  </w:style>
  <w:style w:type="paragraph" w:customStyle="1" w:styleId="h1Heading1">
    <w:name w:val="h1_Heading1"/>
    <w:basedOn w:val="Heading1"/>
    <w:pPr>
      <w:pBdr>
        <w:top w:val="none" w:sz="0" w:space="2" w:color="auto"/>
        <w:left w:val="none" w:sz="0" w:space="2" w:color="auto"/>
        <w:bottom w:val="none" w:sz="0" w:space="2" w:color="auto"/>
        <w:right w:val="none" w:sz="0" w:space="2" w:color="auto"/>
      </w:pBdr>
      <w:shd w:val="clear" w:color="auto" w:fill="BCDFFB"/>
    </w:pPr>
    <w:rPr>
      <w:rFonts w:ascii="Times New Roman" w:eastAsia="Times New Roman" w:hAnsi="Times New Roman" w:cs="Times New Roman"/>
      <w:b/>
      <w:bCs/>
      <w:sz w:val="24"/>
      <w:szCs w:val="24"/>
      <w:shd w:val="clear" w:color="auto" w:fill="BCDFFB"/>
    </w:rPr>
  </w:style>
  <w:style w:type="paragraph" w:customStyle="1" w:styleId="Normal0">
    <w:name w:val="Normal_0"/>
    <w:basedOn w:val="Normal"/>
    <w:rPr>
      <w:rFonts w:ascii="Helvetica" w:eastAsia="Helvetica" w:hAnsi="Helvetica" w:cs="Helvetica"/>
      <w:sz w:val="20"/>
      <w:szCs w:val="20"/>
    </w:rPr>
  </w:style>
  <w:style w:type="paragraph" w:customStyle="1" w:styleId="h2Heading2">
    <w:name w:val="h2_Heading2"/>
    <w:basedOn w:val="Heading2"/>
    <w:pPr>
      <w:pBdr>
        <w:top w:val="none" w:sz="0" w:space="2" w:color="auto"/>
        <w:left w:val="none" w:sz="0" w:space="2" w:color="auto"/>
        <w:bottom w:val="none" w:sz="0" w:space="2" w:color="auto"/>
        <w:right w:val="none" w:sz="0" w:space="2" w:color="auto"/>
      </w:pBdr>
      <w:shd w:val="clear" w:color="auto" w:fill="E0E0E0"/>
    </w:pPr>
    <w:rPr>
      <w:rFonts w:ascii="Times New Roman" w:eastAsia="Times New Roman" w:hAnsi="Times New Roman" w:cs="Times New Roman"/>
      <w:b/>
      <w:bCs/>
      <w:sz w:val="24"/>
      <w:szCs w:val="24"/>
      <w:shd w:val="clear" w:color="auto" w:fill="E0E0E0"/>
    </w:rPr>
  </w:style>
  <w:style w:type="paragraph" w:customStyle="1" w:styleId="p">
    <w:name w:val="p"/>
    <w:basedOn w:val="Normal"/>
    <w:rPr>
      <w:rFonts w:ascii="Helvetica" w:eastAsia="Helvetica" w:hAnsi="Helvetica" w:cs="Helvetica"/>
      <w:sz w:val="20"/>
      <w:szCs w:val="20"/>
    </w:rPr>
  </w:style>
  <w:style w:type="character" w:customStyle="1" w:styleId="ahref">
    <w:name w:val="a_|href"/>
    <w:basedOn w:val="DefaultParagraphFont"/>
    <w:rPr>
      <w:color w:val="0000FF"/>
    </w:rPr>
  </w:style>
  <w:style w:type="paragraph" w:customStyle="1" w:styleId="p0">
    <w:name w:val="p_0"/>
    <w:basedOn w:val="Hidden"/>
    <w:rPr>
      <w:rFonts w:ascii="Helvetica" w:eastAsia="Helvetica" w:hAnsi="Helvetica" w:cs="Helvetica"/>
      <w:sz w:val="20"/>
      <w:szCs w:val="20"/>
    </w:rPr>
  </w:style>
  <w:style w:type="character" w:customStyle="1" w:styleId="criteria-linked-elementdata-modeexportcriteria-score">
    <w:name w:val="criteria-linked-element_|data-mode=export_criteria-score"/>
    <w:basedOn w:val="DefaultParagraphFont"/>
    <w:rPr>
      <w:bdr w:val="none" w:sz="0" w:space="0" w:color="auto"/>
    </w:rPr>
  </w:style>
  <w:style w:type="table" w:customStyle="1" w:styleId="tablecriteria-linked-element">
    <w:name w:val="table_criteria-linked-element"/>
    <w:basedOn w:val="TableNormal"/>
    <w:tbl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microsoft.com/office/2011/relationships/commentsExtended" Target="commentsExtended.xml" /><Relationship Id="rId16" Type="http://schemas.openxmlformats.org/officeDocument/2006/relationships/comments" Target="comments.xml" /><Relationship Id="rId17" Type="http://schemas.openxmlformats.org/officeDocument/2006/relationships/hyperlink" Target="https://www.ecfr.gov/cgi-bin/text-idx?SID=2cb9f6d1c1c131ed576a5e65845ef3fa&amp;mc=true&amp;node=se2.1.1402_1112&amp;rgn=div8" TargetMode="External" /><Relationship Id="rId18" Type="http://schemas.openxmlformats.org/officeDocument/2006/relationships/hyperlink" Target="https://www.doi.gov/pam/programs/acquisition/fair-activities-inventory-reform-act" TargetMode="External" /><Relationship Id="rId19" Type="http://schemas.openxmlformats.org/officeDocument/2006/relationships/hyperlink" Target="https://harvester.census.gov/facides/Account/Login.aspx" TargetMode="External" /><Relationship Id="rId2" Type="http://schemas.openxmlformats.org/officeDocument/2006/relationships/webSettings" Target="webSettings.xml" /><Relationship Id="rId20" Type="http://schemas.openxmlformats.org/officeDocument/2006/relationships/hyperlink" Target="https://harvester.census.gov/facdissem/Main.aspx" TargetMode="External" /><Relationship Id="rId21" Type="http://schemas.openxmlformats.org/officeDocument/2006/relationships/hyperlink" Target="http://www.ecfr.gov/cgi-bin/text-idx?SID=683823273fc0da6a1060883eda593fb8&amp;mc=true&amp;node=pt43.1.18&amp;rgn=div5" TargetMode="External" /><Relationship Id="rId22" Type="http://schemas.openxmlformats.org/officeDocument/2006/relationships/hyperlink" Target="https://www.gsa.gov/about-us/organization/federal-acquisition-service/office-of-systems-management/integrated-award-environment-iae/iae-systems-information-kit/unique-entity-identifier-update" TargetMode="External" /><Relationship Id="rId23" Type="http://schemas.openxmlformats.org/officeDocument/2006/relationships/hyperlink" Target="http://www.sam.gov" TargetMode="External" /><Relationship Id="rId24" Type="http://schemas.openxmlformats.org/officeDocument/2006/relationships/hyperlink" Target="https://www.grants.gov/help/html/help/Register/RegisterWithSAM.htm" TargetMode="External" /><Relationship Id="rId25" Type="http://schemas.openxmlformats.org/officeDocument/2006/relationships/hyperlink" Target="mailto:support@grants.gov" TargetMode="External" /><Relationship Id="rId26" Type="http://schemas.openxmlformats.org/officeDocument/2006/relationships/hyperlink" Target="https://www.doi.gov/grants/doi-standard-terms-and-conditions" TargetMode="External" /><Relationship Id="rId27" Type="http://schemas.openxmlformats.org/officeDocument/2006/relationships/hyperlink" Target="https://www.ecfr.gov/cgi-bin/text-idx?SID=2cb9f6d1c1c131ed576a5e65845ef3fa&amp;mc=true&amp;node=se2.1.1402_1315&amp;rgn=div8" TargetMode="External" /><Relationship Id="rId28" Type="http://schemas.openxmlformats.org/officeDocument/2006/relationships/hyperlink" Target="https://www.boem.gov/esp-data-and-information-specifications" TargetMode="External" /><Relationship Id="rId29" Type="http://schemas.openxmlformats.org/officeDocument/2006/relationships/hyperlink" Target="https://gcc02.safelinks.protection.outlook.com/?url=http%3A%2F%2Fwww.fgdc.gov%2F&amp;data=05%7C01%7CYong.Kong%40boem.gov%7Cf00810e6e58f400bfb7708da64facfad%7C0693b5ba4b184d7b9341f32f400a5494%7C0%7C0%7C637933325649220940%7CUnknown%7CTWFpbGZsb3d8eyJWIjoiMC4wLjAwMDAiLCJQIjoiV2luMzIiLCJBTiI6Ik1haWwiLCJXVCI6Mn0%3D%7C3000%7C%7C%7C&amp;sdata=xM9BlemhxYhri%2Fl1ek2KMpCAKoVtKWipiGqEu1KAkeY%3D&amp;reserved=0" TargetMode="External" /><Relationship Id="rId3" Type="http://schemas.openxmlformats.org/officeDocument/2006/relationships/fontTable" Target="fontTable.xml" /><Relationship Id="rId30" Type="http://schemas.openxmlformats.org/officeDocument/2006/relationships/footer" Target="footer4.xml" /><Relationship Id="rId31" Type="http://schemas.openxmlformats.org/officeDocument/2006/relationships/theme" Target="theme/theme1.xml" /><Relationship Id="rId32" Type="http://schemas.openxmlformats.org/officeDocument/2006/relationships/numbering" Target="numbering.xml" /><Relationship Id="rId33"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5.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Props1.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2.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customXml/itemProps4.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customXml/itemProps5.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Research</vt:lpstr>
    </vt:vector>
  </TitlesOfParts>
  <Company>Microsoft</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Adetayo, Kemi (NIH/OD) [C]</dc:creator>
  <cp:lastModifiedBy>Silverman, Joshua (NIH/OD) [C]</cp:lastModifiedBy>
  <cp:revision>28</cp:revision>
  <cp:lastPrinted>2015-12-22T13:15:00Z</cp:lastPrinted>
  <dcterms:created xsi:type="dcterms:W3CDTF">2016-12-20T14:59:00Z</dcterms:created>
  <dcterms:modified xsi:type="dcterms:W3CDTF">2023-02-15T17:20:00Z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