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r w:rsidR="00782CBC">
        <w:rPr>
          <w:b/>
          <w:sz w:val="32"/>
          <w:szCs w:val="32"/>
        </w:rPr>
        <w:t xml:space="preserve"> </w:t>
      </w:r>
    </w:p>
    <w:p w:rsidR="00A63526" w:rsidRDefault="00A63526" w:rsidP="00C12B36">
      <w:pPr>
        <w:jc w:val="center"/>
        <w:outlineLvl w:val="0"/>
        <w:rPr>
          <w:b/>
          <w:sz w:val="28"/>
          <w:szCs w:val="28"/>
        </w:rPr>
      </w:pPr>
    </w:p>
    <w:p w:rsidR="00A63526" w:rsidRPr="00A63526" w:rsidRDefault="00A63526" w:rsidP="00C12B36">
      <w:pPr>
        <w:jc w:val="center"/>
        <w:outlineLvl w:val="0"/>
        <w:rPr>
          <w:b/>
        </w:rPr>
      </w:pPr>
      <w:r w:rsidRPr="00A63526">
        <w:rPr>
          <w:b/>
        </w:rPr>
        <w:t>TASK AGREEMENT</w:t>
      </w:r>
    </w:p>
    <w:p w:rsidR="00A63526" w:rsidRPr="00A63526" w:rsidRDefault="00A63526" w:rsidP="00C12B36">
      <w:pPr>
        <w:jc w:val="center"/>
        <w:outlineLvl w:val="0"/>
        <w:rPr>
          <w:b/>
        </w:rPr>
      </w:pPr>
      <w:r w:rsidRPr="00A63526">
        <w:rPr>
          <w:b/>
        </w:rPr>
        <w:t>BY AUTHORITY OF MASTER COOPERATIVE AGREEMENT P14AC00882</w:t>
      </w:r>
    </w:p>
    <w:p w:rsidR="00782CBC" w:rsidRDefault="00A63526" w:rsidP="00C12B36">
      <w:pPr>
        <w:jc w:val="center"/>
        <w:outlineLvl w:val="0"/>
        <w:rPr>
          <w:b/>
        </w:rPr>
      </w:pPr>
      <w:r w:rsidRPr="00A63526">
        <w:rPr>
          <w:b/>
        </w:rPr>
        <w:t>SOUTHERN APPALACHIAN MOUNTAINS</w:t>
      </w:r>
      <w:r w:rsidR="00D23D05">
        <w:rPr>
          <w:b/>
        </w:rPr>
        <w:t xml:space="preserve"> </w:t>
      </w:r>
    </w:p>
    <w:p w:rsidR="00D23D05" w:rsidRPr="00A63526" w:rsidRDefault="00D23D05" w:rsidP="00C12B36">
      <w:pPr>
        <w:jc w:val="center"/>
        <w:outlineLvl w:val="0"/>
        <w:rPr>
          <w:b/>
        </w:rPr>
      </w:pPr>
      <w:r>
        <w:rPr>
          <w:b/>
        </w:rPr>
        <w:t>COOPERATIVE AGREEMENT STUDY UNIT (CESU)</w:t>
      </w:r>
    </w:p>
    <w:p w:rsidR="00A2008C" w:rsidRDefault="00A2008C" w:rsidP="00EA0374">
      <w:pPr>
        <w:jc w:val="center"/>
        <w:rPr>
          <w:b/>
          <w:sz w:val="32"/>
          <w:szCs w:val="32"/>
        </w:rPr>
      </w:pPr>
    </w:p>
    <w:p w:rsidR="00A2008C" w:rsidRDefault="00A2008C" w:rsidP="00D23D05">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D23D05" w:rsidTr="00F67756">
        <w:tc>
          <w:tcPr>
            <w:tcW w:w="5000" w:type="pct"/>
            <w:gridSpan w:val="2"/>
            <w:tcBorders>
              <w:top w:val="double" w:sz="4" w:space="0" w:color="auto"/>
              <w:bottom w:val="double" w:sz="4" w:space="0" w:color="auto"/>
            </w:tcBorders>
            <w:shd w:val="clear" w:color="auto" w:fill="CB9F5B"/>
          </w:tcPr>
          <w:p w:rsidR="00A2008C" w:rsidRPr="00D23D05" w:rsidRDefault="00A2008C" w:rsidP="00F67756">
            <w:pPr>
              <w:jc w:val="center"/>
              <w:rPr>
                <w:b/>
                <w:sz w:val="22"/>
                <w:szCs w:val="22"/>
              </w:rPr>
            </w:pPr>
            <w:r w:rsidRPr="00D23D05">
              <w:rPr>
                <w:b/>
                <w:sz w:val="22"/>
                <w:szCs w:val="22"/>
              </w:rPr>
              <w:t>ABSTRACT</w:t>
            </w:r>
          </w:p>
        </w:tc>
      </w:tr>
      <w:tr w:rsidR="00A2008C" w:rsidRPr="00D23D05" w:rsidTr="00D23D05">
        <w:tc>
          <w:tcPr>
            <w:tcW w:w="1191" w:type="pct"/>
            <w:tcBorders>
              <w:top w:val="double" w:sz="4" w:space="0" w:color="auto"/>
            </w:tcBorders>
            <w:vAlign w:val="center"/>
          </w:tcPr>
          <w:p w:rsidR="00A2008C" w:rsidRPr="00D23D05" w:rsidRDefault="00A2008C" w:rsidP="00D23D05">
            <w:pPr>
              <w:rPr>
                <w:b/>
                <w:i/>
                <w:sz w:val="22"/>
                <w:szCs w:val="22"/>
              </w:rPr>
            </w:pPr>
            <w:r w:rsidRPr="00D23D05">
              <w:rPr>
                <w:b/>
                <w:i/>
                <w:sz w:val="22"/>
                <w:szCs w:val="22"/>
              </w:rPr>
              <w:t>Funding Announcement</w:t>
            </w:r>
          </w:p>
        </w:tc>
        <w:tc>
          <w:tcPr>
            <w:tcW w:w="3809" w:type="pct"/>
            <w:tcBorders>
              <w:top w:val="double" w:sz="4" w:space="0" w:color="auto"/>
            </w:tcBorders>
            <w:vAlign w:val="bottom"/>
          </w:tcPr>
          <w:p w:rsidR="00A2008C" w:rsidRPr="00D23D05" w:rsidRDefault="003E027C" w:rsidP="00B25D34">
            <w:pPr>
              <w:rPr>
                <w:sz w:val="22"/>
                <w:szCs w:val="22"/>
              </w:rPr>
            </w:pPr>
            <w:r w:rsidRPr="00E927F9">
              <w:rPr>
                <w:sz w:val="22"/>
                <w:szCs w:val="22"/>
                <w:highlight w:val="yellow"/>
              </w:rPr>
              <w:t>P1</w:t>
            </w:r>
            <w:r w:rsidR="00B25D34" w:rsidRPr="00E927F9">
              <w:rPr>
                <w:sz w:val="22"/>
                <w:szCs w:val="22"/>
                <w:highlight w:val="yellow"/>
              </w:rPr>
              <w:t>6AS00160</w:t>
            </w:r>
          </w:p>
        </w:tc>
      </w:tr>
      <w:tr w:rsidR="00A2008C" w:rsidRPr="00D23D05" w:rsidTr="00D23D05">
        <w:trPr>
          <w:trHeight w:val="638"/>
        </w:trPr>
        <w:tc>
          <w:tcPr>
            <w:tcW w:w="1191" w:type="pct"/>
            <w:vAlign w:val="center"/>
          </w:tcPr>
          <w:p w:rsidR="00A2008C" w:rsidRPr="00D23D05" w:rsidRDefault="00A2008C" w:rsidP="00D23D05">
            <w:pPr>
              <w:rPr>
                <w:b/>
                <w:i/>
                <w:sz w:val="22"/>
                <w:szCs w:val="22"/>
              </w:rPr>
            </w:pPr>
            <w:r w:rsidRPr="00D23D05">
              <w:rPr>
                <w:b/>
                <w:i/>
                <w:sz w:val="22"/>
                <w:szCs w:val="22"/>
              </w:rPr>
              <w:t>Project Title</w:t>
            </w:r>
          </w:p>
        </w:tc>
        <w:tc>
          <w:tcPr>
            <w:tcW w:w="3809" w:type="pct"/>
            <w:vAlign w:val="bottom"/>
          </w:tcPr>
          <w:p w:rsidR="00A2008C" w:rsidRPr="00D23D05" w:rsidRDefault="00E927F9" w:rsidP="00D23D05">
            <w:pPr>
              <w:rPr>
                <w:sz w:val="22"/>
                <w:szCs w:val="22"/>
              </w:rPr>
            </w:pPr>
            <w:r w:rsidRPr="00E927F9">
              <w:rPr>
                <w:sz w:val="22"/>
                <w:szCs w:val="22"/>
              </w:rPr>
              <w:t>Vital Signs Water Quality Monitoring in GRSM and APHN Streams</w:t>
            </w:r>
          </w:p>
        </w:tc>
      </w:tr>
      <w:tr w:rsidR="00A2008C" w:rsidRPr="00D23D05" w:rsidTr="00D23D05">
        <w:trPr>
          <w:trHeight w:val="485"/>
        </w:trPr>
        <w:tc>
          <w:tcPr>
            <w:tcW w:w="1191" w:type="pct"/>
            <w:vAlign w:val="center"/>
          </w:tcPr>
          <w:p w:rsidR="00A2008C" w:rsidRPr="00D23D05" w:rsidRDefault="00A2008C" w:rsidP="00D23D05">
            <w:pPr>
              <w:rPr>
                <w:b/>
                <w:i/>
                <w:sz w:val="22"/>
                <w:szCs w:val="22"/>
              </w:rPr>
            </w:pPr>
            <w:r w:rsidRPr="00D23D05">
              <w:rPr>
                <w:b/>
                <w:i/>
                <w:sz w:val="22"/>
                <w:szCs w:val="22"/>
              </w:rPr>
              <w:t>Recipient</w:t>
            </w:r>
          </w:p>
        </w:tc>
        <w:tc>
          <w:tcPr>
            <w:tcW w:w="3809" w:type="pct"/>
            <w:vAlign w:val="bottom"/>
          </w:tcPr>
          <w:p w:rsidR="00A2008C" w:rsidRPr="00D23D05" w:rsidRDefault="00E927F9" w:rsidP="00D23D05">
            <w:pPr>
              <w:rPr>
                <w:sz w:val="22"/>
                <w:szCs w:val="22"/>
              </w:rPr>
            </w:pPr>
            <w:r>
              <w:rPr>
                <w:sz w:val="22"/>
                <w:szCs w:val="22"/>
              </w:rPr>
              <w:t>University of Tennessee-Knoxville</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Principle Investigator / Program Manager</w:t>
            </w:r>
          </w:p>
        </w:tc>
        <w:tc>
          <w:tcPr>
            <w:tcW w:w="3809" w:type="pct"/>
            <w:vAlign w:val="bottom"/>
          </w:tcPr>
          <w:p w:rsidR="00E927F9" w:rsidRPr="00E927F9" w:rsidRDefault="00E927F9" w:rsidP="00E927F9">
            <w:pPr>
              <w:rPr>
                <w:b/>
                <w:bCs/>
                <w:sz w:val="22"/>
                <w:szCs w:val="22"/>
              </w:rPr>
            </w:pPr>
            <w:r w:rsidRPr="00E927F9">
              <w:rPr>
                <w:b/>
                <w:bCs/>
                <w:sz w:val="22"/>
                <w:szCs w:val="22"/>
              </w:rPr>
              <w:t xml:space="preserve">John S. Schwartz, </w:t>
            </w:r>
            <w:proofErr w:type="spellStart"/>
            <w:r w:rsidRPr="00E927F9">
              <w:rPr>
                <w:bCs/>
                <w:sz w:val="22"/>
                <w:szCs w:val="22"/>
              </w:rPr>
              <w:t>Ph.D.</w:t>
            </w:r>
            <w:proofErr w:type="gramStart"/>
            <w:r w:rsidRPr="00E927F9">
              <w:rPr>
                <w:bCs/>
                <w:sz w:val="22"/>
                <w:szCs w:val="22"/>
              </w:rPr>
              <w:t>,P.E</w:t>
            </w:r>
            <w:proofErr w:type="spellEnd"/>
            <w:proofErr w:type="gramEnd"/>
            <w:r w:rsidRPr="00E927F9">
              <w:rPr>
                <w:bCs/>
                <w:sz w:val="22"/>
                <w:szCs w:val="22"/>
              </w:rPr>
              <w:t>.</w:t>
            </w:r>
          </w:p>
          <w:p w:rsidR="00E927F9" w:rsidRPr="00E927F9" w:rsidRDefault="00E927F9" w:rsidP="00E927F9">
            <w:pPr>
              <w:rPr>
                <w:bCs/>
                <w:sz w:val="22"/>
                <w:szCs w:val="22"/>
              </w:rPr>
            </w:pPr>
            <w:r w:rsidRPr="00E927F9">
              <w:rPr>
                <w:bCs/>
                <w:sz w:val="22"/>
                <w:szCs w:val="22"/>
              </w:rPr>
              <w:t>Associate Professor</w:t>
            </w:r>
            <w:r>
              <w:rPr>
                <w:bCs/>
                <w:sz w:val="22"/>
                <w:szCs w:val="22"/>
              </w:rPr>
              <w:t xml:space="preserve">,  </w:t>
            </w:r>
            <w:r w:rsidRPr="00E927F9">
              <w:rPr>
                <w:bCs/>
                <w:sz w:val="22"/>
                <w:szCs w:val="22"/>
              </w:rPr>
              <w:t>The University of Tennessee</w:t>
            </w:r>
          </w:p>
          <w:p w:rsidR="00E927F9" w:rsidRPr="00E927F9" w:rsidRDefault="00E927F9" w:rsidP="00E927F9">
            <w:pPr>
              <w:rPr>
                <w:bCs/>
                <w:sz w:val="22"/>
                <w:szCs w:val="22"/>
              </w:rPr>
            </w:pPr>
            <w:r w:rsidRPr="00E927F9">
              <w:rPr>
                <w:bCs/>
                <w:sz w:val="22"/>
                <w:szCs w:val="22"/>
              </w:rPr>
              <w:t>Dept. of Civil &amp; Environmental Engineering</w:t>
            </w:r>
          </w:p>
          <w:p w:rsidR="00E927F9" w:rsidRPr="00E927F9" w:rsidRDefault="00E927F9" w:rsidP="00E927F9">
            <w:pPr>
              <w:rPr>
                <w:bCs/>
                <w:sz w:val="22"/>
                <w:szCs w:val="22"/>
              </w:rPr>
            </w:pPr>
            <w:r w:rsidRPr="00E927F9">
              <w:rPr>
                <w:bCs/>
                <w:sz w:val="22"/>
                <w:szCs w:val="22"/>
              </w:rPr>
              <w:t>413 John D. Tickle Engineering Building</w:t>
            </w:r>
          </w:p>
          <w:p w:rsidR="00E927F9" w:rsidRPr="00E927F9" w:rsidRDefault="00E927F9" w:rsidP="00E927F9">
            <w:pPr>
              <w:rPr>
                <w:bCs/>
                <w:sz w:val="22"/>
                <w:szCs w:val="22"/>
              </w:rPr>
            </w:pPr>
            <w:r w:rsidRPr="00E927F9">
              <w:rPr>
                <w:bCs/>
                <w:sz w:val="22"/>
                <w:szCs w:val="22"/>
              </w:rPr>
              <w:t>Knoxville, TN  37996-2010</w:t>
            </w:r>
          </w:p>
          <w:p w:rsidR="00E927F9" w:rsidRPr="00E927F9" w:rsidRDefault="00E927F9" w:rsidP="00E927F9">
            <w:pPr>
              <w:rPr>
                <w:bCs/>
                <w:sz w:val="22"/>
                <w:szCs w:val="22"/>
              </w:rPr>
            </w:pPr>
            <w:r w:rsidRPr="00E927F9">
              <w:rPr>
                <w:bCs/>
                <w:sz w:val="22"/>
                <w:szCs w:val="22"/>
              </w:rPr>
              <w:t>Phone:  865-974-7721</w:t>
            </w:r>
          </w:p>
          <w:p w:rsidR="00A2008C" w:rsidRPr="00D23D05" w:rsidRDefault="00E927F9" w:rsidP="00E927F9">
            <w:pPr>
              <w:rPr>
                <w:sz w:val="22"/>
                <w:szCs w:val="22"/>
              </w:rPr>
            </w:pPr>
            <w:r w:rsidRPr="00E927F9">
              <w:rPr>
                <w:bCs/>
                <w:sz w:val="22"/>
                <w:szCs w:val="22"/>
              </w:rPr>
              <w:t xml:space="preserve">Email:  </w:t>
            </w:r>
            <w:hyperlink r:id="rId10" w:history="1">
              <w:r w:rsidRPr="00E927F9">
                <w:rPr>
                  <w:rStyle w:val="Hyperlink"/>
                  <w:bCs/>
                  <w:sz w:val="22"/>
                  <w:szCs w:val="22"/>
                </w:rPr>
                <w:t>jschwart@utk.edu</w:t>
              </w:r>
            </w:hyperlink>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Total Anticipated Award Amount</w:t>
            </w:r>
          </w:p>
        </w:tc>
        <w:tc>
          <w:tcPr>
            <w:tcW w:w="3809" w:type="pct"/>
            <w:vAlign w:val="bottom"/>
          </w:tcPr>
          <w:p w:rsidR="00A2008C" w:rsidRPr="00D23D05" w:rsidRDefault="006A163F" w:rsidP="00E927F9">
            <w:pPr>
              <w:rPr>
                <w:sz w:val="22"/>
                <w:szCs w:val="22"/>
              </w:rPr>
            </w:pPr>
            <w:r w:rsidRPr="00D23D05">
              <w:rPr>
                <w:sz w:val="22"/>
                <w:szCs w:val="22"/>
              </w:rPr>
              <w:t>$</w:t>
            </w:r>
            <w:r w:rsidR="00E927F9">
              <w:rPr>
                <w:sz w:val="22"/>
                <w:szCs w:val="22"/>
              </w:rPr>
              <w:t>97,500</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Cost Share</w:t>
            </w:r>
          </w:p>
        </w:tc>
        <w:tc>
          <w:tcPr>
            <w:tcW w:w="3809" w:type="pct"/>
            <w:vAlign w:val="bottom"/>
          </w:tcPr>
          <w:p w:rsidR="00A2008C" w:rsidRPr="00D23D05" w:rsidRDefault="00A2008C" w:rsidP="00D23D05">
            <w:pPr>
              <w:rPr>
                <w:sz w:val="22"/>
                <w:szCs w:val="22"/>
              </w:rPr>
            </w:pPr>
            <w:r w:rsidRPr="00D23D05">
              <w:rPr>
                <w:sz w:val="22"/>
                <w:szCs w:val="22"/>
              </w:rPr>
              <w:t>N/A</w:t>
            </w:r>
          </w:p>
        </w:tc>
      </w:tr>
      <w:tr w:rsidR="00A2008C" w:rsidRPr="00D23D05" w:rsidTr="00D23D05">
        <w:tc>
          <w:tcPr>
            <w:tcW w:w="1191" w:type="pct"/>
            <w:vAlign w:val="center"/>
          </w:tcPr>
          <w:p w:rsidR="00A2008C" w:rsidRPr="00D23D05" w:rsidRDefault="00A2008C" w:rsidP="00D23D05">
            <w:pPr>
              <w:rPr>
                <w:b/>
                <w:i/>
                <w:sz w:val="22"/>
                <w:szCs w:val="22"/>
              </w:rPr>
            </w:pPr>
            <w:r w:rsidRPr="00D23D05">
              <w:rPr>
                <w:b/>
                <w:i/>
                <w:sz w:val="22"/>
                <w:szCs w:val="22"/>
              </w:rPr>
              <w:t>New Award or Continuation?</w:t>
            </w:r>
          </w:p>
        </w:tc>
        <w:tc>
          <w:tcPr>
            <w:tcW w:w="3809" w:type="pct"/>
            <w:vAlign w:val="bottom"/>
          </w:tcPr>
          <w:p w:rsidR="00A2008C" w:rsidRPr="00D23D05" w:rsidRDefault="006A163F" w:rsidP="00D23D05">
            <w:pPr>
              <w:rPr>
                <w:sz w:val="22"/>
                <w:szCs w:val="22"/>
              </w:rPr>
            </w:pPr>
            <w:r w:rsidRPr="00D23D05">
              <w:rPr>
                <w:sz w:val="22"/>
                <w:szCs w:val="22"/>
              </w:rPr>
              <w:t>New Award</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 xml:space="preserve">Anticipated Period of Performance </w:t>
            </w:r>
          </w:p>
        </w:tc>
        <w:tc>
          <w:tcPr>
            <w:tcW w:w="3809" w:type="pct"/>
            <w:vAlign w:val="bottom"/>
          </w:tcPr>
          <w:p w:rsidR="00A2008C" w:rsidRPr="00D23D05" w:rsidRDefault="009D51DF" w:rsidP="00E927F9">
            <w:pPr>
              <w:rPr>
                <w:sz w:val="22"/>
                <w:szCs w:val="22"/>
              </w:rPr>
            </w:pPr>
            <w:r>
              <w:rPr>
                <w:sz w:val="22"/>
                <w:szCs w:val="22"/>
              </w:rPr>
              <w:t>June 1</w:t>
            </w:r>
            <w:r w:rsidR="00E927F9">
              <w:rPr>
                <w:sz w:val="22"/>
                <w:szCs w:val="22"/>
              </w:rPr>
              <w:t>8, 2016 to June 17, 2017</w:t>
            </w:r>
          </w:p>
        </w:tc>
      </w:tr>
      <w:tr w:rsidR="00A2008C" w:rsidRPr="00D23D05" w:rsidTr="00D23D05">
        <w:tc>
          <w:tcPr>
            <w:tcW w:w="1191" w:type="pct"/>
            <w:vAlign w:val="center"/>
          </w:tcPr>
          <w:p w:rsidR="00A2008C" w:rsidRPr="00D23D05" w:rsidRDefault="006A163F" w:rsidP="00D23D05">
            <w:pPr>
              <w:rPr>
                <w:b/>
                <w:i/>
                <w:sz w:val="22"/>
                <w:szCs w:val="22"/>
              </w:rPr>
            </w:pPr>
            <w:r w:rsidRPr="00D23D05">
              <w:rPr>
                <w:b/>
                <w:i/>
                <w:sz w:val="22"/>
                <w:szCs w:val="22"/>
              </w:rPr>
              <w:t>Anticipated Length of Agreement</w:t>
            </w:r>
          </w:p>
        </w:tc>
        <w:tc>
          <w:tcPr>
            <w:tcW w:w="3809" w:type="pct"/>
            <w:vAlign w:val="bottom"/>
          </w:tcPr>
          <w:p w:rsidR="00A2008C" w:rsidRPr="00D23D05" w:rsidRDefault="006A163F" w:rsidP="00E927F9">
            <w:pPr>
              <w:rPr>
                <w:sz w:val="22"/>
                <w:szCs w:val="22"/>
              </w:rPr>
            </w:pPr>
            <w:r w:rsidRPr="00D23D05">
              <w:rPr>
                <w:sz w:val="22"/>
                <w:szCs w:val="22"/>
              </w:rPr>
              <w:t xml:space="preserve">About </w:t>
            </w:r>
            <w:r w:rsidR="00E927F9">
              <w:rPr>
                <w:sz w:val="22"/>
                <w:szCs w:val="22"/>
              </w:rPr>
              <w:t>1</w:t>
            </w:r>
            <w:r w:rsidR="0032152D" w:rsidRPr="00D23D05">
              <w:rPr>
                <w:sz w:val="22"/>
                <w:szCs w:val="22"/>
              </w:rPr>
              <w:t xml:space="preserve"> year</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Award Instrument</w:t>
            </w:r>
          </w:p>
        </w:tc>
        <w:tc>
          <w:tcPr>
            <w:tcW w:w="3809" w:type="pct"/>
            <w:vAlign w:val="bottom"/>
          </w:tcPr>
          <w:p w:rsidR="00A2008C" w:rsidRPr="00D23D05" w:rsidRDefault="004922E6" w:rsidP="00D23D05">
            <w:pPr>
              <w:rPr>
                <w:sz w:val="22"/>
                <w:szCs w:val="22"/>
              </w:rPr>
            </w:pPr>
            <w:r w:rsidRPr="00D23D05">
              <w:rPr>
                <w:sz w:val="22"/>
                <w:szCs w:val="22"/>
              </w:rPr>
              <w:t xml:space="preserve">Southern Appalachian Mountains CESU </w:t>
            </w:r>
            <w:r w:rsidR="00A2008C" w:rsidRPr="00D23D05">
              <w:rPr>
                <w:sz w:val="22"/>
                <w:szCs w:val="22"/>
              </w:rPr>
              <w:t>Cooperative</w:t>
            </w:r>
            <w:r w:rsidR="00DA76F0" w:rsidRPr="00D23D05">
              <w:rPr>
                <w:sz w:val="22"/>
                <w:szCs w:val="22"/>
              </w:rPr>
              <w:t>/Task</w:t>
            </w:r>
            <w:r w:rsidR="00A2008C" w:rsidRPr="00D23D05">
              <w:rPr>
                <w:sz w:val="22"/>
                <w:szCs w:val="22"/>
              </w:rPr>
              <w:t xml:space="preserve"> Agreement</w:t>
            </w:r>
          </w:p>
        </w:tc>
      </w:tr>
      <w:tr w:rsidR="00A2008C" w:rsidRPr="00D23D05" w:rsidTr="00D23D05">
        <w:trPr>
          <w:trHeight w:val="377"/>
        </w:trPr>
        <w:tc>
          <w:tcPr>
            <w:tcW w:w="1191" w:type="pct"/>
            <w:vAlign w:val="center"/>
          </w:tcPr>
          <w:p w:rsidR="00A2008C" w:rsidRPr="00D23D05" w:rsidRDefault="00A2008C" w:rsidP="00D23D05">
            <w:pPr>
              <w:rPr>
                <w:b/>
                <w:i/>
                <w:sz w:val="22"/>
                <w:szCs w:val="22"/>
              </w:rPr>
            </w:pPr>
            <w:r w:rsidRPr="00D23D05">
              <w:rPr>
                <w:b/>
                <w:i/>
                <w:sz w:val="22"/>
                <w:szCs w:val="22"/>
              </w:rPr>
              <w:t>Statutory Authority</w:t>
            </w:r>
          </w:p>
        </w:tc>
        <w:tc>
          <w:tcPr>
            <w:tcW w:w="3809" w:type="pct"/>
            <w:vAlign w:val="bottom"/>
          </w:tcPr>
          <w:p w:rsidR="00A2008C" w:rsidRPr="00D23D05" w:rsidRDefault="00D23D05" w:rsidP="00D23D05">
            <w:pPr>
              <w:rPr>
                <w:sz w:val="22"/>
                <w:szCs w:val="22"/>
              </w:rPr>
            </w:pPr>
            <w:r w:rsidRPr="00D23D05">
              <w:rPr>
                <w:sz w:val="22"/>
                <w:szCs w:val="22"/>
              </w:rPr>
              <w:t>54 U.S.C. §101702(</w:t>
            </w:r>
            <w:proofErr w:type="spellStart"/>
            <w:r w:rsidR="00DD2CA4">
              <w:rPr>
                <w:sz w:val="22"/>
                <w:szCs w:val="22"/>
              </w:rPr>
              <w:t>a&amp;</w:t>
            </w:r>
            <w:r w:rsidRPr="00D23D05">
              <w:rPr>
                <w:sz w:val="22"/>
                <w:szCs w:val="22"/>
              </w:rPr>
              <w:t>b</w:t>
            </w:r>
            <w:proofErr w:type="spellEnd"/>
            <w:r w:rsidRPr="00D23D05">
              <w:rPr>
                <w:sz w:val="22"/>
                <w:szCs w:val="22"/>
              </w:rPr>
              <w:t xml:space="preserve">) </w:t>
            </w:r>
            <w:r w:rsidR="004922E6" w:rsidRPr="00D23D05">
              <w:rPr>
                <w:sz w:val="22"/>
                <w:szCs w:val="22"/>
              </w:rPr>
              <w:t xml:space="preserve">, </w:t>
            </w:r>
            <w:r w:rsidRPr="00D23D05">
              <w:rPr>
                <w:sz w:val="22"/>
                <w:szCs w:val="22"/>
              </w:rPr>
              <w:t xml:space="preserve">54 USC §100703 </w:t>
            </w:r>
            <w:r w:rsidR="004922E6" w:rsidRPr="00D23D05">
              <w:rPr>
                <w:sz w:val="22"/>
                <w:szCs w:val="22"/>
              </w:rPr>
              <w:t>and the 1998 NPS Omnibus Act</w:t>
            </w:r>
          </w:p>
        </w:tc>
      </w:tr>
      <w:tr w:rsidR="00A2008C" w:rsidRPr="00D23D05" w:rsidTr="00D23D05">
        <w:trPr>
          <w:trHeight w:val="593"/>
        </w:trPr>
        <w:tc>
          <w:tcPr>
            <w:tcW w:w="1191" w:type="pct"/>
            <w:vAlign w:val="center"/>
          </w:tcPr>
          <w:p w:rsidR="00A2008C" w:rsidRPr="00D23D05" w:rsidRDefault="00A2008C" w:rsidP="00D23D05">
            <w:pPr>
              <w:rPr>
                <w:b/>
                <w:i/>
                <w:sz w:val="22"/>
                <w:szCs w:val="22"/>
              </w:rPr>
            </w:pPr>
            <w:r w:rsidRPr="00D23D05">
              <w:rPr>
                <w:b/>
                <w:i/>
                <w:sz w:val="22"/>
                <w:szCs w:val="22"/>
              </w:rPr>
              <w:t>CFDA # and Title</w:t>
            </w:r>
          </w:p>
        </w:tc>
        <w:tc>
          <w:tcPr>
            <w:tcW w:w="3809" w:type="pct"/>
            <w:vAlign w:val="bottom"/>
          </w:tcPr>
          <w:p w:rsidR="00A2008C" w:rsidRPr="00D23D05" w:rsidRDefault="001B6CAA" w:rsidP="00D23D05">
            <w:pPr>
              <w:rPr>
                <w:sz w:val="22"/>
                <w:szCs w:val="22"/>
              </w:rPr>
            </w:pPr>
            <w:r w:rsidRPr="00D23D05">
              <w:rPr>
                <w:sz w:val="22"/>
                <w:szCs w:val="22"/>
              </w:rPr>
              <w:t>15</w:t>
            </w:r>
            <w:r w:rsidR="004E02D9" w:rsidRPr="00D23D05">
              <w:rPr>
                <w:sz w:val="22"/>
                <w:szCs w:val="22"/>
              </w:rPr>
              <w:t>.</w:t>
            </w:r>
            <w:r w:rsidRPr="00D23D05">
              <w:rPr>
                <w:sz w:val="22"/>
                <w:szCs w:val="22"/>
              </w:rPr>
              <w:t>945</w:t>
            </w:r>
            <w:r w:rsidR="004E02D9" w:rsidRPr="00D23D05">
              <w:rPr>
                <w:sz w:val="22"/>
                <w:szCs w:val="22"/>
              </w:rPr>
              <w:t xml:space="preserve">  --  </w:t>
            </w:r>
            <w:r w:rsidRPr="00D23D05">
              <w:rPr>
                <w:sz w:val="22"/>
                <w:szCs w:val="22"/>
              </w:rPr>
              <w:t>Cooperative Research and Training Programs – Resources of the National Park System (CESU)</w:t>
            </w:r>
          </w:p>
        </w:tc>
      </w:tr>
    </w:tbl>
    <w:p w:rsidR="00A63526" w:rsidRDefault="00A63526" w:rsidP="00C12B36">
      <w:pPr>
        <w:jc w:val="center"/>
        <w:outlineLvl w:val="0"/>
        <w:rPr>
          <w:b/>
        </w:rPr>
      </w:pPr>
    </w:p>
    <w:p w:rsidR="00D23D05" w:rsidRDefault="00497688" w:rsidP="00C12B36">
      <w:pPr>
        <w:jc w:val="center"/>
        <w:outlineLvl w:val="0"/>
        <w:rPr>
          <w:b/>
        </w:rPr>
      </w:pPr>
      <w:r>
        <w:rPr>
          <w:b/>
        </w:rPr>
        <w:t xml:space="preserve"> </w:t>
      </w:r>
    </w:p>
    <w:p w:rsidR="00A2008C" w:rsidRDefault="00497688" w:rsidP="00C12B36">
      <w:pPr>
        <w:jc w:val="center"/>
        <w:outlineLvl w:val="0"/>
        <w:rPr>
          <w:b/>
        </w:rPr>
      </w:pPr>
      <w:r>
        <w:rPr>
          <w:b/>
        </w:rPr>
        <w:t xml:space="preserve">PROJECT </w:t>
      </w:r>
      <w:r w:rsidR="00A2008C">
        <w:rPr>
          <w:b/>
        </w:rPr>
        <w:t>OVERVIEW</w:t>
      </w:r>
    </w:p>
    <w:p w:rsidR="00A2008C" w:rsidRPr="005964C3" w:rsidRDefault="00A2008C" w:rsidP="005964C3"/>
    <w:p w:rsidR="00E927F9" w:rsidRPr="00E927F9" w:rsidRDefault="00E927F9" w:rsidP="00E927F9">
      <w:pPr>
        <w:ind w:left="720" w:hanging="360"/>
        <w:contextualSpacing/>
        <w:outlineLvl w:val="2"/>
        <w:rPr>
          <w:rFonts w:ascii="Arial" w:eastAsia="Calibri" w:hAnsi="Arial" w:cs="Arial"/>
          <w:b/>
          <w:color w:val="000000"/>
          <w:sz w:val="20"/>
          <w:szCs w:val="20"/>
        </w:rPr>
      </w:pPr>
      <w:bookmarkStart w:id="0" w:name="_Toc445970852"/>
      <w:r w:rsidRPr="00E927F9">
        <w:rPr>
          <w:rFonts w:ascii="Arial" w:eastAsia="Calibri" w:hAnsi="Arial" w:cs="Arial"/>
          <w:b/>
          <w:color w:val="000000"/>
          <w:sz w:val="20"/>
          <w:szCs w:val="20"/>
        </w:rPr>
        <w:t>Program Background Information</w:t>
      </w:r>
      <w:bookmarkEnd w:id="0"/>
    </w:p>
    <w:p w:rsidR="00E927F9" w:rsidRPr="00E927F9" w:rsidRDefault="00E927F9" w:rsidP="00E927F9">
      <w:pPr>
        <w:ind w:left="720"/>
        <w:contextualSpacing/>
        <w:rPr>
          <w:rFonts w:ascii="Arial" w:eastAsia="Calibri" w:hAnsi="Arial" w:cs="Arial"/>
          <w:color w:val="000000"/>
          <w:sz w:val="20"/>
          <w:szCs w:val="20"/>
        </w:rPr>
      </w:pPr>
    </w:p>
    <w:p w:rsidR="00E927F9" w:rsidRPr="00E927F9" w:rsidRDefault="00E927F9" w:rsidP="00E927F9">
      <w:pPr>
        <w:spacing w:after="200" w:line="276" w:lineRule="auto"/>
        <w:ind w:left="720"/>
        <w:rPr>
          <w:rFonts w:ascii="Arial" w:eastAsia="Calibri" w:hAnsi="Arial" w:cs="Arial"/>
          <w:bCs/>
          <w:color w:val="000000"/>
          <w:sz w:val="20"/>
          <w:szCs w:val="20"/>
        </w:rPr>
      </w:pPr>
      <w:r w:rsidRPr="00E927F9">
        <w:rPr>
          <w:rFonts w:ascii="Arial" w:eastAsia="Calibri" w:hAnsi="Arial" w:cs="Arial"/>
          <w:bCs/>
          <w:color w:val="000000"/>
          <w:sz w:val="20"/>
          <w:szCs w:val="20"/>
        </w:rPr>
        <w:t>Since the 1980’s national air quality monitoring has shown that the Great Smoky Mountain National Park (GRSM) receives high rates of atmospheric deposition of acid pollutants compared to other regions in the United States.  These pollutants have been linked to emissions from regional coal-fired power plants.  In the eastern United States, high elevation watersheds with base-poor cation buffering capacity tend to be vulnerable to stream acidification from acid deposition.  Most of the GRSM streams are low in acid neutralizing capacity (ANC), and exhibit acidification (lowered pH) chronically and episodically.  A major concern of stream acidification in watersheds that lack acid buffering capacity is the transfer of potentially toxic aluminum from soil to streams.  Although effects to the native brook trout (</w:t>
      </w:r>
      <w:proofErr w:type="spellStart"/>
      <w:r w:rsidRPr="00E927F9">
        <w:rPr>
          <w:rFonts w:ascii="Arial" w:eastAsia="Calibri" w:hAnsi="Arial" w:cs="Arial"/>
          <w:bCs/>
          <w:color w:val="000000"/>
          <w:sz w:val="20"/>
          <w:szCs w:val="20"/>
        </w:rPr>
        <w:t>Salvelinus</w:t>
      </w:r>
      <w:proofErr w:type="spellEnd"/>
      <w:r w:rsidRPr="00E927F9">
        <w:rPr>
          <w:rFonts w:ascii="Arial" w:eastAsia="Calibri" w:hAnsi="Arial" w:cs="Arial"/>
          <w:bCs/>
          <w:color w:val="000000"/>
          <w:sz w:val="20"/>
          <w:szCs w:val="20"/>
        </w:rPr>
        <w:t xml:space="preserve"> </w:t>
      </w:r>
      <w:proofErr w:type="spellStart"/>
      <w:r w:rsidRPr="00E927F9">
        <w:rPr>
          <w:rFonts w:ascii="Arial" w:eastAsia="Calibri" w:hAnsi="Arial" w:cs="Arial"/>
          <w:bCs/>
          <w:color w:val="000000"/>
          <w:sz w:val="20"/>
          <w:szCs w:val="20"/>
        </w:rPr>
        <w:t>fontinalis</w:t>
      </w:r>
      <w:proofErr w:type="spellEnd"/>
      <w:r w:rsidRPr="00E927F9">
        <w:rPr>
          <w:rFonts w:ascii="Arial" w:eastAsia="Calibri" w:hAnsi="Arial" w:cs="Arial"/>
          <w:bCs/>
          <w:color w:val="000000"/>
          <w:sz w:val="20"/>
          <w:szCs w:val="20"/>
        </w:rPr>
        <w:t xml:space="preserve">) have not been observed directly, episodic stream acidification is suspected to be a primary cause of brook trout extirpation in six headwater streams in the GRSM, including some streams that were populated as recently as 15 years ago (Steve Moore pers. </w:t>
      </w:r>
      <w:proofErr w:type="spellStart"/>
      <w:r w:rsidRPr="00E927F9">
        <w:rPr>
          <w:rFonts w:ascii="Arial" w:eastAsia="Calibri" w:hAnsi="Arial" w:cs="Arial"/>
          <w:bCs/>
          <w:color w:val="000000"/>
          <w:sz w:val="20"/>
          <w:szCs w:val="20"/>
        </w:rPr>
        <w:t>comm</w:t>
      </w:r>
      <w:proofErr w:type="spellEnd"/>
      <w:r w:rsidRPr="00E927F9">
        <w:rPr>
          <w:rFonts w:ascii="Arial" w:eastAsia="Calibri" w:hAnsi="Arial" w:cs="Arial"/>
          <w:bCs/>
          <w:color w:val="000000"/>
          <w:sz w:val="20"/>
          <w:szCs w:val="20"/>
        </w:rPr>
        <w:t xml:space="preserve">).  Based on long-term declines in stream pH, GRSM resource managers were concerned that brook trout may continue to be eliminated from streams.  </w:t>
      </w:r>
    </w:p>
    <w:p w:rsidR="00E927F9" w:rsidRPr="00E927F9" w:rsidRDefault="00E927F9" w:rsidP="00E927F9">
      <w:pPr>
        <w:spacing w:after="200" w:line="276" w:lineRule="auto"/>
        <w:ind w:left="720"/>
        <w:rPr>
          <w:rFonts w:ascii="Arial" w:eastAsia="Calibri" w:hAnsi="Arial" w:cs="Arial"/>
          <w:bCs/>
          <w:color w:val="000000"/>
          <w:sz w:val="20"/>
          <w:szCs w:val="20"/>
        </w:rPr>
      </w:pPr>
      <w:r w:rsidRPr="00E927F9">
        <w:rPr>
          <w:rFonts w:ascii="Arial" w:eastAsia="Calibri" w:hAnsi="Arial" w:cs="Arial"/>
          <w:bCs/>
          <w:color w:val="000000"/>
          <w:sz w:val="20"/>
          <w:szCs w:val="20"/>
        </w:rPr>
        <w:t xml:space="preserve">In the early 1990s, GRSM initiated a long-term water quality (WQ) monitoring program to investigate the extent of the impacts from acidic deposition on the Park’s water quality and aquatic biota.  In recent years since 2008, the GRSM has observed a significant reduction in sulfate and nitrate deposition, and understanding the biogeochemical processes associated with recovery are important to resource management. Supporting the GRSM Vital Signs Program, the current WQ program consists of two primary components: 1) detailed hydrologic and WQ monitoring at Noland Divide, a high-elevation forested site; and 2) Park-wide stream survey primarily characterizing </w:t>
      </w:r>
      <w:proofErr w:type="spellStart"/>
      <w:r w:rsidRPr="00E927F9">
        <w:rPr>
          <w:rFonts w:ascii="Arial" w:eastAsia="Calibri" w:hAnsi="Arial" w:cs="Arial"/>
          <w:bCs/>
          <w:color w:val="000000"/>
          <w:sz w:val="20"/>
          <w:szCs w:val="20"/>
        </w:rPr>
        <w:t>baseflow</w:t>
      </w:r>
      <w:proofErr w:type="spellEnd"/>
      <w:r w:rsidRPr="00E927F9">
        <w:rPr>
          <w:rFonts w:ascii="Arial" w:eastAsia="Calibri" w:hAnsi="Arial" w:cs="Arial"/>
          <w:bCs/>
          <w:color w:val="000000"/>
          <w:sz w:val="20"/>
          <w:szCs w:val="20"/>
        </w:rPr>
        <w:t xml:space="preserve"> WQ conditions.  Additional research studies are conducted to supplement the basic monitoring program.</w:t>
      </w:r>
    </w:p>
    <w:p w:rsidR="00E927F9" w:rsidRPr="00E927F9" w:rsidRDefault="00E927F9" w:rsidP="00E927F9">
      <w:pPr>
        <w:spacing w:after="200" w:line="276" w:lineRule="auto"/>
        <w:ind w:left="720"/>
        <w:rPr>
          <w:rFonts w:ascii="Arial" w:eastAsia="Calibri" w:hAnsi="Arial" w:cs="Arial"/>
          <w:color w:val="000000"/>
          <w:sz w:val="20"/>
          <w:szCs w:val="20"/>
        </w:rPr>
      </w:pPr>
      <w:r w:rsidRPr="00E927F9">
        <w:rPr>
          <w:rFonts w:ascii="Arial" w:eastAsia="Calibri" w:hAnsi="Arial" w:cs="Arial"/>
          <w:color w:val="000000"/>
          <w:sz w:val="20"/>
          <w:szCs w:val="20"/>
        </w:rPr>
        <w:t xml:space="preserve">The GRSM and APHN have developed a Vital Signs Program in which resource managers have integrated monitoring of different park resources, i.e., air, water, soil, and vegetation. With the newly developed plan, improved statistical analysis will be able to be conducted on how dominant biogeochemical processes may affect environmental conditions in the park. Water quality is a critical component of the Vital Signs monitoring program. </w:t>
      </w:r>
    </w:p>
    <w:p w:rsidR="00E927F9" w:rsidRPr="00E927F9" w:rsidRDefault="00E927F9" w:rsidP="00E927F9">
      <w:pPr>
        <w:spacing w:line="360" w:lineRule="auto"/>
        <w:ind w:left="720"/>
        <w:rPr>
          <w:rFonts w:ascii="Arial" w:eastAsia="Calibri" w:hAnsi="Arial" w:cs="Arial"/>
          <w:color w:val="000000"/>
          <w:sz w:val="20"/>
          <w:szCs w:val="20"/>
          <w:highlight w:val="yellow"/>
        </w:rPr>
      </w:pPr>
    </w:p>
    <w:p w:rsidR="00E927F9" w:rsidRPr="00E927F9" w:rsidRDefault="00E927F9" w:rsidP="00E927F9">
      <w:pPr>
        <w:ind w:left="720" w:hanging="360"/>
        <w:contextualSpacing/>
        <w:outlineLvl w:val="2"/>
        <w:rPr>
          <w:rFonts w:ascii="Arial" w:eastAsia="Calibri" w:hAnsi="Arial" w:cs="Arial"/>
          <w:b/>
          <w:color w:val="000000"/>
          <w:sz w:val="20"/>
          <w:szCs w:val="20"/>
        </w:rPr>
      </w:pPr>
      <w:bookmarkStart w:id="1" w:name="_Toc445970853"/>
      <w:r w:rsidRPr="00E927F9">
        <w:rPr>
          <w:rFonts w:ascii="Arial" w:eastAsia="Calibri" w:hAnsi="Arial" w:cs="Arial"/>
          <w:b/>
          <w:color w:val="000000"/>
          <w:sz w:val="20"/>
          <w:szCs w:val="20"/>
        </w:rPr>
        <w:t>Program Objectives</w:t>
      </w:r>
      <w:bookmarkEnd w:id="1"/>
    </w:p>
    <w:p w:rsidR="00E927F9" w:rsidRPr="00E927F9" w:rsidRDefault="00E927F9" w:rsidP="00E927F9">
      <w:pPr>
        <w:rPr>
          <w:rFonts w:ascii="Arial" w:eastAsia="Calibri" w:hAnsi="Arial" w:cs="Arial"/>
          <w:color w:val="000000"/>
          <w:sz w:val="20"/>
          <w:szCs w:val="20"/>
        </w:rPr>
      </w:pPr>
    </w:p>
    <w:p w:rsidR="00E927F9" w:rsidRPr="00E927F9" w:rsidRDefault="00E927F9" w:rsidP="00E927F9">
      <w:pPr>
        <w:spacing w:line="276" w:lineRule="auto"/>
        <w:ind w:left="720"/>
        <w:rPr>
          <w:rFonts w:ascii="Arial" w:eastAsia="Calibri" w:hAnsi="Arial" w:cs="Arial"/>
          <w:color w:val="000000"/>
          <w:sz w:val="20"/>
          <w:szCs w:val="20"/>
        </w:rPr>
      </w:pPr>
      <w:r w:rsidRPr="00E927F9">
        <w:rPr>
          <w:rFonts w:ascii="Arial" w:eastAsia="Calibri" w:hAnsi="Arial" w:cs="Arial"/>
          <w:color w:val="000000"/>
          <w:sz w:val="20"/>
          <w:szCs w:val="20"/>
        </w:rPr>
        <w:t>Project objectives include supporting the NPS Vital Signs Program through continued, long-term water quality monitoring with the GRSM and APHN Vital Signs selected watersheds, continued long-term investigation of the effects of acidic deposition on water quality and aquatic biota through better understanding the fate and transport of these pollutants from air through soil to the streams; and characterization of natural biogeochemical processes to better assess risks to natural systems from acidic deposition.</w:t>
      </w:r>
    </w:p>
    <w:p w:rsidR="00E927F9" w:rsidRPr="00E927F9" w:rsidRDefault="00E927F9" w:rsidP="00E927F9">
      <w:pPr>
        <w:spacing w:line="276" w:lineRule="auto"/>
        <w:ind w:left="720"/>
        <w:rPr>
          <w:rFonts w:ascii="Arial" w:eastAsia="Calibri" w:hAnsi="Arial" w:cs="Arial"/>
          <w:color w:val="000000"/>
          <w:sz w:val="20"/>
          <w:szCs w:val="20"/>
        </w:rPr>
      </w:pPr>
    </w:p>
    <w:p w:rsidR="00E927F9" w:rsidRPr="00E927F9" w:rsidRDefault="00E927F9" w:rsidP="00E927F9">
      <w:pPr>
        <w:ind w:left="72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PROJECT TASK(S):</w:t>
      </w:r>
    </w:p>
    <w:p w:rsidR="00E927F9" w:rsidRPr="00E927F9" w:rsidRDefault="00E927F9" w:rsidP="00E927F9">
      <w:pPr>
        <w:rPr>
          <w:rFonts w:ascii="Arial" w:eastAsia="Calibri" w:hAnsi="Arial" w:cs="Arial"/>
          <w:color w:val="000000"/>
          <w:sz w:val="20"/>
          <w:szCs w:val="2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lastRenderedPageBreak/>
        <w:t>Task 1.</w:t>
      </w:r>
      <w:proofErr w:type="gramEnd"/>
      <w:r w:rsidRPr="00E927F9">
        <w:rPr>
          <w:rFonts w:ascii="Arial" w:eastAsia="Calibri" w:hAnsi="Arial" w:cs="Arial"/>
          <w:color w:val="000000"/>
          <w:sz w:val="20"/>
          <w:szCs w:val="20"/>
        </w:rPr>
        <w:t xml:space="preserve">  Continue Park-wide water quality monitoring through the collection of samples at 37 sites every other month specified by the Park’s vital signs (VS) monitoring program; and an additional 9 sites (twice per year) in the Hazel Creek watershed (site locations are attached in the original scope of work).  Trout Unlimited volunteers collect samples and UTK obtains water sample and preforms water quality analyses including: pH, ANC, conductivity, major anions and cations, and dissolved metals.</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2.</w:t>
      </w:r>
      <w:proofErr w:type="gramEnd"/>
      <w:r w:rsidRPr="00E927F9">
        <w:rPr>
          <w:rFonts w:ascii="Arial" w:eastAsia="Calibri" w:hAnsi="Arial" w:cs="Arial"/>
          <w:color w:val="000000"/>
          <w:sz w:val="20"/>
          <w:szCs w:val="20"/>
        </w:rPr>
        <w:t xml:space="preserve">  Continue water quality monitoring at the Noland Divide watershed site.  Bi-weekly stream monitoring activities, weather and road conditions permitting, include: 1) collection of hydrological data from the H-flumes by downloading data from the stage recorder units, 2) collection of water quality data (pH, temperature, conductivity) from </w:t>
      </w:r>
      <w:proofErr w:type="spellStart"/>
      <w:r w:rsidRPr="00E927F9">
        <w:rPr>
          <w:rFonts w:ascii="Arial" w:eastAsia="Calibri" w:hAnsi="Arial" w:cs="Arial"/>
          <w:color w:val="000000"/>
          <w:sz w:val="20"/>
          <w:szCs w:val="20"/>
        </w:rPr>
        <w:t>sonde</w:t>
      </w:r>
      <w:proofErr w:type="spellEnd"/>
      <w:r w:rsidRPr="00E927F9">
        <w:rPr>
          <w:rFonts w:ascii="Arial" w:eastAsia="Calibri" w:hAnsi="Arial" w:cs="Arial"/>
          <w:color w:val="000000"/>
          <w:sz w:val="20"/>
          <w:szCs w:val="20"/>
        </w:rPr>
        <w:t xml:space="preserve"> units; 3) performing calibration and general maintenance procedures on stage recorder and </w:t>
      </w:r>
      <w:proofErr w:type="spellStart"/>
      <w:r w:rsidRPr="00E927F9">
        <w:rPr>
          <w:rFonts w:ascii="Arial" w:eastAsia="Calibri" w:hAnsi="Arial" w:cs="Arial"/>
          <w:color w:val="000000"/>
          <w:sz w:val="20"/>
          <w:szCs w:val="20"/>
        </w:rPr>
        <w:t>sonde</w:t>
      </w:r>
      <w:proofErr w:type="spellEnd"/>
      <w:r w:rsidRPr="00E927F9">
        <w:rPr>
          <w:rFonts w:ascii="Arial" w:eastAsia="Calibri" w:hAnsi="Arial" w:cs="Arial"/>
          <w:color w:val="000000"/>
          <w:sz w:val="20"/>
          <w:szCs w:val="20"/>
        </w:rPr>
        <w:t xml:space="preserve"> units, 4) stream grab samples, and 5) bi-weekly meteorological data (temp, humidity, wind, solar radiation, </w:t>
      </w:r>
      <w:proofErr w:type="spellStart"/>
      <w:r w:rsidRPr="00E927F9">
        <w:rPr>
          <w:rFonts w:ascii="Arial" w:eastAsia="Calibri" w:hAnsi="Arial" w:cs="Arial"/>
          <w:color w:val="000000"/>
          <w:sz w:val="20"/>
          <w:szCs w:val="20"/>
        </w:rPr>
        <w:t>precip</w:t>
      </w:r>
      <w:proofErr w:type="spellEnd"/>
      <w:r w:rsidRPr="00E927F9">
        <w:rPr>
          <w:rFonts w:ascii="Arial" w:eastAsia="Calibri" w:hAnsi="Arial" w:cs="Arial"/>
          <w:color w:val="000000"/>
          <w:sz w:val="20"/>
          <w:szCs w:val="20"/>
        </w:rPr>
        <w:t xml:space="preserve">).  Bi-weekly water samples will be analyzed for pH, ANC, conductivity, anions, cations, aluminum, copper, iron and manganese.  </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3.</w:t>
      </w:r>
      <w:proofErr w:type="gramEnd"/>
      <w:r w:rsidRPr="00E927F9">
        <w:rPr>
          <w:rFonts w:ascii="Arial" w:eastAsia="Calibri" w:hAnsi="Arial" w:cs="Arial"/>
          <w:color w:val="000000"/>
          <w:sz w:val="20"/>
          <w:szCs w:val="20"/>
        </w:rPr>
        <w:t xml:space="preserve">  Continue long-term monitoring of wet precipitation volume (OS collector and rain gauge), and </w:t>
      </w:r>
      <w:proofErr w:type="spellStart"/>
      <w:r w:rsidRPr="00E927F9">
        <w:rPr>
          <w:rFonts w:ascii="Arial" w:eastAsia="Calibri" w:hAnsi="Arial" w:cs="Arial"/>
          <w:color w:val="000000"/>
          <w:sz w:val="20"/>
          <w:szCs w:val="20"/>
        </w:rPr>
        <w:t>throughfall</w:t>
      </w:r>
      <w:proofErr w:type="spellEnd"/>
      <w:r w:rsidRPr="00E927F9">
        <w:rPr>
          <w:rFonts w:ascii="Arial" w:eastAsia="Calibri" w:hAnsi="Arial" w:cs="Arial"/>
          <w:color w:val="000000"/>
          <w:sz w:val="20"/>
          <w:szCs w:val="20"/>
        </w:rPr>
        <w:t xml:space="preserve"> deposition </w:t>
      </w:r>
      <w:proofErr w:type="gramStart"/>
      <w:r w:rsidRPr="00E927F9">
        <w:rPr>
          <w:rFonts w:ascii="Arial" w:eastAsia="Calibri" w:hAnsi="Arial" w:cs="Arial"/>
          <w:color w:val="000000"/>
          <w:sz w:val="20"/>
          <w:szCs w:val="20"/>
        </w:rPr>
        <w:t>data  in</w:t>
      </w:r>
      <w:proofErr w:type="gramEnd"/>
      <w:r w:rsidRPr="00E927F9">
        <w:rPr>
          <w:rFonts w:ascii="Arial" w:eastAsia="Calibri" w:hAnsi="Arial" w:cs="Arial"/>
          <w:color w:val="000000"/>
          <w:sz w:val="20"/>
          <w:szCs w:val="20"/>
        </w:rPr>
        <w:t xml:space="preserve"> the Noland Divide watershed site through the collection of bi-weekly samples.  Continue collection of composite </w:t>
      </w:r>
      <w:proofErr w:type="spellStart"/>
      <w:r w:rsidRPr="00E927F9">
        <w:rPr>
          <w:rFonts w:ascii="Arial" w:eastAsia="Calibri" w:hAnsi="Arial" w:cs="Arial"/>
          <w:color w:val="000000"/>
          <w:sz w:val="20"/>
          <w:szCs w:val="20"/>
        </w:rPr>
        <w:t>throughfall</w:t>
      </w:r>
      <w:proofErr w:type="spellEnd"/>
      <w:r w:rsidRPr="00E927F9">
        <w:rPr>
          <w:rFonts w:ascii="Arial" w:eastAsia="Calibri" w:hAnsi="Arial" w:cs="Arial"/>
          <w:color w:val="000000"/>
          <w:sz w:val="20"/>
          <w:szCs w:val="20"/>
        </w:rPr>
        <w:t xml:space="preserve"> volume and deposition data from ten collectors during warm weather months, and two open through fall buckets during cold weather.  Sample analyses to be performed include sample volume, anions, cations (Ca, Na, </w:t>
      </w:r>
      <w:proofErr w:type="gramStart"/>
      <w:r w:rsidRPr="00E927F9">
        <w:rPr>
          <w:rFonts w:ascii="Arial" w:eastAsia="Calibri" w:hAnsi="Arial" w:cs="Arial"/>
          <w:color w:val="000000"/>
          <w:sz w:val="20"/>
          <w:szCs w:val="20"/>
        </w:rPr>
        <w:t>K</w:t>
      </w:r>
      <w:proofErr w:type="gramEnd"/>
      <w:r w:rsidRPr="00E927F9">
        <w:rPr>
          <w:rFonts w:ascii="Arial" w:eastAsia="Calibri" w:hAnsi="Arial" w:cs="Arial"/>
          <w:color w:val="000000"/>
          <w:sz w:val="20"/>
          <w:szCs w:val="20"/>
        </w:rPr>
        <w:t xml:space="preserve">), pH, and conductivity.  Continue data collection from soil moisture probes and rainfall gauge per bi-weekly downloads from data loggers.  Perform calibration and general maintenance procedures on precipitation cover triggered and tipping bucket collection device.  </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4.</w:t>
      </w:r>
      <w:proofErr w:type="gramEnd"/>
      <w:r w:rsidRPr="00E927F9">
        <w:rPr>
          <w:rFonts w:ascii="Arial" w:eastAsia="Calibri" w:hAnsi="Arial" w:cs="Arial"/>
          <w:color w:val="000000"/>
          <w:sz w:val="20"/>
          <w:szCs w:val="20"/>
        </w:rPr>
        <w:t xml:space="preserve">  Collect and analyze monthly soil </w:t>
      </w:r>
      <w:proofErr w:type="spellStart"/>
      <w:r w:rsidRPr="00E927F9">
        <w:rPr>
          <w:rFonts w:ascii="Arial" w:eastAsia="Calibri" w:hAnsi="Arial" w:cs="Arial"/>
          <w:color w:val="000000"/>
          <w:sz w:val="20"/>
          <w:szCs w:val="20"/>
        </w:rPr>
        <w:t>lysimeter</w:t>
      </w:r>
      <w:proofErr w:type="spellEnd"/>
      <w:r w:rsidRPr="00E927F9">
        <w:rPr>
          <w:rFonts w:ascii="Arial" w:eastAsia="Calibri" w:hAnsi="Arial" w:cs="Arial"/>
          <w:color w:val="000000"/>
          <w:sz w:val="20"/>
          <w:szCs w:val="20"/>
        </w:rPr>
        <w:t xml:space="preserve"> samples from three soil horizons (A, </w:t>
      </w:r>
      <w:proofErr w:type="spellStart"/>
      <w:r w:rsidRPr="00E927F9">
        <w:rPr>
          <w:rFonts w:ascii="Arial" w:eastAsia="Calibri" w:hAnsi="Arial" w:cs="Arial"/>
          <w:color w:val="000000"/>
          <w:sz w:val="20"/>
          <w:szCs w:val="20"/>
        </w:rPr>
        <w:t>Bw</w:t>
      </w:r>
      <w:proofErr w:type="spellEnd"/>
      <w:r w:rsidRPr="00E927F9">
        <w:rPr>
          <w:rFonts w:ascii="Arial" w:eastAsia="Calibri" w:hAnsi="Arial" w:cs="Arial"/>
          <w:color w:val="000000"/>
          <w:sz w:val="20"/>
          <w:szCs w:val="20"/>
        </w:rPr>
        <w:t xml:space="preserve"> &amp; </w:t>
      </w:r>
      <w:proofErr w:type="spellStart"/>
      <w:r w:rsidRPr="00E927F9">
        <w:rPr>
          <w:rFonts w:ascii="Arial" w:eastAsia="Calibri" w:hAnsi="Arial" w:cs="Arial"/>
          <w:color w:val="000000"/>
          <w:sz w:val="20"/>
          <w:szCs w:val="20"/>
        </w:rPr>
        <w:t>Cb</w:t>
      </w:r>
      <w:proofErr w:type="spellEnd"/>
      <w:r w:rsidRPr="00E927F9">
        <w:rPr>
          <w:rFonts w:ascii="Arial" w:eastAsia="Calibri" w:hAnsi="Arial" w:cs="Arial"/>
          <w:color w:val="000000"/>
          <w:sz w:val="20"/>
          <w:szCs w:val="20"/>
        </w:rPr>
        <w:t xml:space="preserve"> horizons) in the Noland Divide watershed study site (3 </w:t>
      </w:r>
      <w:proofErr w:type="spellStart"/>
      <w:r w:rsidRPr="00E927F9">
        <w:rPr>
          <w:rFonts w:ascii="Arial" w:eastAsia="Calibri" w:hAnsi="Arial" w:cs="Arial"/>
          <w:color w:val="000000"/>
          <w:sz w:val="20"/>
          <w:szCs w:val="20"/>
        </w:rPr>
        <w:t>lysimeters</w:t>
      </w:r>
      <w:proofErr w:type="spellEnd"/>
      <w:r w:rsidRPr="00E927F9">
        <w:rPr>
          <w:rFonts w:ascii="Arial" w:eastAsia="Calibri" w:hAnsi="Arial" w:cs="Arial"/>
          <w:color w:val="000000"/>
          <w:sz w:val="20"/>
          <w:szCs w:val="20"/>
        </w:rPr>
        <w:t xml:space="preserve"> per horizon = 9 total </w:t>
      </w:r>
      <w:proofErr w:type="spellStart"/>
      <w:r w:rsidRPr="00E927F9">
        <w:rPr>
          <w:rFonts w:ascii="Arial" w:eastAsia="Calibri" w:hAnsi="Arial" w:cs="Arial"/>
          <w:color w:val="000000"/>
          <w:sz w:val="20"/>
          <w:szCs w:val="20"/>
        </w:rPr>
        <w:t>lysimeter</w:t>
      </w:r>
      <w:proofErr w:type="spellEnd"/>
      <w:r w:rsidRPr="00E927F9">
        <w:rPr>
          <w:rFonts w:ascii="Arial" w:eastAsia="Calibri" w:hAnsi="Arial" w:cs="Arial"/>
          <w:color w:val="000000"/>
          <w:sz w:val="20"/>
          <w:szCs w:val="20"/>
        </w:rPr>
        <w:t xml:space="preserve"> samples per monthly collection).  Perform general maintenance procedures on the pump vacuum system.  Summarize water volumes per </w:t>
      </w:r>
      <w:proofErr w:type="spellStart"/>
      <w:r w:rsidRPr="00E927F9">
        <w:rPr>
          <w:rFonts w:ascii="Arial" w:eastAsia="Calibri" w:hAnsi="Arial" w:cs="Arial"/>
          <w:color w:val="000000"/>
          <w:sz w:val="20"/>
          <w:szCs w:val="20"/>
        </w:rPr>
        <w:t>lyismeter</w:t>
      </w:r>
      <w:proofErr w:type="spellEnd"/>
      <w:r w:rsidRPr="00E927F9">
        <w:rPr>
          <w:rFonts w:ascii="Arial" w:eastAsia="Calibri" w:hAnsi="Arial" w:cs="Arial"/>
          <w:color w:val="000000"/>
          <w:sz w:val="20"/>
          <w:szCs w:val="20"/>
        </w:rPr>
        <w:t>, collect water, and analyze chemistry of soil water for pH, ANC, conductivity, anions, cations, aluminum, copper, iron and manganese.</w:t>
      </w: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r w:rsidRPr="00E927F9">
        <w:rPr>
          <w:rFonts w:ascii="Arial" w:eastAsia="Calibri" w:hAnsi="Arial" w:cs="Arial"/>
          <w:color w:val="000000"/>
          <w:sz w:val="20"/>
          <w:szCs w:val="20"/>
        </w:rPr>
        <w:t xml:space="preserve">  </w:t>
      </w: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5.</w:t>
      </w:r>
      <w:proofErr w:type="gramEnd"/>
      <w:r w:rsidRPr="00E927F9">
        <w:rPr>
          <w:rFonts w:ascii="Arial" w:eastAsia="Calibri" w:hAnsi="Arial" w:cs="Arial"/>
          <w:color w:val="000000"/>
          <w:sz w:val="20"/>
          <w:szCs w:val="20"/>
        </w:rPr>
        <w:t xml:space="preserve">  Submit a summary analysis report for the water quality samples for the 37 sites collected every other month, the 9 Hazel Creek sites, and all Noland Divide monitoring data during 2016 is due May 31, 2017.  All data collected are to be QA/</w:t>
      </w:r>
      <w:proofErr w:type="spellStart"/>
      <w:r w:rsidRPr="00E927F9">
        <w:rPr>
          <w:rFonts w:ascii="Arial" w:eastAsia="Calibri" w:hAnsi="Arial" w:cs="Arial"/>
          <w:color w:val="000000"/>
          <w:sz w:val="20"/>
          <w:szCs w:val="20"/>
        </w:rPr>
        <w:t>QC’ed</w:t>
      </w:r>
      <w:proofErr w:type="spellEnd"/>
      <w:r w:rsidRPr="00E927F9">
        <w:rPr>
          <w:rFonts w:ascii="Arial" w:eastAsia="Calibri" w:hAnsi="Arial" w:cs="Arial"/>
          <w:color w:val="000000"/>
          <w:sz w:val="20"/>
          <w:szCs w:val="20"/>
        </w:rPr>
        <w:t xml:space="preserve">.  The report should be in the NPS National Resource Data Series Format (NRDS) </w:t>
      </w: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r w:rsidRPr="00E927F9">
        <w:rPr>
          <w:rFonts w:ascii="Arial" w:eastAsia="Calibri" w:hAnsi="Arial" w:cs="Arial"/>
          <w:color w:val="000000"/>
          <w:sz w:val="20"/>
          <w:szCs w:val="20"/>
        </w:rPr>
        <w:t xml:space="preserve">(http://www.nature.nps.gov/publications/nrpm/index.cfm?tab=1#reports).  This report should include but is not limited to: annual data completeness, statistical summary of all datasets for given year, comparison to previous years; QA/QC procedures including USGS round robin analyses.  Noland Divide hydrological and water quality </w:t>
      </w:r>
      <w:proofErr w:type="spellStart"/>
      <w:r w:rsidRPr="00E927F9">
        <w:rPr>
          <w:rFonts w:ascii="Arial" w:eastAsia="Calibri" w:hAnsi="Arial" w:cs="Arial"/>
          <w:color w:val="000000"/>
          <w:sz w:val="20"/>
          <w:szCs w:val="20"/>
        </w:rPr>
        <w:t>sonde</w:t>
      </w:r>
      <w:proofErr w:type="spellEnd"/>
      <w:r w:rsidRPr="00E927F9">
        <w:rPr>
          <w:rFonts w:ascii="Arial" w:eastAsia="Calibri" w:hAnsi="Arial" w:cs="Arial"/>
          <w:color w:val="000000"/>
          <w:sz w:val="20"/>
          <w:szCs w:val="20"/>
        </w:rPr>
        <w:t xml:space="preserve"> data should be summarized for 2016.  Wet deposition collector volume will be compared to rain gauge and weather station volumes and percent agreement reported monthly to assess meeting data quality standards.  Soil </w:t>
      </w:r>
      <w:proofErr w:type="spellStart"/>
      <w:r w:rsidRPr="00E927F9">
        <w:rPr>
          <w:rFonts w:ascii="Arial" w:eastAsia="Calibri" w:hAnsi="Arial" w:cs="Arial"/>
          <w:color w:val="000000"/>
          <w:sz w:val="20"/>
          <w:szCs w:val="20"/>
        </w:rPr>
        <w:t>lysimeter</w:t>
      </w:r>
      <w:proofErr w:type="spellEnd"/>
      <w:r w:rsidRPr="00E927F9">
        <w:rPr>
          <w:rFonts w:ascii="Arial" w:eastAsia="Calibri" w:hAnsi="Arial" w:cs="Arial"/>
          <w:color w:val="000000"/>
          <w:sz w:val="20"/>
          <w:szCs w:val="20"/>
        </w:rPr>
        <w:t xml:space="preserve"> water quality data for pH, ANC, conductivity, anions, cations, aluminum, copper, iron and manganese in each horizon will be summarized in the annual report.</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6.</w:t>
      </w:r>
      <w:proofErr w:type="gramEnd"/>
      <w:r w:rsidRPr="00E927F9">
        <w:rPr>
          <w:rFonts w:ascii="Arial" w:eastAsia="Calibri" w:hAnsi="Arial" w:cs="Arial"/>
          <w:color w:val="000000"/>
          <w:sz w:val="20"/>
          <w:szCs w:val="20"/>
        </w:rPr>
        <w:t xml:space="preserve">  Data from Task 1 must be entered into the EPA STORET database.  The raw Excel data file (QA/QC checked from UTK) will be sent to Dean Tucker (and copied to the GRSM data manager) for final proofing and upload to STORET. Data from tasks 2-4 must be entered into the Aquarius database.  Aquarius data will also be sent to Dean Tucker (and copied to the GRSM </w:t>
      </w:r>
      <w:r w:rsidRPr="00E927F9">
        <w:rPr>
          <w:rFonts w:ascii="Arial" w:eastAsia="Calibri" w:hAnsi="Arial" w:cs="Arial"/>
          <w:color w:val="000000"/>
          <w:sz w:val="20"/>
          <w:szCs w:val="20"/>
        </w:rPr>
        <w:lastRenderedPageBreak/>
        <w:t xml:space="preserve">data manager) for final proofing and upload to Aquarius.  Raw and final data and all metadata associated with dissertation or thesis projects (i.e. non-spatial or biological data) must also be entered into STORET. Continuous data sets (i.e., flow, </w:t>
      </w:r>
      <w:proofErr w:type="spellStart"/>
      <w:r w:rsidRPr="00E927F9">
        <w:rPr>
          <w:rFonts w:ascii="Arial" w:eastAsia="Calibri" w:hAnsi="Arial" w:cs="Arial"/>
          <w:color w:val="000000"/>
          <w:sz w:val="20"/>
          <w:szCs w:val="20"/>
        </w:rPr>
        <w:t>sonde</w:t>
      </w:r>
      <w:proofErr w:type="spellEnd"/>
      <w:r w:rsidRPr="00E927F9">
        <w:rPr>
          <w:rFonts w:ascii="Arial" w:eastAsia="Calibri" w:hAnsi="Arial" w:cs="Arial"/>
          <w:color w:val="000000"/>
          <w:sz w:val="20"/>
          <w:szCs w:val="20"/>
        </w:rPr>
        <w:t>, etc.) for Aquarius will be provided to NPS for archival. Maps and spatial data must be submitted as ArcGIS layers, including metadata, to the Park's GIS specialist and conform to Park file structure standards. Annual data will be QA/</w:t>
      </w:r>
      <w:proofErr w:type="spellStart"/>
      <w:r w:rsidRPr="00E927F9">
        <w:rPr>
          <w:rFonts w:ascii="Arial" w:eastAsia="Calibri" w:hAnsi="Arial" w:cs="Arial"/>
          <w:color w:val="000000"/>
          <w:sz w:val="20"/>
          <w:szCs w:val="20"/>
        </w:rPr>
        <w:t>QC’ed</w:t>
      </w:r>
      <w:proofErr w:type="spellEnd"/>
      <w:r w:rsidRPr="00E927F9">
        <w:rPr>
          <w:rFonts w:ascii="Arial" w:eastAsia="Calibri" w:hAnsi="Arial" w:cs="Arial"/>
          <w:color w:val="000000"/>
          <w:sz w:val="20"/>
          <w:szCs w:val="20"/>
        </w:rPr>
        <w:t xml:space="preserve"> and delivered to Dean Tucker for upload to STORET by March 31, 2017.</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7.</w:t>
      </w:r>
      <w:proofErr w:type="gramEnd"/>
      <w:r w:rsidRPr="00E927F9">
        <w:rPr>
          <w:rFonts w:ascii="Arial" w:eastAsia="Calibri" w:hAnsi="Arial" w:cs="Arial"/>
          <w:color w:val="000000"/>
          <w:sz w:val="20"/>
          <w:szCs w:val="20"/>
        </w:rPr>
        <w:t xml:space="preserve">  Continue with park-wide </w:t>
      </w:r>
      <w:proofErr w:type="spellStart"/>
      <w:r w:rsidRPr="00E927F9">
        <w:rPr>
          <w:rFonts w:ascii="Arial" w:eastAsia="Calibri" w:hAnsi="Arial" w:cs="Arial"/>
          <w:color w:val="000000"/>
          <w:sz w:val="20"/>
          <w:szCs w:val="20"/>
        </w:rPr>
        <w:t>throughfall</w:t>
      </w:r>
      <w:proofErr w:type="spellEnd"/>
      <w:r w:rsidRPr="00E927F9">
        <w:rPr>
          <w:rFonts w:ascii="Arial" w:eastAsia="Calibri" w:hAnsi="Arial" w:cs="Arial"/>
          <w:color w:val="000000"/>
          <w:sz w:val="20"/>
          <w:szCs w:val="20"/>
        </w:rPr>
        <w:t xml:space="preserve"> study collecting samples as described in a study design approved by the GRSM resource staff.  The study design will consider elevation and vegetation samples and the total number of sites will be about 20. Water samples will be analyzed chemically for pH, ANC, conductivity, cations/anions, and dissolved metals; the same chemical analyses conducted for the park-wide monitoring effort.  Updates of project status will be included in the quarterly progress reports.  These data will be summarized in a Master of Science thesis draft submitted by March 1, 2017.   </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8.</w:t>
      </w:r>
      <w:proofErr w:type="gramEnd"/>
      <w:r w:rsidRPr="00E927F9">
        <w:rPr>
          <w:rFonts w:ascii="Arial" w:eastAsia="Calibri" w:hAnsi="Arial" w:cs="Arial"/>
          <w:color w:val="000000"/>
          <w:sz w:val="20"/>
          <w:szCs w:val="20"/>
        </w:rPr>
        <w:t xml:space="preserve">  A study examining source tracking study for stream sulfate and soil geochemical processes will be continued among sites as per the approved study design per the GRSM resource staff.  Updates of project status will be included in the quarterly progress reports.  These data will be summarized in a doctoral dissertation draft submitted by March 1, 2017.</w:t>
      </w:r>
    </w:p>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9.</w:t>
      </w:r>
      <w:proofErr w:type="gramEnd"/>
      <w:r w:rsidRPr="00E927F9">
        <w:rPr>
          <w:rFonts w:ascii="Arial" w:eastAsia="Calibri" w:hAnsi="Arial" w:cs="Arial"/>
          <w:color w:val="000000"/>
          <w:sz w:val="20"/>
          <w:szCs w:val="20"/>
        </w:rPr>
        <w:t xml:space="preserve">  APHN estimates 100 to 125 base flow samples evenly distributed between June 2016 and March 2017 to be analyzed for the parameters identified in Table 1.  APHN will field filter and preserve samples and will deliver samples to the University of Tennessee Laboratory. </w:t>
      </w:r>
    </w:p>
    <w:p w:rsidR="00E927F9" w:rsidRPr="00E927F9" w:rsidRDefault="00E927F9" w:rsidP="00E927F9">
      <w:pPr>
        <w:ind w:left="720"/>
        <w:jc w:val="center"/>
        <w:rPr>
          <w:rFonts w:ascii="Arial" w:eastAsia="Calibri" w:hAnsi="Arial" w:cs="Arial"/>
          <w:color w:val="000000"/>
          <w:sz w:val="18"/>
          <w:szCs w:val="18"/>
        </w:rPr>
      </w:pPr>
      <w:r w:rsidRPr="00E927F9">
        <w:rPr>
          <w:rFonts w:ascii="Arial" w:eastAsia="Calibri" w:hAnsi="Arial" w:cs="Arial"/>
          <w:color w:val="000000"/>
          <w:sz w:val="18"/>
          <w:szCs w:val="18"/>
        </w:rPr>
        <w:t xml:space="preserve">Table </w:t>
      </w:r>
      <w:r w:rsidRPr="00E927F9">
        <w:rPr>
          <w:rFonts w:ascii="Arial" w:eastAsia="Calibri" w:hAnsi="Arial" w:cs="Arial"/>
          <w:color w:val="000000"/>
          <w:sz w:val="18"/>
          <w:szCs w:val="18"/>
        </w:rPr>
        <w:fldChar w:fldCharType="begin"/>
      </w:r>
      <w:r w:rsidRPr="00E927F9">
        <w:rPr>
          <w:rFonts w:ascii="Arial" w:eastAsia="Calibri" w:hAnsi="Arial" w:cs="Arial"/>
          <w:color w:val="000000"/>
          <w:sz w:val="18"/>
          <w:szCs w:val="18"/>
        </w:rPr>
        <w:instrText xml:space="preserve"> SEQ Table \* ARABIC </w:instrText>
      </w:r>
      <w:r w:rsidRPr="00E927F9">
        <w:rPr>
          <w:rFonts w:ascii="Arial" w:eastAsia="Calibri" w:hAnsi="Arial" w:cs="Arial"/>
          <w:color w:val="000000"/>
          <w:sz w:val="18"/>
          <w:szCs w:val="18"/>
        </w:rPr>
        <w:fldChar w:fldCharType="separate"/>
      </w:r>
      <w:r w:rsidRPr="00E927F9">
        <w:rPr>
          <w:rFonts w:ascii="Arial" w:eastAsia="Calibri" w:hAnsi="Arial" w:cs="Arial"/>
          <w:color w:val="000000"/>
          <w:sz w:val="18"/>
          <w:szCs w:val="18"/>
        </w:rPr>
        <w:t>1</w:t>
      </w:r>
      <w:r w:rsidRPr="00E927F9">
        <w:rPr>
          <w:rFonts w:ascii="Arial" w:eastAsia="Calibri" w:hAnsi="Arial" w:cs="Arial"/>
          <w:color w:val="000000"/>
          <w:sz w:val="18"/>
          <w:szCs w:val="18"/>
        </w:rPr>
        <w:fldChar w:fldCharType="end"/>
      </w:r>
      <w:r w:rsidRPr="00E927F9">
        <w:rPr>
          <w:rFonts w:ascii="Arial" w:eastAsia="Calibri" w:hAnsi="Arial" w:cs="Arial"/>
          <w:color w:val="000000"/>
          <w:sz w:val="18"/>
          <w:szCs w:val="18"/>
        </w:rPr>
        <w:t>:  Analytical Procedures for Chemistry Analysis Performed at the University of Tennessee–Knoxville.</w:t>
      </w:r>
    </w:p>
    <w:tbl>
      <w:tblPr>
        <w:tblStyle w:val="TableGrid2"/>
        <w:tblW w:w="8730" w:type="dxa"/>
        <w:tblInd w:w="828" w:type="dxa"/>
        <w:tblLayout w:type="fixed"/>
        <w:tblLook w:val="0000" w:firstRow="0" w:lastRow="0" w:firstColumn="0" w:lastColumn="0" w:noHBand="0" w:noVBand="0"/>
      </w:tblPr>
      <w:tblGrid>
        <w:gridCol w:w="2340"/>
        <w:gridCol w:w="1890"/>
        <w:gridCol w:w="1800"/>
        <w:gridCol w:w="2700"/>
      </w:tblGrid>
      <w:tr w:rsidR="00E927F9" w:rsidRPr="00E927F9" w:rsidTr="00966C15">
        <w:trPr>
          <w:trHeight w:val="503"/>
        </w:trPr>
        <w:tc>
          <w:tcPr>
            <w:tcW w:w="2340" w:type="dxa"/>
            <w:vAlign w:val="center"/>
          </w:tcPr>
          <w:p w:rsidR="00E927F9" w:rsidRPr="00E927F9" w:rsidRDefault="00E927F9" w:rsidP="00E927F9">
            <w:pPr>
              <w:rPr>
                <w:rFonts w:ascii="Arial" w:hAnsi="Arial" w:cs="Arial"/>
                <w:b/>
                <w:bCs/>
                <w:sz w:val="18"/>
                <w:szCs w:val="18"/>
              </w:rPr>
            </w:pPr>
            <w:r w:rsidRPr="00E927F9">
              <w:rPr>
                <w:rFonts w:ascii="Arial" w:hAnsi="Arial" w:cs="Arial"/>
                <w:b/>
                <w:bCs/>
                <w:sz w:val="18"/>
                <w:szCs w:val="18"/>
              </w:rPr>
              <w:t>Analysis</w:t>
            </w:r>
          </w:p>
        </w:tc>
        <w:tc>
          <w:tcPr>
            <w:tcW w:w="1890" w:type="dxa"/>
            <w:vAlign w:val="center"/>
          </w:tcPr>
          <w:p w:rsidR="00E927F9" w:rsidRPr="00E927F9" w:rsidRDefault="00E927F9" w:rsidP="00E927F9">
            <w:pPr>
              <w:rPr>
                <w:rFonts w:ascii="Arial" w:hAnsi="Arial" w:cs="Arial"/>
                <w:sz w:val="18"/>
                <w:szCs w:val="18"/>
              </w:rPr>
            </w:pPr>
            <w:r w:rsidRPr="00E927F9">
              <w:rPr>
                <w:rFonts w:ascii="Arial" w:hAnsi="Arial" w:cs="Arial"/>
                <w:b/>
                <w:bCs/>
                <w:sz w:val="18"/>
                <w:szCs w:val="18"/>
              </w:rPr>
              <w:t>Procedure</w:t>
            </w:r>
          </w:p>
        </w:tc>
        <w:tc>
          <w:tcPr>
            <w:tcW w:w="1800" w:type="dxa"/>
            <w:vAlign w:val="center"/>
          </w:tcPr>
          <w:p w:rsidR="00E927F9" w:rsidRPr="00E927F9" w:rsidRDefault="00E927F9" w:rsidP="00E927F9">
            <w:pPr>
              <w:rPr>
                <w:rFonts w:ascii="Arial" w:hAnsi="Arial" w:cs="Arial"/>
                <w:sz w:val="18"/>
                <w:szCs w:val="18"/>
              </w:rPr>
            </w:pPr>
            <w:r w:rsidRPr="00E927F9">
              <w:rPr>
                <w:rFonts w:ascii="Arial" w:hAnsi="Arial" w:cs="Arial"/>
                <w:b/>
                <w:bCs/>
                <w:sz w:val="18"/>
                <w:szCs w:val="18"/>
              </w:rPr>
              <w:t>Equipment</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b/>
                <w:bCs/>
                <w:sz w:val="18"/>
                <w:szCs w:val="18"/>
              </w:rPr>
              <w:t>Method References</w:t>
            </w:r>
          </w:p>
        </w:tc>
      </w:tr>
      <w:tr w:rsidR="00E927F9" w:rsidRPr="00E927F9" w:rsidTr="00966C15">
        <w:trPr>
          <w:trHeight w:val="222"/>
        </w:trPr>
        <w:tc>
          <w:tcPr>
            <w:tcW w:w="2340" w:type="dxa"/>
            <w:vAlign w:val="center"/>
          </w:tcPr>
          <w:p w:rsidR="00E927F9" w:rsidRPr="00E927F9" w:rsidRDefault="00E927F9" w:rsidP="00E927F9">
            <w:pPr>
              <w:rPr>
                <w:rFonts w:ascii="Arial" w:hAnsi="Arial" w:cs="Arial"/>
                <w:b/>
                <w:bCs/>
                <w:sz w:val="18"/>
                <w:szCs w:val="18"/>
              </w:rPr>
            </w:pPr>
            <w:r w:rsidRPr="00E927F9">
              <w:rPr>
                <w:rFonts w:ascii="Arial" w:hAnsi="Arial" w:cs="Arial"/>
                <w:b/>
                <w:bCs/>
                <w:sz w:val="18"/>
                <w:szCs w:val="18"/>
              </w:rPr>
              <w:t xml:space="preserve">pH </w:t>
            </w:r>
          </w:p>
          <w:p w:rsidR="00E927F9" w:rsidRPr="00E927F9" w:rsidRDefault="00E927F9" w:rsidP="00E927F9">
            <w:pPr>
              <w:rPr>
                <w:rFonts w:ascii="Arial" w:hAnsi="Arial" w:cs="Arial"/>
                <w:sz w:val="18"/>
                <w:szCs w:val="18"/>
              </w:rPr>
            </w:pPr>
          </w:p>
        </w:tc>
        <w:tc>
          <w:tcPr>
            <w:tcW w:w="1890" w:type="dxa"/>
          </w:tcPr>
          <w:p w:rsidR="00E927F9" w:rsidRPr="00E927F9" w:rsidRDefault="00E927F9" w:rsidP="00E927F9">
            <w:pPr>
              <w:rPr>
                <w:rFonts w:ascii="Arial" w:hAnsi="Arial" w:cs="Arial"/>
                <w:sz w:val="18"/>
                <w:szCs w:val="18"/>
              </w:rPr>
            </w:pPr>
            <w:r w:rsidRPr="00E927F9">
              <w:rPr>
                <w:rFonts w:ascii="Arial" w:hAnsi="Arial" w:cs="Arial"/>
                <w:sz w:val="18"/>
                <w:szCs w:val="18"/>
              </w:rPr>
              <w:t xml:space="preserve">Potentiometric </w:t>
            </w:r>
          </w:p>
        </w:tc>
        <w:tc>
          <w:tcPr>
            <w:tcW w:w="1800" w:type="dxa"/>
          </w:tcPr>
          <w:p w:rsidR="00E927F9" w:rsidRPr="00E927F9" w:rsidRDefault="00E927F9" w:rsidP="00E927F9">
            <w:pPr>
              <w:rPr>
                <w:rFonts w:ascii="Arial" w:hAnsi="Arial" w:cs="Arial"/>
                <w:sz w:val="18"/>
                <w:szCs w:val="18"/>
              </w:rPr>
            </w:pPr>
            <w:r w:rsidRPr="00E927F9">
              <w:rPr>
                <w:rFonts w:ascii="Arial" w:hAnsi="Arial" w:cs="Arial"/>
                <w:sz w:val="18"/>
                <w:szCs w:val="18"/>
              </w:rPr>
              <w:t xml:space="preserve">PC-Titration Plus </w:t>
            </w:r>
          </w:p>
        </w:tc>
        <w:tc>
          <w:tcPr>
            <w:tcW w:w="2700" w:type="dxa"/>
          </w:tcPr>
          <w:p w:rsidR="00E927F9" w:rsidRPr="00E927F9" w:rsidRDefault="00E927F9" w:rsidP="00E927F9">
            <w:pPr>
              <w:rPr>
                <w:rFonts w:ascii="Arial" w:hAnsi="Arial" w:cs="Arial"/>
                <w:sz w:val="18"/>
                <w:szCs w:val="18"/>
              </w:rPr>
            </w:pPr>
            <w:r w:rsidRPr="00E927F9">
              <w:rPr>
                <w:rFonts w:ascii="Arial" w:hAnsi="Arial" w:cs="Arial"/>
                <w:sz w:val="18"/>
                <w:szCs w:val="18"/>
              </w:rPr>
              <w:t xml:space="preserve">EPA Method 150.1 </w:t>
            </w:r>
          </w:p>
        </w:tc>
      </w:tr>
      <w:tr w:rsidR="00E927F9" w:rsidRPr="00E927F9" w:rsidTr="00966C15">
        <w:trPr>
          <w:trHeight w:val="222"/>
        </w:trPr>
        <w:tc>
          <w:tcPr>
            <w:tcW w:w="2340" w:type="dxa"/>
            <w:vAlign w:val="center"/>
          </w:tcPr>
          <w:p w:rsidR="00E927F9" w:rsidRPr="00E927F9" w:rsidRDefault="00E927F9" w:rsidP="00E927F9">
            <w:pPr>
              <w:rPr>
                <w:rFonts w:ascii="Arial" w:hAnsi="Arial" w:cs="Arial"/>
                <w:sz w:val="18"/>
                <w:szCs w:val="18"/>
              </w:rPr>
            </w:pPr>
            <w:r w:rsidRPr="00E927F9">
              <w:rPr>
                <w:rFonts w:ascii="Arial" w:hAnsi="Arial" w:cs="Arial"/>
                <w:b/>
                <w:bCs/>
                <w:sz w:val="18"/>
                <w:szCs w:val="18"/>
              </w:rPr>
              <w:t xml:space="preserve">Conductance </w:t>
            </w:r>
          </w:p>
        </w:tc>
        <w:tc>
          <w:tcPr>
            <w:tcW w:w="189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Potentiometric </w:t>
            </w:r>
          </w:p>
        </w:tc>
        <w:tc>
          <w:tcPr>
            <w:tcW w:w="18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PC-Titration Plus </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EPA Method 120.1 </w:t>
            </w:r>
          </w:p>
        </w:tc>
      </w:tr>
      <w:tr w:rsidR="00E927F9" w:rsidRPr="00E927F9" w:rsidTr="00966C15">
        <w:trPr>
          <w:trHeight w:val="770"/>
        </w:trPr>
        <w:tc>
          <w:tcPr>
            <w:tcW w:w="2340" w:type="dxa"/>
            <w:vAlign w:val="center"/>
          </w:tcPr>
          <w:p w:rsidR="00E927F9" w:rsidRPr="00E927F9" w:rsidRDefault="00E927F9" w:rsidP="00E927F9">
            <w:pPr>
              <w:rPr>
                <w:rFonts w:ascii="Arial" w:hAnsi="Arial" w:cs="Arial"/>
                <w:b/>
                <w:bCs/>
                <w:sz w:val="18"/>
                <w:szCs w:val="18"/>
              </w:rPr>
            </w:pPr>
          </w:p>
          <w:p w:rsidR="00E927F9" w:rsidRPr="00E927F9" w:rsidRDefault="00E927F9" w:rsidP="00E927F9">
            <w:pPr>
              <w:rPr>
                <w:rFonts w:ascii="Arial" w:hAnsi="Arial" w:cs="Arial"/>
                <w:sz w:val="18"/>
                <w:szCs w:val="18"/>
              </w:rPr>
            </w:pPr>
            <w:r w:rsidRPr="00E927F9">
              <w:rPr>
                <w:rFonts w:ascii="Arial" w:hAnsi="Arial" w:cs="Arial"/>
                <w:b/>
                <w:bCs/>
                <w:sz w:val="18"/>
                <w:szCs w:val="18"/>
              </w:rPr>
              <w:t xml:space="preserve">Acid Neutralizing Capacity </w:t>
            </w:r>
            <w:r w:rsidRPr="00E927F9">
              <w:rPr>
                <w:rFonts w:ascii="Arial" w:hAnsi="Arial" w:cs="Arial"/>
                <w:bCs/>
                <w:sz w:val="18"/>
                <w:szCs w:val="18"/>
              </w:rPr>
              <w:t>(ANC)</w:t>
            </w:r>
            <w:r w:rsidRPr="00E927F9">
              <w:rPr>
                <w:rFonts w:ascii="Arial" w:hAnsi="Arial" w:cs="Arial"/>
                <w:b/>
                <w:bCs/>
                <w:sz w:val="18"/>
                <w:szCs w:val="18"/>
              </w:rPr>
              <w:t xml:space="preserve"> </w:t>
            </w:r>
          </w:p>
        </w:tc>
        <w:tc>
          <w:tcPr>
            <w:tcW w:w="1890" w:type="dxa"/>
            <w:vAlign w:val="center"/>
          </w:tcPr>
          <w:p w:rsidR="00E927F9" w:rsidRPr="00E927F9" w:rsidRDefault="00E927F9" w:rsidP="00E927F9">
            <w:pPr>
              <w:rPr>
                <w:rFonts w:ascii="Arial" w:hAnsi="Arial" w:cs="Arial"/>
                <w:sz w:val="18"/>
                <w:szCs w:val="18"/>
              </w:rPr>
            </w:pPr>
          </w:p>
          <w:p w:rsidR="00E927F9" w:rsidRPr="00E927F9" w:rsidRDefault="00E927F9" w:rsidP="00E927F9">
            <w:pPr>
              <w:rPr>
                <w:rFonts w:ascii="Arial" w:hAnsi="Arial" w:cs="Arial"/>
                <w:sz w:val="18"/>
                <w:szCs w:val="18"/>
              </w:rPr>
            </w:pPr>
            <w:r w:rsidRPr="00E927F9">
              <w:rPr>
                <w:rFonts w:ascii="Arial" w:hAnsi="Arial" w:cs="Arial"/>
                <w:sz w:val="18"/>
                <w:szCs w:val="18"/>
              </w:rPr>
              <w:t xml:space="preserve">Automated Titration </w:t>
            </w:r>
          </w:p>
        </w:tc>
        <w:tc>
          <w:tcPr>
            <w:tcW w:w="1800" w:type="dxa"/>
            <w:vAlign w:val="center"/>
          </w:tcPr>
          <w:p w:rsidR="00E927F9" w:rsidRPr="00E927F9" w:rsidRDefault="00E927F9" w:rsidP="00E927F9">
            <w:pPr>
              <w:rPr>
                <w:rFonts w:ascii="Arial" w:hAnsi="Arial" w:cs="Arial"/>
                <w:sz w:val="18"/>
                <w:szCs w:val="18"/>
              </w:rPr>
            </w:pPr>
          </w:p>
          <w:p w:rsidR="00E927F9" w:rsidRPr="00E927F9" w:rsidRDefault="00E927F9" w:rsidP="00E927F9">
            <w:pPr>
              <w:rPr>
                <w:rFonts w:ascii="Arial" w:hAnsi="Arial" w:cs="Arial"/>
                <w:sz w:val="18"/>
                <w:szCs w:val="18"/>
              </w:rPr>
            </w:pPr>
            <w:r w:rsidRPr="00E927F9">
              <w:rPr>
                <w:rFonts w:ascii="Arial" w:hAnsi="Arial" w:cs="Arial"/>
                <w:sz w:val="18"/>
                <w:szCs w:val="18"/>
              </w:rPr>
              <w:t xml:space="preserve">PC-Titration Plus </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Automated Gran Titration for low ionic strength waters, as in Hillman et al. 1986 </w:t>
            </w:r>
          </w:p>
        </w:tc>
      </w:tr>
      <w:tr w:rsidR="00E927F9" w:rsidRPr="00E927F9" w:rsidTr="00966C15">
        <w:trPr>
          <w:trHeight w:val="494"/>
        </w:trPr>
        <w:tc>
          <w:tcPr>
            <w:tcW w:w="2340" w:type="dxa"/>
            <w:vAlign w:val="center"/>
          </w:tcPr>
          <w:p w:rsidR="00E927F9" w:rsidRPr="00E927F9" w:rsidRDefault="00E927F9" w:rsidP="00E927F9">
            <w:pPr>
              <w:rPr>
                <w:rFonts w:ascii="Arial" w:hAnsi="Arial" w:cs="Arial"/>
                <w:b/>
                <w:bCs/>
                <w:sz w:val="18"/>
                <w:szCs w:val="18"/>
              </w:rPr>
            </w:pPr>
            <w:r w:rsidRPr="00E927F9">
              <w:rPr>
                <w:rFonts w:ascii="Arial" w:hAnsi="Arial" w:cs="Arial"/>
                <w:b/>
                <w:bCs/>
                <w:sz w:val="18"/>
                <w:szCs w:val="18"/>
              </w:rPr>
              <w:t xml:space="preserve">Anions </w:t>
            </w:r>
          </w:p>
          <w:p w:rsidR="00E927F9" w:rsidRPr="00E927F9" w:rsidRDefault="00E927F9" w:rsidP="00E927F9">
            <w:pPr>
              <w:rPr>
                <w:rFonts w:ascii="Arial" w:hAnsi="Arial" w:cs="Arial"/>
                <w:sz w:val="18"/>
                <w:szCs w:val="18"/>
              </w:rPr>
            </w:pPr>
            <w:r w:rsidRPr="00E927F9">
              <w:rPr>
                <w:rFonts w:ascii="Arial" w:hAnsi="Arial" w:cs="Arial"/>
                <w:bCs/>
                <w:sz w:val="18"/>
                <w:szCs w:val="18"/>
              </w:rPr>
              <w:t xml:space="preserve">(NO3-, Cl-, SO42-) </w:t>
            </w:r>
          </w:p>
        </w:tc>
        <w:tc>
          <w:tcPr>
            <w:tcW w:w="189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Ion Chromatography </w:t>
            </w:r>
          </w:p>
        </w:tc>
        <w:tc>
          <w:tcPr>
            <w:tcW w:w="1800" w:type="dxa"/>
            <w:vAlign w:val="center"/>
          </w:tcPr>
          <w:p w:rsidR="00E927F9" w:rsidRPr="00E927F9" w:rsidRDefault="00E927F9" w:rsidP="00E927F9">
            <w:pPr>
              <w:rPr>
                <w:rFonts w:ascii="Arial" w:hAnsi="Arial" w:cs="Arial"/>
                <w:sz w:val="18"/>
                <w:szCs w:val="18"/>
              </w:rPr>
            </w:pPr>
            <w:proofErr w:type="spellStart"/>
            <w:r w:rsidRPr="00E927F9">
              <w:rPr>
                <w:rFonts w:ascii="Arial" w:hAnsi="Arial" w:cs="Arial"/>
                <w:sz w:val="18"/>
                <w:szCs w:val="18"/>
              </w:rPr>
              <w:t>Dionex</w:t>
            </w:r>
            <w:proofErr w:type="spellEnd"/>
            <w:r w:rsidRPr="00E927F9">
              <w:rPr>
                <w:rFonts w:ascii="Arial" w:hAnsi="Arial" w:cs="Arial"/>
                <w:sz w:val="18"/>
                <w:szCs w:val="18"/>
              </w:rPr>
              <w:t xml:space="preserve"> Ion Chromatograph </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Standard Methods 4110 </w:t>
            </w:r>
          </w:p>
        </w:tc>
      </w:tr>
      <w:tr w:rsidR="00E927F9" w:rsidRPr="00E927F9" w:rsidTr="00966C15">
        <w:trPr>
          <w:trHeight w:val="693"/>
        </w:trPr>
        <w:tc>
          <w:tcPr>
            <w:tcW w:w="2340" w:type="dxa"/>
            <w:vAlign w:val="center"/>
          </w:tcPr>
          <w:p w:rsidR="00E927F9" w:rsidRPr="00E927F9" w:rsidRDefault="00E927F9" w:rsidP="00E927F9">
            <w:pPr>
              <w:rPr>
                <w:rFonts w:ascii="Arial" w:hAnsi="Arial" w:cs="Arial"/>
                <w:sz w:val="18"/>
                <w:szCs w:val="18"/>
              </w:rPr>
            </w:pPr>
            <w:r w:rsidRPr="00E927F9">
              <w:rPr>
                <w:rFonts w:ascii="Arial" w:hAnsi="Arial" w:cs="Arial"/>
                <w:b/>
                <w:bCs/>
                <w:sz w:val="18"/>
                <w:szCs w:val="18"/>
              </w:rPr>
              <w:t xml:space="preserve">Monovalent Cations </w:t>
            </w:r>
          </w:p>
          <w:p w:rsidR="00E927F9" w:rsidRPr="00E927F9" w:rsidRDefault="00E927F9" w:rsidP="00E927F9">
            <w:pPr>
              <w:rPr>
                <w:rFonts w:ascii="Arial" w:hAnsi="Arial" w:cs="Arial"/>
                <w:sz w:val="18"/>
                <w:szCs w:val="18"/>
              </w:rPr>
            </w:pPr>
            <w:r w:rsidRPr="00E927F9">
              <w:rPr>
                <w:rFonts w:ascii="Arial" w:hAnsi="Arial" w:cs="Arial"/>
                <w:bCs/>
                <w:sz w:val="18"/>
                <w:szCs w:val="18"/>
              </w:rPr>
              <w:t xml:space="preserve">(NH4+) </w:t>
            </w:r>
          </w:p>
        </w:tc>
        <w:tc>
          <w:tcPr>
            <w:tcW w:w="189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Ion Chromatography </w:t>
            </w:r>
          </w:p>
        </w:tc>
        <w:tc>
          <w:tcPr>
            <w:tcW w:w="1800" w:type="dxa"/>
            <w:vAlign w:val="center"/>
          </w:tcPr>
          <w:p w:rsidR="00E927F9" w:rsidRPr="00E927F9" w:rsidRDefault="00E927F9" w:rsidP="00E927F9">
            <w:pPr>
              <w:rPr>
                <w:rFonts w:ascii="Arial" w:hAnsi="Arial" w:cs="Arial"/>
                <w:sz w:val="18"/>
                <w:szCs w:val="18"/>
              </w:rPr>
            </w:pPr>
            <w:proofErr w:type="spellStart"/>
            <w:r w:rsidRPr="00E927F9">
              <w:rPr>
                <w:rFonts w:ascii="Arial" w:hAnsi="Arial" w:cs="Arial"/>
                <w:sz w:val="18"/>
                <w:szCs w:val="18"/>
              </w:rPr>
              <w:t>Dionex</w:t>
            </w:r>
            <w:proofErr w:type="spellEnd"/>
            <w:r w:rsidRPr="00E927F9">
              <w:rPr>
                <w:rFonts w:ascii="Arial" w:hAnsi="Arial" w:cs="Arial"/>
                <w:sz w:val="18"/>
                <w:szCs w:val="18"/>
              </w:rPr>
              <w:t xml:space="preserve"> Ion Chromatograph </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Manufacturers Protocols </w:t>
            </w:r>
          </w:p>
        </w:tc>
      </w:tr>
      <w:tr w:rsidR="00E927F9" w:rsidRPr="00E927F9" w:rsidTr="00966C15">
        <w:trPr>
          <w:trHeight w:val="1252"/>
        </w:trPr>
        <w:tc>
          <w:tcPr>
            <w:tcW w:w="2340" w:type="dxa"/>
            <w:vAlign w:val="center"/>
          </w:tcPr>
          <w:p w:rsidR="00E927F9" w:rsidRPr="00E927F9" w:rsidRDefault="00E927F9" w:rsidP="00E927F9">
            <w:pPr>
              <w:rPr>
                <w:rFonts w:ascii="Arial" w:hAnsi="Arial" w:cs="Arial"/>
                <w:b/>
                <w:bCs/>
                <w:sz w:val="18"/>
                <w:szCs w:val="18"/>
              </w:rPr>
            </w:pPr>
            <w:r w:rsidRPr="00E927F9">
              <w:rPr>
                <w:rFonts w:ascii="Arial" w:hAnsi="Arial" w:cs="Arial"/>
                <w:b/>
                <w:bCs/>
                <w:sz w:val="18"/>
                <w:szCs w:val="18"/>
              </w:rPr>
              <w:t xml:space="preserve">Earth and Trace Metals </w:t>
            </w:r>
          </w:p>
          <w:p w:rsidR="00E927F9" w:rsidRPr="00E927F9" w:rsidRDefault="00E927F9" w:rsidP="00E927F9">
            <w:pPr>
              <w:rPr>
                <w:rFonts w:ascii="Arial" w:hAnsi="Arial" w:cs="Arial"/>
                <w:sz w:val="18"/>
                <w:szCs w:val="18"/>
              </w:rPr>
            </w:pPr>
            <w:r w:rsidRPr="00E927F9">
              <w:rPr>
                <w:rFonts w:ascii="Arial" w:hAnsi="Arial" w:cs="Arial"/>
                <w:bCs/>
                <w:sz w:val="18"/>
                <w:szCs w:val="18"/>
              </w:rPr>
              <w:t xml:space="preserve">(Na+, K+, Mg2+, Ca2+, Mn2+, Al3+, Fe3+, Cu2+, Zn2+, &amp; Si) </w:t>
            </w:r>
          </w:p>
        </w:tc>
        <w:tc>
          <w:tcPr>
            <w:tcW w:w="189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Inductively Coupled Plasma Spectrometer </w:t>
            </w:r>
          </w:p>
        </w:tc>
        <w:tc>
          <w:tcPr>
            <w:tcW w:w="18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Thermo-Electron Iris Intrepid II </w:t>
            </w:r>
          </w:p>
        </w:tc>
        <w:tc>
          <w:tcPr>
            <w:tcW w:w="2700" w:type="dxa"/>
            <w:vAlign w:val="center"/>
          </w:tcPr>
          <w:p w:rsidR="00E927F9" w:rsidRPr="00E927F9" w:rsidRDefault="00E927F9" w:rsidP="00E927F9">
            <w:pPr>
              <w:rPr>
                <w:rFonts w:ascii="Arial" w:hAnsi="Arial" w:cs="Arial"/>
                <w:sz w:val="18"/>
                <w:szCs w:val="18"/>
              </w:rPr>
            </w:pPr>
            <w:r w:rsidRPr="00E927F9">
              <w:rPr>
                <w:rFonts w:ascii="Arial" w:hAnsi="Arial" w:cs="Arial"/>
                <w:sz w:val="18"/>
                <w:szCs w:val="18"/>
              </w:rPr>
              <w:t xml:space="preserve">Standard Methods 3120B </w:t>
            </w:r>
          </w:p>
          <w:p w:rsidR="00E927F9" w:rsidRPr="00E927F9" w:rsidRDefault="00E927F9" w:rsidP="00E927F9">
            <w:pPr>
              <w:rPr>
                <w:rFonts w:ascii="Arial" w:hAnsi="Arial" w:cs="Arial"/>
                <w:sz w:val="18"/>
                <w:szCs w:val="18"/>
              </w:rPr>
            </w:pPr>
            <w:r w:rsidRPr="00E927F9">
              <w:rPr>
                <w:rFonts w:ascii="Arial" w:hAnsi="Arial" w:cs="Arial"/>
                <w:sz w:val="18"/>
                <w:szCs w:val="18"/>
              </w:rPr>
              <w:t xml:space="preserve">EPA Method 6010B </w:t>
            </w:r>
          </w:p>
          <w:p w:rsidR="00E927F9" w:rsidRPr="00E927F9" w:rsidRDefault="00E927F9" w:rsidP="00E927F9">
            <w:pPr>
              <w:rPr>
                <w:rFonts w:ascii="Arial" w:hAnsi="Arial" w:cs="Arial"/>
                <w:sz w:val="18"/>
                <w:szCs w:val="18"/>
              </w:rPr>
            </w:pPr>
            <w:r w:rsidRPr="00E927F9">
              <w:rPr>
                <w:rFonts w:ascii="Arial" w:hAnsi="Arial" w:cs="Arial"/>
                <w:sz w:val="18"/>
                <w:szCs w:val="18"/>
              </w:rPr>
              <w:t xml:space="preserve">EPA Method 3005A </w:t>
            </w:r>
          </w:p>
        </w:tc>
      </w:tr>
    </w:tbl>
    <w:p w:rsidR="00E927F9" w:rsidRPr="00E927F9" w:rsidRDefault="00E927F9" w:rsidP="00E927F9">
      <w:pPr>
        <w:rPr>
          <w:rFonts w:ascii="Calibri" w:eastAsia="Calibri" w:hAnsi="Calibri"/>
          <w:color w:val="000000"/>
        </w:rPr>
      </w:pPr>
    </w:p>
    <w:p w:rsidR="00E927F9" w:rsidRPr="00E927F9" w:rsidRDefault="00E927F9" w:rsidP="00E927F9">
      <w:pPr>
        <w:spacing w:after="200" w:line="276" w:lineRule="auto"/>
        <w:ind w:left="720"/>
        <w:contextualSpacing/>
        <w:outlineLvl w:val="2"/>
        <w:rPr>
          <w:rFonts w:ascii="Arial" w:eastAsia="Calibri" w:hAnsi="Arial" w:cs="Arial"/>
          <w:color w:val="000000"/>
          <w:sz w:val="20"/>
          <w:szCs w:val="20"/>
        </w:rPr>
      </w:pPr>
      <w:proofErr w:type="gramStart"/>
      <w:r w:rsidRPr="00E927F9">
        <w:rPr>
          <w:rFonts w:ascii="Arial" w:eastAsia="Calibri" w:hAnsi="Arial" w:cs="Arial"/>
          <w:color w:val="000000"/>
          <w:sz w:val="20"/>
          <w:szCs w:val="20"/>
        </w:rPr>
        <w:t>Task 10.</w:t>
      </w:r>
      <w:proofErr w:type="gramEnd"/>
      <w:r w:rsidRPr="00E927F9">
        <w:rPr>
          <w:rFonts w:ascii="Arial" w:eastAsia="Calibri" w:hAnsi="Arial" w:cs="Arial"/>
          <w:color w:val="000000"/>
          <w:sz w:val="20"/>
          <w:szCs w:val="20"/>
        </w:rPr>
        <w:t xml:space="preserve">  Interim APHN results (raw data) will be reported quarterly (first report due October 31, 2016).   Raw and final data and all metadata associated with dissertation or thesis projects (i.e. non-spatial or biological data) must also be entered into STORET, Aquarius and/or other approved NPS databases.  Maps and spatial data must be submitted as ArcGIS layers, including metadata, to the Park's GIS specialist and conform to Park file structure standards. Annual data will be </w:t>
      </w:r>
      <w:proofErr w:type="spellStart"/>
      <w:r w:rsidRPr="00E927F9">
        <w:rPr>
          <w:rFonts w:ascii="Arial" w:eastAsia="Calibri" w:hAnsi="Arial" w:cs="Arial"/>
          <w:color w:val="000000"/>
          <w:sz w:val="20"/>
          <w:szCs w:val="20"/>
        </w:rPr>
        <w:t>be</w:t>
      </w:r>
      <w:proofErr w:type="spellEnd"/>
      <w:r w:rsidRPr="00E927F9">
        <w:rPr>
          <w:rFonts w:ascii="Arial" w:eastAsia="Calibri" w:hAnsi="Arial" w:cs="Arial"/>
          <w:color w:val="000000"/>
          <w:sz w:val="20"/>
          <w:szCs w:val="20"/>
        </w:rPr>
        <w:t xml:space="preserve"> QA/</w:t>
      </w:r>
      <w:proofErr w:type="spellStart"/>
      <w:r w:rsidRPr="00E927F9">
        <w:rPr>
          <w:rFonts w:ascii="Arial" w:eastAsia="Calibri" w:hAnsi="Arial" w:cs="Arial"/>
          <w:color w:val="000000"/>
          <w:sz w:val="20"/>
          <w:szCs w:val="20"/>
        </w:rPr>
        <w:t>QC’ed</w:t>
      </w:r>
      <w:proofErr w:type="spellEnd"/>
      <w:r w:rsidRPr="00E927F9">
        <w:rPr>
          <w:rFonts w:ascii="Arial" w:eastAsia="Calibri" w:hAnsi="Arial" w:cs="Arial"/>
          <w:color w:val="000000"/>
          <w:sz w:val="20"/>
          <w:szCs w:val="20"/>
        </w:rPr>
        <w:t xml:space="preserve"> and delivered to Dean Tucker for upload to STORET and Aquarius by March 31, 2017.</w:t>
      </w:r>
    </w:p>
    <w:p w:rsidR="00E927F9" w:rsidRPr="00E927F9" w:rsidRDefault="00E927F9" w:rsidP="00E927F9">
      <w:pPr>
        <w:ind w:left="720" w:hanging="360"/>
        <w:contextualSpacing/>
        <w:outlineLvl w:val="2"/>
        <w:rPr>
          <w:rFonts w:ascii="Arial" w:eastAsia="Calibri" w:hAnsi="Arial" w:cs="Arial"/>
          <w:b/>
          <w:color w:val="000000"/>
          <w:sz w:val="20"/>
          <w:szCs w:val="20"/>
        </w:rPr>
      </w:pPr>
    </w:p>
    <w:p w:rsidR="00E927F9" w:rsidRPr="00E927F9" w:rsidRDefault="00E927F9" w:rsidP="00E927F9">
      <w:pPr>
        <w:ind w:left="72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ROLE OF COOPERATOR IN THIS PROJECT:</w:t>
      </w:r>
    </w:p>
    <w:p w:rsidR="00E927F9" w:rsidRPr="00E927F9" w:rsidRDefault="00E927F9" w:rsidP="00E927F9">
      <w:pPr>
        <w:ind w:firstLine="360"/>
        <w:rPr>
          <w:rFonts w:ascii="Arial" w:eastAsia="Calibri" w:hAnsi="Arial" w:cs="Arial"/>
          <w:bCs/>
          <w:color w:val="000000"/>
          <w:sz w:val="20"/>
          <w:szCs w:val="20"/>
        </w:rPr>
      </w:pPr>
    </w:p>
    <w:p w:rsidR="00E927F9" w:rsidRPr="00E927F9" w:rsidRDefault="00E927F9" w:rsidP="00E927F9">
      <w:pPr>
        <w:ind w:firstLine="360"/>
        <w:rPr>
          <w:rFonts w:ascii="Arial" w:eastAsia="Calibri" w:hAnsi="Arial" w:cs="Arial"/>
          <w:bCs/>
          <w:color w:val="000000"/>
          <w:sz w:val="20"/>
          <w:szCs w:val="20"/>
        </w:rPr>
      </w:pPr>
      <w:r w:rsidRPr="00E927F9">
        <w:rPr>
          <w:rFonts w:ascii="Arial" w:eastAsia="Calibri" w:hAnsi="Arial" w:cs="Arial"/>
          <w:bCs/>
          <w:color w:val="000000"/>
          <w:sz w:val="20"/>
          <w:szCs w:val="20"/>
        </w:rPr>
        <w:t xml:space="preserve">The Cooperator will: </w:t>
      </w:r>
    </w:p>
    <w:p w:rsidR="00E927F9" w:rsidRPr="00E927F9" w:rsidRDefault="00E927F9" w:rsidP="00E927F9">
      <w:pPr>
        <w:rPr>
          <w:rFonts w:ascii="Arial" w:eastAsia="Calibri" w:hAnsi="Arial" w:cs="Arial"/>
          <w:bCs/>
          <w:color w:val="000000"/>
          <w:sz w:val="20"/>
          <w:szCs w:val="20"/>
        </w:rPr>
      </w:pP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1. Collaboratively undertake project work titled “</w:t>
      </w:r>
      <w:r w:rsidRPr="00E927F9">
        <w:rPr>
          <w:rFonts w:ascii="Arial" w:eastAsia="Arial" w:hAnsi="Arial" w:cs="Arial"/>
          <w:color w:val="000000"/>
          <w:sz w:val="20"/>
          <w:szCs w:val="20"/>
        </w:rPr>
        <w:t>Vital Signs Water Quality Monitoring in GRSM and APHN Streams</w:t>
      </w:r>
      <w:r w:rsidRPr="00E927F9">
        <w:rPr>
          <w:rFonts w:ascii="Arial" w:hAnsi="Arial" w:cs="Arial"/>
          <w:bCs/>
          <w:sz w:val="20"/>
          <w:szCs w:val="20"/>
        </w:rPr>
        <w:t xml:space="preserve">”; </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 xml:space="preserve">2. Appoint Dr. John Schwartz as Principal Investigators (PI); </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3. Conduct action item(s) corresponding to Tasks #1-9;</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4. Produce an annual summary report corresponding to Task #5 submitted by 31 May 2017;</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 xml:space="preserve">5. Produce a draft thesis corresponding to task #7 </w:t>
      </w:r>
      <w:r w:rsidRPr="00E927F9">
        <w:rPr>
          <w:rFonts w:ascii="Arial" w:eastAsia="Calibri" w:hAnsi="Arial"/>
          <w:color w:val="000000"/>
          <w:sz w:val="20"/>
        </w:rPr>
        <w:t>by 1 March 2017.</w:t>
      </w:r>
      <w:r w:rsidRPr="00E927F9">
        <w:rPr>
          <w:rFonts w:ascii="Arial" w:hAnsi="Arial" w:cs="Arial"/>
          <w:bCs/>
          <w:sz w:val="20"/>
          <w:szCs w:val="20"/>
        </w:rPr>
        <w:tab/>
      </w:r>
    </w:p>
    <w:p w:rsidR="00E927F9" w:rsidRPr="00E927F9" w:rsidRDefault="00E927F9" w:rsidP="00E927F9">
      <w:pPr>
        <w:ind w:left="360"/>
        <w:rPr>
          <w:rFonts w:ascii="Arial" w:hAnsi="Arial" w:cs="Arial"/>
          <w:bCs/>
          <w:sz w:val="20"/>
          <w:szCs w:val="20"/>
        </w:rPr>
      </w:pPr>
      <w:r w:rsidRPr="00E927F9">
        <w:rPr>
          <w:rFonts w:ascii="Arial" w:hAnsi="Arial" w:cs="Arial"/>
          <w:bCs/>
          <w:sz w:val="20"/>
          <w:szCs w:val="20"/>
        </w:rPr>
        <w:t xml:space="preserve">6. Produce a draft dissertation corresponding to task #8 </w:t>
      </w:r>
      <w:r w:rsidRPr="00E927F9">
        <w:rPr>
          <w:rFonts w:ascii="Arial" w:eastAsia="Calibri" w:hAnsi="Arial"/>
          <w:color w:val="000000"/>
          <w:sz w:val="20"/>
        </w:rPr>
        <w:t>by 1 March 2017.</w:t>
      </w:r>
    </w:p>
    <w:p w:rsidR="00E927F9" w:rsidRPr="00E927F9" w:rsidRDefault="00E927F9" w:rsidP="00E927F9">
      <w:pPr>
        <w:ind w:left="360"/>
        <w:rPr>
          <w:rFonts w:ascii="Arial" w:hAnsi="Arial" w:cs="Arial"/>
          <w:bCs/>
          <w:sz w:val="20"/>
          <w:szCs w:val="20"/>
        </w:rPr>
      </w:pPr>
    </w:p>
    <w:p w:rsidR="00E927F9" w:rsidRPr="00E927F9" w:rsidRDefault="00E927F9" w:rsidP="00E927F9">
      <w:pPr>
        <w:ind w:left="360"/>
        <w:rPr>
          <w:rFonts w:ascii="Arial" w:eastAsia="Calibri" w:hAnsi="Arial"/>
          <w:bCs/>
          <w:color w:val="000000"/>
          <w:sz w:val="20"/>
        </w:rPr>
      </w:pPr>
      <w:r w:rsidRPr="00E927F9">
        <w:rPr>
          <w:rFonts w:ascii="Arial" w:hAnsi="Arial" w:cs="Arial"/>
          <w:bCs/>
          <w:sz w:val="20"/>
          <w:szCs w:val="20"/>
        </w:rPr>
        <w:t>7.  Acknowledge the NPS and the Southern Appalachian CESU in any peer-reviewed publication generated from this project.</w:t>
      </w:r>
    </w:p>
    <w:p w:rsidR="00E927F9" w:rsidRPr="00E927F9" w:rsidRDefault="00E927F9" w:rsidP="00E927F9">
      <w:pPr>
        <w:rPr>
          <w:rFonts w:ascii="Arial" w:eastAsia="Calibri" w:hAnsi="Arial" w:cs="Arial"/>
          <w:bCs/>
          <w:color w:val="000000"/>
          <w:sz w:val="20"/>
          <w:szCs w:val="20"/>
        </w:rPr>
      </w:pPr>
    </w:p>
    <w:p w:rsidR="00E927F9" w:rsidRPr="00E927F9" w:rsidRDefault="00E927F9" w:rsidP="00E927F9">
      <w:pPr>
        <w:ind w:left="72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ROLE OF NPS IN THIS PROJECT:</w:t>
      </w:r>
    </w:p>
    <w:p w:rsidR="00E927F9" w:rsidRPr="00E927F9" w:rsidRDefault="00E927F9" w:rsidP="00E927F9">
      <w:pPr>
        <w:rPr>
          <w:rFonts w:ascii="Arial" w:eastAsia="Calibri" w:hAnsi="Arial" w:cs="Arial"/>
          <w:b/>
          <w:bCs/>
          <w:color w:val="000000"/>
          <w:sz w:val="20"/>
          <w:szCs w:val="20"/>
        </w:rPr>
      </w:pP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1. Provide financial assistance to the Cooperator as provided in the Agreement</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 xml:space="preserve">2. Designate Matt </w:t>
      </w:r>
      <w:proofErr w:type="spellStart"/>
      <w:r w:rsidRPr="00E927F9">
        <w:rPr>
          <w:rFonts w:ascii="Arial" w:hAnsi="Arial" w:cs="Arial"/>
          <w:bCs/>
          <w:sz w:val="20"/>
          <w:szCs w:val="20"/>
        </w:rPr>
        <w:t>Kulp</w:t>
      </w:r>
      <w:proofErr w:type="spellEnd"/>
      <w:r w:rsidRPr="00E927F9">
        <w:rPr>
          <w:rFonts w:ascii="Arial" w:hAnsi="Arial" w:cs="Arial"/>
          <w:bCs/>
          <w:sz w:val="20"/>
          <w:szCs w:val="20"/>
        </w:rPr>
        <w:t xml:space="preserve"> as the Agreement Technical Representative (ATR);</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3. Assist with item(s) in Tasks #1-9 in form of data, resources, information, personnel;</w:t>
      </w:r>
    </w:p>
    <w:p w:rsidR="00E927F9" w:rsidRPr="00E927F9" w:rsidRDefault="00E927F9" w:rsidP="00E927F9">
      <w:pPr>
        <w:autoSpaceDE w:val="0"/>
        <w:autoSpaceDN w:val="0"/>
        <w:spacing w:line="360" w:lineRule="auto"/>
        <w:ind w:left="360"/>
        <w:rPr>
          <w:rFonts w:ascii="Arial" w:hAnsi="Arial" w:cs="Arial"/>
          <w:bCs/>
          <w:sz w:val="20"/>
          <w:szCs w:val="20"/>
        </w:rPr>
      </w:pPr>
      <w:r w:rsidRPr="00E927F9">
        <w:rPr>
          <w:rFonts w:ascii="Arial" w:hAnsi="Arial" w:cs="Arial"/>
          <w:bCs/>
          <w:sz w:val="20"/>
          <w:szCs w:val="20"/>
        </w:rPr>
        <w:t>4. Provide government furnished property: truck(s), snowmobile;</w:t>
      </w:r>
    </w:p>
    <w:p w:rsidR="00E927F9" w:rsidRPr="00E927F9" w:rsidRDefault="00E927F9" w:rsidP="00E927F9">
      <w:pPr>
        <w:ind w:left="360"/>
        <w:rPr>
          <w:rFonts w:ascii="Arial" w:hAnsi="Arial" w:cs="Arial"/>
          <w:bCs/>
          <w:sz w:val="20"/>
          <w:szCs w:val="20"/>
        </w:rPr>
      </w:pPr>
      <w:r w:rsidRPr="00E927F9">
        <w:rPr>
          <w:rFonts w:ascii="Arial" w:hAnsi="Arial" w:cs="Arial"/>
          <w:bCs/>
          <w:sz w:val="20"/>
          <w:szCs w:val="20"/>
        </w:rPr>
        <w:t>5. Provide a timely and comprehensive review of draft material.</w:t>
      </w:r>
    </w:p>
    <w:p w:rsidR="00E927F9" w:rsidRPr="00E927F9" w:rsidRDefault="00E927F9" w:rsidP="00E927F9">
      <w:pPr>
        <w:ind w:left="360"/>
        <w:rPr>
          <w:rFonts w:ascii="Arial" w:hAnsi="Arial" w:cs="Arial"/>
          <w:bCs/>
          <w:sz w:val="20"/>
          <w:szCs w:val="20"/>
        </w:rPr>
      </w:pPr>
    </w:p>
    <w:p w:rsidR="00E927F9" w:rsidRPr="00E927F9" w:rsidRDefault="00E927F9" w:rsidP="00E927F9">
      <w:pPr>
        <w:ind w:left="360"/>
        <w:rPr>
          <w:rFonts w:ascii="Arial" w:eastAsia="Calibri" w:hAnsi="Arial" w:cs="Arial"/>
          <w:bCs/>
          <w:color w:val="000000"/>
          <w:sz w:val="20"/>
          <w:szCs w:val="20"/>
        </w:rPr>
      </w:pPr>
    </w:p>
    <w:p w:rsidR="00E927F9" w:rsidRPr="00E927F9" w:rsidRDefault="00E927F9" w:rsidP="00E927F9">
      <w:pPr>
        <w:ind w:left="108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PROJECT PRODUCT(S):</w:t>
      </w:r>
    </w:p>
    <w:p w:rsidR="00E927F9" w:rsidRPr="00E927F9" w:rsidRDefault="00E927F9" w:rsidP="00E927F9">
      <w:pPr>
        <w:rPr>
          <w:rFonts w:ascii="Calibri" w:eastAsia="Calibri" w:hAnsi="Calibri"/>
          <w:color w:val="000000"/>
        </w:rPr>
      </w:pPr>
    </w:p>
    <w:p w:rsidR="00E927F9" w:rsidRPr="00E927F9" w:rsidRDefault="00E927F9" w:rsidP="00E927F9">
      <w:pPr>
        <w:numPr>
          <w:ilvl w:val="0"/>
          <w:numId w:val="23"/>
        </w:numPr>
        <w:spacing w:after="200" w:line="276" w:lineRule="auto"/>
        <w:rPr>
          <w:rFonts w:ascii="Arial" w:eastAsia="Calibri" w:hAnsi="Arial" w:cs="Arial"/>
          <w:bCs/>
          <w:color w:val="000000"/>
          <w:sz w:val="20"/>
          <w:szCs w:val="20"/>
        </w:rPr>
      </w:pPr>
      <w:r w:rsidRPr="00E927F9">
        <w:rPr>
          <w:rFonts w:ascii="Arial" w:eastAsia="Calibri" w:hAnsi="Arial" w:cs="Arial"/>
          <w:bCs/>
          <w:color w:val="000000"/>
          <w:sz w:val="20"/>
          <w:szCs w:val="20"/>
        </w:rPr>
        <w:t>As stated in Task 5, UT will submit a summary analysis report for the water quality samples for the 37 sites collected every other month, the 9 Hazel Creek sites, and all Noland Divide monitoring data during 2015 is due May 31, 2017.  All data collected are to be QA/</w:t>
      </w:r>
      <w:proofErr w:type="spellStart"/>
      <w:r w:rsidRPr="00E927F9">
        <w:rPr>
          <w:rFonts w:ascii="Arial" w:eastAsia="Calibri" w:hAnsi="Arial" w:cs="Arial"/>
          <w:bCs/>
          <w:color w:val="000000"/>
          <w:sz w:val="20"/>
          <w:szCs w:val="20"/>
        </w:rPr>
        <w:t>QC’ed</w:t>
      </w:r>
      <w:proofErr w:type="spellEnd"/>
      <w:r w:rsidRPr="00E927F9">
        <w:rPr>
          <w:rFonts w:ascii="Arial" w:eastAsia="Calibri" w:hAnsi="Arial" w:cs="Arial"/>
          <w:bCs/>
          <w:color w:val="000000"/>
          <w:sz w:val="20"/>
          <w:szCs w:val="20"/>
        </w:rPr>
        <w:t>.  The report should be in the NPS National Resource Data Series Format (NRDS) (http://www.nature.nps.gov/publications/nrpm/nrds.cfm).  This report should include but is not limited to: annual data completeness, seasonal variation, potential effects of significant natural events like droughts and floods; and a general assessment of long-term trends.</w:t>
      </w:r>
    </w:p>
    <w:p w:rsidR="00E927F9" w:rsidRPr="00E927F9" w:rsidRDefault="00E927F9" w:rsidP="00E927F9">
      <w:pPr>
        <w:numPr>
          <w:ilvl w:val="0"/>
          <w:numId w:val="23"/>
        </w:numPr>
        <w:spacing w:after="200" w:line="276" w:lineRule="auto"/>
        <w:rPr>
          <w:rFonts w:ascii="Arial" w:eastAsia="Calibri" w:hAnsi="Arial" w:cs="Arial"/>
          <w:bCs/>
          <w:color w:val="000000"/>
          <w:sz w:val="20"/>
          <w:szCs w:val="20"/>
        </w:rPr>
      </w:pPr>
      <w:r w:rsidRPr="00E927F9">
        <w:rPr>
          <w:rFonts w:ascii="Arial" w:eastAsia="Calibri" w:hAnsi="Arial" w:cs="Arial"/>
          <w:bCs/>
          <w:color w:val="000000"/>
          <w:sz w:val="20"/>
          <w:szCs w:val="20"/>
        </w:rPr>
        <w:t>The Cooperator will follow relevant guidelines within the Great Smoky Mountains National Park (GRSM) Data Delivery Standards and Specifications Template. This document provides guidance to the Cooperator to ensure that GRSM receives high quality data products. Relevant guidelines are identified in the Data Deliverables Checklist in consultation between the park Project Representative, the Data Manager, and the GIS Specialist. The Data Deliverable Checklist should be populated prior to the signing of the agreement and corresponding guidelines should be provided to the Cooperator by GRSM lead as soon as possible.</w:t>
      </w:r>
    </w:p>
    <w:p w:rsidR="00E927F9" w:rsidRPr="00E927F9" w:rsidRDefault="00E927F9" w:rsidP="00E927F9">
      <w:pPr>
        <w:spacing w:after="200" w:line="276" w:lineRule="auto"/>
        <w:rPr>
          <w:rFonts w:ascii="Arial" w:eastAsia="Calibri" w:hAnsi="Arial" w:cs="Arial"/>
          <w:b/>
          <w:bCs/>
          <w:color w:val="000000"/>
          <w:sz w:val="20"/>
          <w:szCs w:val="20"/>
        </w:rPr>
      </w:pPr>
    </w:p>
    <w:p w:rsidR="00E927F9" w:rsidRPr="00E927F9" w:rsidRDefault="00E927F9" w:rsidP="00E927F9">
      <w:pPr>
        <w:ind w:left="720" w:hanging="360"/>
        <w:contextualSpacing/>
        <w:outlineLvl w:val="2"/>
        <w:rPr>
          <w:rFonts w:ascii="Arial" w:eastAsia="Calibri" w:hAnsi="Arial" w:cs="Arial"/>
          <w:b/>
          <w:color w:val="000000"/>
          <w:sz w:val="20"/>
          <w:szCs w:val="20"/>
          <w:u w:val="single"/>
        </w:rPr>
      </w:pPr>
      <w:r w:rsidRPr="00E927F9">
        <w:rPr>
          <w:rFonts w:ascii="Arial" w:eastAsia="Calibri" w:hAnsi="Arial" w:cs="Arial"/>
          <w:b/>
          <w:color w:val="000000"/>
          <w:sz w:val="20"/>
          <w:szCs w:val="20"/>
        </w:rPr>
        <w:t>PROJECT MILESTONE(S):</w:t>
      </w:r>
      <w:r w:rsidRPr="00E927F9">
        <w:rPr>
          <w:rFonts w:ascii="Arial" w:eastAsia="Calibri" w:hAnsi="Arial" w:cs="Arial"/>
          <w:b/>
          <w:color w:val="000000"/>
          <w:sz w:val="20"/>
          <w:szCs w:val="20"/>
          <w:u w:val="single"/>
        </w:rPr>
        <w:t xml:space="preserve"> </w:t>
      </w:r>
    </w:p>
    <w:p w:rsidR="00E927F9" w:rsidRPr="00E927F9" w:rsidRDefault="00E927F9" w:rsidP="00E927F9">
      <w:pPr>
        <w:rPr>
          <w:rFonts w:ascii="Calibri" w:eastAsia="Calibri" w:hAnsi="Calibri"/>
          <w:color w:val="000000"/>
        </w:rPr>
      </w:pPr>
    </w:p>
    <w:p w:rsidR="00E927F9" w:rsidRPr="00E927F9" w:rsidRDefault="00E927F9" w:rsidP="00E927F9">
      <w:pPr>
        <w:ind w:left="360"/>
        <w:rPr>
          <w:rFonts w:ascii="Arial" w:hAnsi="Arial" w:cs="Arial"/>
          <w:sz w:val="20"/>
          <w:szCs w:val="20"/>
        </w:rPr>
      </w:pPr>
      <w:r w:rsidRPr="00E927F9">
        <w:rPr>
          <w:rFonts w:ascii="Arial" w:hAnsi="Arial" w:cs="Arial"/>
          <w:sz w:val="20"/>
          <w:szCs w:val="20"/>
        </w:rPr>
        <w:lastRenderedPageBreak/>
        <w:t xml:space="preserve">The PI will provide quarterly reports outlining progress made towards each task at the end of each quarter.     </w:t>
      </w:r>
    </w:p>
    <w:p w:rsidR="00E927F9" w:rsidRPr="00E927F9" w:rsidRDefault="00E927F9" w:rsidP="00E927F9">
      <w:pPr>
        <w:ind w:left="360"/>
        <w:rPr>
          <w:rFonts w:ascii="Arial" w:hAnsi="Arial" w:cs="Arial"/>
          <w:sz w:val="20"/>
          <w:szCs w:val="20"/>
        </w:rPr>
      </w:pPr>
    </w:p>
    <w:tbl>
      <w:tblPr>
        <w:tblStyle w:val="TableGrid1"/>
        <w:tblW w:w="0" w:type="auto"/>
        <w:jc w:val="center"/>
        <w:tblLook w:val="04A0" w:firstRow="1" w:lastRow="0" w:firstColumn="1" w:lastColumn="0" w:noHBand="0" w:noVBand="1"/>
      </w:tblPr>
      <w:tblGrid>
        <w:gridCol w:w="761"/>
        <w:gridCol w:w="572"/>
        <w:gridCol w:w="505"/>
        <w:gridCol w:w="605"/>
        <w:gridCol w:w="650"/>
        <w:gridCol w:w="550"/>
        <w:gridCol w:w="594"/>
        <w:gridCol w:w="583"/>
        <w:gridCol w:w="561"/>
        <w:gridCol w:w="572"/>
        <w:gridCol w:w="572"/>
        <w:gridCol w:w="561"/>
        <w:gridCol w:w="606"/>
        <w:gridCol w:w="572"/>
      </w:tblGrid>
      <w:tr w:rsidR="00E927F9" w:rsidRPr="00E927F9" w:rsidTr="00966C15">
        <w:trPr>
          <w:jc w:val="center"/>
        </w:trPr>
        <w:tc>
          <w:tcPr>
            <w:tcW w:w="0" w:type="auto"/>
            <w:vMerge w:val="restart"/>
            <w:tcBorders>
              <w:right w:val="single" w:sz="12" w:space="0" w:color="auto"/>
            </w:tcBorders>
            <w:vAlign w:val="bottom"/>
          </w:tcPr>
          <w:p w:rsidR="00E927F9" w:rsidRPr="00E927F9" w:rsidRDefault="00E927F9" w:rsidP="00E927F9">
            <w:pPr>
              <w:tabs>
                <w:tab w:val="left" w:pos="0"/>
              </w:tabs>
              <w:rPr>
                <w:rFonts w:ascii="Arial" w:hAnsi="Arial" w:cs="Arial"/>
                <w:b/>
                <w:bCs/>
                <w:sz w:val="20"/>
                <w:szCs w:val="20"/>
              </w:rPr>
            </w:pPr>
            <w:r w:rsidRPr="00E927F9">
              <w:rPr>
                <w:rFonts w:ascii="Arial" w:hAnsi="Arial" w:cs="Arial"/>
                <w:b/>
                <w:bCs/>
                <w:sz w:val="20"/>
                <w:szCs w:val="20"/>
              </w:rPr>
              <w:t>TASK</w:t>
            </w:r>
          </w:p>
        </w:tc>
        <w:tc>
          <w:tcPr>
            <w:tcW w:w="0" w:type="auto"/>
            <w:gridSpan w:val="13"/>
          </w:tcPr>
          <w:p w:rsidR="00E927F9" w:rsidRPr="00E927F9" w:rsidRDefault="00E927F9" w:rsidP="00E927F9">
            <w:pPr>
              <w:tabs>
                <w:tab w:val="left" w:pos="0"/>
              </w:tabs>
              <w:jc w:val="center"/>
              <w:rPr>
                <w:rFonts w:ascii="Arial" w:hAnsi="Arial" w:cs="Arial"/>
                <w:bCs/>
                <w:sz w:val="20"/>
                <w:szCs w:val="20"/>
              </w:rPr>
            </w:pPr>
            <w:r w:rsidRPr="00E927F9">
              <w:rPr>
                <w:rFonts w:ascii="Arial" w:hAnsi="Arial" w:cs="Arial"/>
                <w:b/>
                <w:bCs/>
                <w:sz w:val="20"/>
                <w:szCs w:val="20"/>
              </w:rPr>
              <w:t xml:space="preserve">Month </w:t>
            </w:r>
            <w:r w:rsidRPr="00E927F9">
              <w:rPr>
                <w:rFonts w:ascii="Arial" w:hAnsi="Arial" w:cs="Arial"/>
                <w:bCs/>
                <w:sz w:val="20"/>
                <w:szCs w:val="20"/>
              </w:rPr>
              <w:t>(</w:t>
            </w:r>
            <w:r w:rsidRPr="00E927F9">
              <w:rPr>
                <w:rFonts w:ascii="Arial" w:hAnsi="Arial" w:cs="Arial"/>
                <w:bCs/>
                <w:i/>
                <w:sz w:val="20"/>
                <w:szCs w:val="20"/>
              </w:rPr>
              <w:t>Tasks start June 18, 2016 and end June 17, 2017</w:t>
            </w:r>
            <w:r w:rsidRPr="00E927F9">
              <w:rPr>
                <w:rFonts w:ascii="Arial" w:hAnsi="Arial" w:cs="Arial"/>
                <w:bCs/>
                <w:sz w:val="20"/>
                <w:szCs w:val="20"/>
              </w:rPr>
              <w:t>)</w:t>
            </w:r>
          </w:p>
        </w:tc>
      </w:tr>
      <w:tr w:rsidR="00E927F9" w:rsidRPr="00E927F9" w:rsidTr="00966C15">
        <w:trPr>
          <w:jc w:val="center"/>
        </w:trPr>
        <w:tc>
          <w:tcPr>
            <w:tcW w:w="0" w:type="auto"/>
            <w:vMerge/>
            <w:tcBorders>
              <w:bottom w:val="single" w:sz="12" w:space="0" w:color="auto"/>
              <w:right w:val="single" w:sz="12" w:space="0" w:color="auto"/>
            </w:tcBorders>
          </w:tcPr>
          <w:p w:rsidR="00E927F9" w:rsidRPr="00E927F9" w:rsidRDefault="00E927F9" w:rsidP="00E927F9">
            <w:pPr>
              <w:tabs>
                <w:tab w:val="left" w:pos="0"/>
              </w:tabs>
              <w:rPr>
                <w:rFonts w:ascii="Arial" w:hAnsi="Arial" w:cs="Arial"/>
                <w:b/>
                <w:bCs/>
                <w:sz w:val="20"/>
                <w:szCs w:val="20"/>
              </w:rPr>
            </w:pPr>
          </w:p>
        </w:tc>
        <w:tc>
          <w:tcPr>
            <w:tcW w:w="0" w:type="auto"/>
            <w:tcBorders>
              <w:bottom w:val="single" w:sz="12" w:space="0" w:color="auto"/>
              <w:right w:val="single" w:sz="4"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Jun</w:t>
            </w:r>
          </w:p>
        </w:tc>
        <w:tc>
          <w:tcPr>
            <w:tcW w:w="0" w:type="auto"/>
            <w:tcBorders>
              <w:left w:val="single" w:sz="4" w:space="0" w:color="auto"/>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Jul</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Aug</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Sept</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Oct</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Nov</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Dec</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Jan</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Feb</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Mar</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Apr</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May</w:t>
            </w:r>
          </w:p>
        </w:tc>
        <w:tc>
          <w:tcPr>
            <w:tcW w:w="0" w:type="auto"/>
            <w:tcBorders>
              <w:bottom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Jun</w:t>
            </w:r>
          </w:p>
        </w:tc>
      </w:tr>
      <w:tr w:rsidR="00E927F9" w:rsidRPr="00E927F9" w:rsidTr="00966C15">
        <w:trPr>
          <w:jc w:val="center"/>
        </w:trPr>
        <w:tc>
          <w:tcPr>
            <w:tcW w:w="0" w:type="auto"/>
            <w:tcBorders>
              <w:top w:val="single" w:sz="12" w:space="0" w:color="auto"/>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1</w:t>
            </w:r>
          </w:p>
        </w:tc>
        <w:tc>
          <w:tcPr>
            <w:tcW w:w="0" w:type="auto"/>
            <w:tcBorders>
              <w:top w:val="single" w:sz="12" w:space="0" w:color="auto"/>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c>
          <w:tcPr>
            <w:tcW w:w="0" w:type="auto"/>
            <w:tcBorders>
              <w:top w:val="single" w:sz="12"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r w:rsidRPr="00E927F9">
              <w:rPr>
                <w:rFonts w:ascii="Arial" w:hAnsi="Arial" w:cs="Arial"/>
                <w:bCs/>
                <w:sz w:val="20"/>
                <w:szCs w:val="20"/>
              </w:rPr>
              <w:t xml:space="preserve"> </w:t>
            </w:r>
          </w:p>
        </w:tc>
        <w:tc>
          <w:tcPr>
            <w:tcW w:w="0" w:type="auto"/>
            <w:tcBorders>
              <w:top w:val="single" w:sz="12" w:space="0" w:color="auto"/>
            </w:tcBorders>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2</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3</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4</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5</w:t>
            </w:r>
          </w:p>
        </w:tc>
        <w:tc>
          <w:tcPr>
            <w:tcW w:w="0" w:type="auto"/>
            <w:tcBorders>
              <w:right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auto"/>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6</w:t>
            </w:r>
          </w:p>
        </w:tc>
        <w:tc>
          <w:tcPr>
            <w:tcW w:w="0" w:type="auto"/>
            <w:tcBorders>
              <w:right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auto"/>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7</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auto"/>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8</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bottom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r>
      <w:tr w:rsidR="00E927F9" w:rsidRPr="00E927F9" w:rsidTr="00966C15">
        <w:trPr>
          <w:jc w:val="center"/>
        </w:trPr>
        <w:tc>
          <w:tcPr>
            <w:tcW w:w="0" w:type="auto"/>
            <w:tcBorders>
              <w:right w:val="single" w:sz="12" w:space="0" w:color="auto"/>
            </w:tcBorders>
          </w:tcPr>
          <w:p w:rsidR="00E927F9" w:rsidRPr="00E927F9" w:rsidRDefault="00E927F9" w:rsidP="00E927F9">
            <w:pPr>
              <w:tabs>
                <w:tab w:val="left" w:pos="0"/>
              </w:tabs>
              <w:jc w:val="center"/>
              <w:rPr>
                <w:rFonts w:ascii="Arial" w:hAnsi="Arial" w:cs="Arial"/>
                <w:b/>
                <w:bCs/>
                <w:sz w:val="20"/>
                <w:szCs w:val="20"/>
              </w:rPr>
            </w:pPr>
            <w:r w:rsidRPr="00E927F9">
              <w:rPr>
                <w:rFonts w:ascii="Arial" w:hAnsi="Arial" w:cs="Arial"/>
                <w:b/>
                <w:bCs/>
                <w:sz w:val="20"/>
                <w:szCs w:val="20"/>
              </w:rPr>
              <w:t>9</w:t>
            </w:r>
          </w:p>
        </w:tc>
        <w:tc>
          <w:tcPr>
            <w:tcW w:w="0" w:type="auto"/>
            <w:tcBorders>
              <w:righ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tcBorders>
              <w:left w:val="single" w:sz="4" w:space="0" w:color="auto"/>
            </w:tcBorders>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c>
          <w:tcPr>
            <w:tcW w:w="0" w:type="auto"/>
            <w:shd w:val="clear" w:color="auto" w:fill="BFBFBF" w:themeFill="background1" w:themeFillShade="BF"/>
          </w:tcPr>
          <w:p w:rsidR="00E927F9" w:rsidRPr="00E927F9" w:rsidRDefault="00E927F9" w:rsidP="00E927F9">
            <w:pPr>
              <w:tabs>
                <w:tab w:val="left" w:pos="0"/>
              </w:tabs>
              <w:rPr>
                <w:rFonts w:ascii="Arial" w:hAnsi="Arial" w:cs="Arial"/>
                <w:bCs/>
                <w:sz w:val="20"/>
                <w:szCs w:val="20"/>
              </w:rPr>
            </w:pPr>
          </w:p>
        </w:tc>
      </w:tr>
    </w:tbl>
    <w:p w:rsidR="00E927F9" w:rsidRPr="00E927F9" w:rsidRDefault="00E927F9" w:rsidP="00E927F9">
      <w:pPr>
        <w:ind w:left="360"/>
        <w:rPr>
          <w:rFonts w:ascii="Arial" w:hAnsi="Arial" w:cs="Arial"/>
          <w:sz w:val="20"/>
          <w:szCs w:val="20"/>
        </w:rPr>
      </w:pPr>
    </w:p>
    <w:p w:rsidR="00E927F9" w:rsidRPr="00E927F9" w:rsidRDefault="00E927F9" w:rsidP="00E927F9">
      <w:pPr>
        <w:ind w:left="360"/>
        <w:rPr>
          <w:rFonts w:ascii="Arial" w:hAnsi="Arial" w:cs="Arial"/>
          <w:sz w:val="20"/>
          <w:szCs w:val="20"/>
        </w:rPr>
      </w:pPr>
    </w:p>
    <w:p w:rsidR="00E927F9" w:rsidRPr="00E927F9" w:rsidRDefault="00E927F9" w:rsidP="00E927F9">
      <w:pPr>
        <w:ind w:left="360"/>
        <w:rPr>
          <w:rFonts w:ascii="Arial" w:hAnsi="Arial" w:cs="Arial"/>
          <w:sz w:val="20"/>
          <w:szCs w:val="20"/>
        </w:rPr>
      </w:pPr>
    </w:p>
    <w:p w:rsidR="00E927F9" w:rsidRPr="00E927F9" w:rsidRDefault="00E927F9" w:rsidP="00E927F9">
      <w:pPr>
        <w:ind w:left="72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PROJECT SCHEDULE:   June 18, 2016 to June 17, 2017</w:t>
      </w:r>
    </w:p>
    <w:p w:rsidR="00E927F9" w:rsidRPr="00E927F9" w:rsidRDefault="00E927F9" w:rsidP="00E927F9">
      <w:pPr>
        <w:rPr>
          <w:rFonts w:ascii="Calibri" w:eastAsia="Calibri" w:hAnsi="Calibri"/>
          <w:color w:val="000000"/>
        </w:rPr>
      </w:pPr>
    </w:p>
    <w:p w:rsidR="00E927F9" w:rsidRPr="00E927F9" w:rsidRDefault="00E927F9" w:rsidP="00E927F9">
      <w:pPr>
        <w:ind w:left="720" w:hanging="360"/>
        <w:contextualSpacing/>
        <w:outlineLvl w:val="2"/>
        <w:rPr>
          <w:rFonts w:ascii="Arial" w:eastAsia="Calibri" w:hAnsi="Arial" w:cs="Arial"/>
          <w:b/>
          <w:color w:val="000000"/>
          <w:sz w:val="20"/>
          <w:szCs w:val="20"/>
        </w:rPr>
      </w:pPr>
      <w:r w:rsidRPr="00E927F9">
        <w:rPr>
          <w:rFonts w:ascii="Arial" w:eastAsia="Calibri" w:hAnsi="Arial" w:cs="Arial"/>
          <w:b/>
          <w:color w:val="000000"/>
          <w:sz w:val="20"/>
          <w:szCs w:val="20"/>
        </w:rPr>
        <w:t>CONTACT INFORMATION:</w:t>
      </w:r>
    </w:p>
    <w:p w:rsidR="00E927F9" w:rsidRPr="00E927F9" w:rsidRDefault="00E927F9" w:rsidP="00E927F9">
      <w:pPr>
        <w:rPr>
          <w:rFonts w:ascii="Calibri" w:eastAsia="Calibri" w:hAnsi="Calibri"/>
          <w:color w:val="000000"/>
        </w:rPr>
      </w:pPr>
    </w:p>
    <w:p w:rsidR="00E927F9" w:rsidRPr="00E927F9" w:rsidRDefault="00E927F9" w:rsidP="00E927F9">
      <w:pPr>
        <w:ind w:left="720"/>
        <w:rPr>
          <w:rFonts w:ascii="Arial" w:eastAsia="Calibri" w:hAnsi="Arial" w:cs="Arial"/>
          <w:color w:val="000000"/>
          <w:sz w:val="20"/>
          <w:szCs w:val="20"/>
        </w:rPr>
      </w:pPr>
      <w:r w:rsidRPr="00E927F9">
        <w:rPr>
          <w:rFonts w:ascii="Arial" w:eastAsia="Calibri" w:hAnsi="Arial" w:cs="Arial"/>
          <w:color w:val="000000"/>
          <w:sz w:val="20"/>
          <w:szCs w:val="20"/>
        </w:rPr>
        <w:t>Agreements Technical Representative</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Calibri" w:hAnsi="Arial" w:cs="Arial"/>
          <w:b/>
          <w:color w:val="000000"/>
          <w:sz w:val="20"/>
        </w:rPr>
      </w:pPr>
      <w:r w:rsidRPr="00E927F9">
        <w:rPr>
          <w:rFonts w:ascii="Arial" w:eastAsia="Calibri" w:hAnsi="Arial" w:cs="Arial"/>
          <w:b/>
          <w:color w:val="000000"/>
          <w:sz w:val="20"/>
        </w:rPr>
        <w:tab/>
      </w:r>
      <w:r w:rsidRPr="00E927F9">
        <w:rPr>
          <w:rFonts w:ascii="Arial" w:eastAsia="Calibri" w:hAnsi="Arial" w:cs="Arial"/>
          <w:b/>
          <w:color w:val="000000"/>
          <w:sz w:val="20"/>
        </w:rPr>
        <w:tab/>
        <w:t xml:space="preserve">Matt </w:t>
      </w:r>
      <w:proofErr w:type="spellStart"/>
      <w:r w:rsidRPr="00E927F9">
        <w:rPr>
          <w:rFonts w:ascii="Arial" w:eastAsia="Calibri" w:hAnsi="Arial" w:cs="Arial"/>
          <w:b/>
          <w:color w:val="000000"/>
          <w:sz w:val="20"/>
        </w:rPr>
        <w:t>Kulp</w:t>
      </w:r>
      <w:proofErr w:type="spellEnd"/>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Calibri" w:hAnsi="Arial" w:cs="Arial"/>
          <w:color w:val="000000"/>
          <w:sz w:val="20"/>
        </w:rPr>
      </w:pPr>
      <w:r w:rsidRPr="00E927F9">
        <w:rPr>
          <w:rFonts w:ascii="Arial" w:eastAsia="Calibri" w:hAnsi="Arial" w:cs="Arial"/>
          <w:b/>
          <w:color w:val="000000"/>
          <w:sz w:val="20"/>
        </w:rPr>
        <w:tab/>
      </w:r>
      <w:r w:rsidRPr="00E927F9">
        <w:rPr>
          <w:rFonts w:ascii="Arial" w:eastAsia="Calibri" w:hAnsi="Arial" w:cs="Arial"/>
          <w:b/>
          <w:color w:val="000000"/>
          <w:sz w:val="20"/>
        </w:rPr>
        <w:tab/>
      </w:r>
      <w:r w:rsidRPr="00E927F9">
        <w:rPr>
          <w:rFonts w:ascii="Arial" w:eastAsia="Calibri" w:hAnsi="Arial" w:cs="Arial"/>
          <w:color w:val="000000"/>
          <w:sz w:val="20"/>
        </w:rPr>
        <w:t>Fishery Biologist</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Calibri" w:hAnsi="Arial" w:cs="Arial"/>
          <w:color w:val="000000"/>
          <w:sz w:val="20"/>
        </w:rPr>
      </w:pPr>
      <w:r w:rsidRPr="00E927F9">
        <w:rPr>
          <w:rFonts w:ascii="Arial" w:eastAsia="Calibri" w:hAnsi="Arial" w:cs="Arial"/>
          <w:color w:val="000000"/>
          <w:sz w:val="20"/>
        </w:rPr>
        <w:t>Great Smoky Mountains National Park</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Calibri" w:hAnsi="Arial" w:cs="Arial"/>
          <w:color w:val="000000"/>
          <w:sz w:val="20"/>
        </w:rPr>
      </w:pPr>
      <w:r w:rsidRPr="00E927F9">
        <w:rPr>
          <w:rFonts w:ascii="Arial" w:eastAsia="Calibri" w:hAnsi="Arial" w:cs="Arial"/>
          <w:color w:val="000000"/>
          <w:sz w:val="20"/>
        </w:rPr>
        <w:t>107 Park Headquarters Road</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ind w:left="720"/>
        <w:jc w:val="both"/>
        <w:rPr>
          <w:rFonts w:ascii="Arial" w:eastAsia="Calibri" w:hAnsi="Arial" w:cs="Arial"/>
          <w:color w:val="000000"/>
          <w:sz w:val="20"/>
        </w:rPr>
      </w:pPr>
      <w:r w:rsidRPr="00E927F9">
        <w:rPr>
          <w:rFonts w:ascii="Arial" w:eastAsia="Calibri" w:hAnsi="Arial" w:cs="Arial"/>
          <w:color w:val="000000"/>
          <w:sz w:val="20"/>
        </w:rPr>
        <w:t>Gatlinburg, TN 37738-4102</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Calibri" w:hAnsi="Arial" w:cs="Arial"/>
          <w:color w:val="000000"/>
          <w:sz w:val="20"/>
        </w:rPr>
      </w:pPr>
      <w:r w:rsidRPr="00E927F9">
        <w:rPr>
          <w:rFonts w:ascii="Arial" w:eastAsia="Calibri" w:hAnsi="Arial" w:cs="Arial"/>
          <w:color w:val="000000"/>
          <w:sz w:val="20"/>
        </w:rPr>
        <w:tab/>
      </w:r>
      <w:r w:rsidRPr="00E927F9">
        <w:rPr>
          <w:rFonts w:ascii="Arial" w:eastAsia="Calibri" w:hAnsi="Arial" w:cs="Arial"/>
          <w:color w:val="000000"/>
          <w:sz w:val="20"/>
        </w:rPr>
        <w:tab/>
        <w:t>865-436-1254</w:t>
      </w:r>
    </w:p>
    <w:p w:rsidR="00E927F9" w:rsidRPr="00E927F9" w:rsidRDefault="00E927F9" w:rsidP="00E927F9">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line="276" w:lineRule="auto"/>
        <w:jc w:val="both"/>
        <w:rPr>
          <w:rFonts w:ascii="Arial" w:eastAsia="Calibri" w:hAnsi="Arial" w:cs="Arial"/>
          <w:color w:val="000000"/>
          <w:sz w:val="20"/>
        </w:rPr>
      </w:pPr>
      <w:r w:rsidRPr="00E927F9">
        <w:rPr>
          <w:rFonts w:ascii="Arial" w:eastAsia="Calibri" w:hAnsi="Arial" w:cs="Arial"/>
          <w:color w:val="000000"/>
          <w:sz w:val="20"/>
        </w:rPr>
        <w:tab/>
      </w:r>
      <w:r w:rsidRPr="00E927F9">
        <w:rPr>
          <w:rFonts w:ascii="Arial" w:eastAsia="Calibri" w:hAnsi="Arial" w:cs="Arial"/>
          <w:color w:val="000000"/>
          <w:sz w:val="20"/>
        </w:rPr>
        <w:tab/>
      </w:r>
      <w:hyperlink r:id="rId11" w:history="1">
        <w:r w:rsidRPr="00E927F9">
          <w:rPr>
            <w:rFonts w:ascii="Arial" w:eastAsia="Calibri" w:hAnsi="Arial" w:cs="Arial"/>
            <w:color w:val="0000FF"/>
            <w:sz w:val="20"/>
            <w:u w:val="single"/>
          </w:rPr>
          <w:t>Matt_Kulp@nps.gov</w:t>
        </w:r>
      </w:hyperlink>
      <w:r w:rsidRPr="00E927F9">
        <w:rPr>
          <w:rFonts w:ascii="Arial" w:eastAsia="Calibri" w:hAnsi="Arial" w:cs="Arial"/>
          <w:color w:val="000000"/>
          <w:sz w:val="20"/>
        </w:rPr>
        <w:t xml:space="preserve"> </w:t>
      </w:r>
    </w:p>
    <w:p w:rsidR="00A2008C" w:rsidRDefault="00A2008C" w:rsidP="00D01012">
      <w:pPr>
        <w:jc w:val="center"/>
        <w:rPr>
          <w:b/>
        </w:rPr>
      </w:pPr>
      <w:bookmarkStart w:id="2" w:name="_GoBack"/>
      <w:bookmarkEnd w:id="2"/>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3C2" w:rsidRDefault="001E03C2">
      <w:r>
        <w:separator/>
      </w:r>
    </w:p>
  </w:endnote>
  <w:endnote w:type="continuationSeparator" w:id="0">
    <w:p w:rsidR="001E03C2" w:rsidRDefault="001E0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3C2" w:rsidRDefault="001E03C2">
      <w:r>
        <w:separator/>
      </w:r>
    </w:p>
  </w:footnote>
  <w:footnote w:type="continuationSeparator" w:id="0">
    <w:p w:rsidR="001E03C2" w:rsidRDefault="001E0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232"/>
    <w:multiLevelType w:val="hybridMultilevel"/>
    <w:tmpl w:val="0CB83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6065D1"/>
    <w:multiLevelType w:val="hybridMultilevel"/>
    <w:tmpl w:val="7D8492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587D09DB"/>
    <w:multiLevelType w:val="hybridMultilevel"/>
    <w:tmpl w:val="9B9C2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8D91FC3"/>
    <w:multiLevelType w:val="hybridMultilevel"/>
    <w:tmpl w:val="6AEEA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1"/>
  </w:num>
  <w:num w:numId="4">
    <w:abstractNumId w:val="9"/>
  </w:num>
  <w:num w:numId="5">
    <w:abstractNumId w:val="7"/>
  </w:num>
  <w:num w:numId="6">
    <w:abstractNumId w:val="19"/>
  </w:num>
  <w:num w:numId="7">
    <w:abstractNumId w:val="16"/>
  </w:num>
  <w:num w:numId="8">
    <w:abstractNumId w:val="21"/>
  </w:num>
  <w:num w:numId="9">
    <w:abstractNumId w:val="14"/>
  </w:num>
  <w:num w:numId="10">
    <w:abstractNumId w:val="4"/>
  </w:num>
  <w:num w:numId="11">
    <w:abstractNumId w:val="18"/>
  </w:num>
  <w:num w:numId="12">
    <w:abstractNumId w:val="12"/>
  </w:num>
  <w:num w:numId="13">
    <w:abstractNumId w:val="13"/>
  </w:num>
  <w:num w:numId="14">
    <w:abstractNumId w:val="6"/>
  </w:num>
  <w:num w:numId="15">
    <w:abstractNumId w:val="8"/>
  </w:num>
  <w:num w:numId="16">
    <w:abstractNumId w:val="22"/>
  </w:num>
  <w:num w:numId="17">
    <w:abstractNumId w:val="11"/>
  </w:num>
  <w:num w:numId="18">
    <w:abstractNumId w:val="2"/>
  </w:num>
  <w:num w:numId="19">
    <w:abstractNumId w:val="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5C65"/>
    <w:rsid w:val="00035E8C"/>
    <w:rsid w:val="00036CE0"/>
    <w:rsid w:val="00044EEE"/>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C065D"/>
    <w:rsid w:val="001D346B"/>
    <w:rsid w:val="001D3783"/>
    <w:rsid w:val="001E03C2"/>
    <w:rsid w:val="001E6E4D"/>
    <w:rsid w:val="001F02C5"/>
    <w:rsid w:val="00211C60"/>
    <w:rsid w:val="002217C8"/>
    <w:rsid w:val="00224391"/>
    <w:rsid w:val="0022492A"/>
    <w:rsid w:val="00233758"/>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152D"/>
    <w:rsid w:val="003228AE"/>
    <w:rsid w:val="003253A8"/>
    <w:rsid w:val="0032626F"/>
    <w:rsid w:val="00342F19"/>
    <w:rsid w:val="00350940"/>
    <w:rsid w:val="00367A5E"/>
    <w:rsid w:val="00377845"/>
    <w:rsid w:val="003A0787"/>
    <w:rsid w:val="003A7E67"/>
    <w:rsid w:val="003C67D0"/>
    <w:rsid w:val="003D0330"/>
    <w:rsid w:val="003D0A06"/>
    <w:rsid w:val="003D2508"/>
    <w:rsid w:val="003E027C"/>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0EC"/>
    <w:rsid w:val="0053163A"/>
    <w:rsid w:val="0054091C"/>
    <w:rsid w:val="00564708"/>
    <w:rsid w:val="00570CE3"/>
    <w:rsid w:val="00582B57"/>
    <w:rsid w:val="005964C3"/>
    <w:rsid w:val="00596F94"/>
    <w:rsid w:val="005A74F4"/>
    <w:rsid w:val="005C37A7"/>
    <w:rsid w:val="005C5E43"/>
    <w:rsid w:val="005D54A5"/>
    <w:rsid w:val="005D6616"/>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2CBC"/>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751B4"/>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D51DF"/>
    <w:rsid w:val="009E139D"/>
    <w:rsid w:val="009E57B9"/>
    <w:rsid w:val="00A104EF"/>
    <w:rsid w:val="00A12E34"/>
    <w:rsid w:val="00A15F0D"/>
    <w:rsid w:val="00A2008C"/>
    <w:rsid w:val="00A20492"/>
    <w:rsid w:val="00A33F59"/>
    <w:rsid w:val="00A42E70"/>
    <w:rsid w:val="00A566F8"/>
    <w:rsid w:val="00A63526"/>
    <w:rsid w:val="00A70A8B"/>
    <w:rsid w:val="00A75EE3"/>
    <w:rsid w:val="00A85818"/>
    <w:rsid w:val="00AA1940"/>
    <w:rsid w:val="00AB165E"/>
    <w:rsid w:val="00AC651F"/>
    <w:rsid w:val="00AE2260"/>
    <w:rsid w:val="00AE2409"/>
    <w:rsid w:val="00AE25B8"/>
    <w:rsid w:val="00AE7038"/>
    <w:rsid w:val="00AE7E29"/>
    <w:rsid w:val="00AF645E"/>
    <w:rsid w:val="00B11A0B"/>
    <w:rsid w:val="00B25D34"/>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5D2"/>
    <w:rsid w:val="00D23D05"/>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D2CA4"/>
    <w:rsid w:val="00DE549B"/>
    <w:rsid w:val="00DF0040"/>
    <w:rsid w:val="00DF700E"/>
    <w:rsid w:val="00E06259"/>
    <w:rsid w:val="00E23335"/>
    <w:rsid w:val="00E32C72"/>
    <w:rsid w:val="00E341C5"/>
    <w:rsid w:val="00E35038"/>
    <w:rsid w:val="00E66D66"/>
    <w:rsid w:val="00E70EBA"/>
    <w:rsid w:val="00E76784"/>
    <w:rsid w:val="00E927F9"/>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 w:type="table" w:customStyle="1" w:styleId="TableGrid2">
    <w:name w:val="Table Grid2"/>
    <w:basedOn w:val="TableNormal"/>
    <w:next w:val="TableGrid"/>
    <w:uiPriority w:val="59"/>
    <w:rsid w:val="00E927F9"/>
    <w:rPr>
      <w:rFonts w:ascii="Calibri" w:eastAsia="Calibri" w:hAnsi="Calibri" w:cs="Calibri"/>
      <w:color w:val="00000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3">
    <w:name w:val="heading 3"/>
    <w:basedOn w:val="Normal"/>
    <w:next w:val="Normal"/>
    <w:link w:val="Heading3Char"/>
    <w:semiHidden/>
    <w:unhideWhenUsed/>
    <w:qFormat/>
    <w:locked/>
    <w:rsid w:val="009D51D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9D51DF"/>
    <w:rPr>
      <w:rFonts w:asciiTheme="majorHAnsi" w:eastAsiaTheme="majorEastAsia" w:hAnsiTheme="majorHAnsi" w:cstheme="majorBidi"/>
      <w:b/>
      <w:bCs/>
      <w:color w:val="4F81BD" w:themeColor="accent1"/>
      <w:sz w:val="24"/>
      <w:szCs w:val="24"/>
    </w:rPr>
  </w:style>
  <w:style w:type="table" w:customStyle="1" w:styleId="TableGrid2">
    <w:name w:val="Table Grid2"/>
    <w:basedOn w:val="TableNormal"/>
    <w:next w:val="TableGrid"/>
    <w:uiPriority w:val="59"/>
    <w:rsid w:val="00E927F9"/>
    <w:rPr>
      <w:rFonts w:ascii="Calibri" w:eastAsia="Calibri" w:hAnsi="Calibri" w:cs="Calibri"/>
      <w:color w:val="00000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659532776">
      <w:bodyDiv w:val="1"/>
      <w:marLeft w:val="0"/>
      <w:marRight w:val="0"/>
      <w:marTop w:val="0"/>
      <w:marBottom w:val="0"/>
      <w:divBdr>
        <w:top w:val="none" w:sz="0" w:space="0" w:color="auto"/>
        <w:left w:val="none" w:sz="0" w:space="0" w:color="auto"/>
        <w:bottom w:val="none" w:sz="0" w:space="0" w:color="auto"/>
        <w:right w:val="none" w:sz="0" w:space="0" w:color="auto"/>
      </w:divBdr>
    </w:div>
    <w:div w:id="17956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tt_Kulp@nps.gov" TargetMode="External"/><Relationship Id="rId5" Type="http://schemas.openxmlformats.org/officeDocument/2006/relationships/webSettings" Target="webSettings.xml"/><Relationship Id="rId10" Type="http://schemas.openxmlformats.org/officeDocument/2006/relationships/hyperlink" Target="mailto:jschwart@utk.ed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2206</Words>
  <Characters>12578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Ray Albright</cp:lastModifiedBy>
  <cp:revision>5</cp:revision>
  <cp:lastPrinted>2011-06-08T14:48:00Z</cp:lastPrinted>
  <dcterms:created xsi:type="dcterms:W3CDTF">2015-11-20T19:08:00Z</dcterms:created>
  <dcterms:modified xsi:type="dcterms:W3CDTF">2016-06-07T15:12:00Z</dcterms:modified>
</cp:coreProperties>
</file>