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9 -->
  <w:body>
    <w:p w14:paraId="4B554F3E" w14:textId="77777777">
      <w:pPr>
        <w:jc w:val="center"/>
        <w:rPr>
          <w:rFonts w:ascii="Times New Roman" w:eastAsia="Times New Roman" w:hAnsi="Times New Roman" w:cs="Times New Roman"/>
          <w:color w:val="auto"/>
          <w:szCs w:val="24"/>
        </w:rPr>
      </w:pPr>
      <w:r>
        <w:rPr>
          <w:rFonts w:ascii="Times New Roman" w:eastAsia="Times New Roman" w:hAnsi="Times New Roman" w:cs="Times New Roman"/>
          <w:b/>
          <w:bCs/>
          <w:color w:val="auto"/>
          <w:sz w:val="27"/>
          <w:szCs w:val="27"/>
        </w:rPr>
        <w:t>Bureau of Ocean Energy Management</w:t>
      </w:r>
      <w:r>
        <w:rPr>
          <w:rFonts w:ascii="Times New Roman" w:eastAsia="Times New Roman" w:hAnsi="Times New Roman" w:cs="Times New Roman"/>
          <w:b/>
          <w:bCs/>
          <w:color w:val="auto"/>
          <w:sz w:val="27"/>
          <w:szCs w:val="27"/>
        </w:rPr>
        <w:br/>
      </w:r>
      <w:r>
        <w:rPr>
          <w:rFonts w:ascii="Times New Roman" w:eastAsia="Times New Roman" w:hAnsi="Times New Roman" w:cs="Times New Roman"/>
          <w:b/>
          <w:bCs/>
          <w:color w:val="auto"/>
          <w:sz w:val="27"/>
          <w:szCs w:val="27"/>
        </w:rPr>
        <w:br/>
      </w:r>
      <w:r>
        <w:rPr>
          <w:rFonts w:ascii="Times" w:eastAsia="Times" w:hAnsi="Times" w:cs="Times"/>
          <w:b w:val="0"/>
          <w:bCs w:val="0"/>
          <w:color w:val="auto"/>
          <w:szCs w:val="24"/>
        </w:rPr>
        <w:t>BOEM - Acquisition Policy and Financial Assistance</w:t>
      </w:r>
      <w:r>
        <w:rPr>
          <w:rFonts w:ascii="Times" w:eastAsia="Times" w:hAnsi="Times" w:cs="Times"/>
          <w:b w:val="0"/>
          <w:bCs w:val="0"/>
          <w:color w:val="auto"/>
          <w:szCs w:val="24"/>
        </w:rPr>
        <w:br/>
      </w:r>
      <w:r>
        <w:rPr>
          <w:rFonts w:ascii="Times" w:eastAsia="Times" w:hAnsi="Times" w:cs="Times"/>
          <w:b w:val="0"/>
          <w:bCs w:val="0"/>
          <w:color w:val="auto"/>
          <w:szCs w:val="24"/>
        </w:rPr>
        <w:br/>
      </w:r>
      <w:r>
        <w:rPr>
          <w:rFonts w:ascii="Times" w:eastAsia="Times" w:hAnsi="Times" w:cs="Times"/>
          <w:b w:val="0"/>
          <w:bCs w:val="0"/>
          <w:color w:val="auto"/>
          <w:szCs w:val="24"/>
        </w:rPr>
        <w:t>2021</w:t>
      </w:r>
      <w:r>
        <w:rPr>
          <w:rFonts w:ascii="Times" w:eastAsia="Times" w:hAnsi="Times" w:cs="Times"/>
          <w:b w:val="0"/>
          <w:bCs w:val="0"/>
          <w:color w:val="auto"/>
          <w:szCs w:val="24"/>
        </w:rPr>
        <w:br/>
      </w:r>
      <w:r>
        <w:rPr>
          <w:rFonts w:ascii="Times" w:eastAsia="Times" w:hAnsi="Times" w:cs="Times"/>
          <w:b w:val="0"/>
          <w:bCs w:val="0"/>
          <w:color w:val="auto"/>
          <w:szCs w:val="24"/>
        </w:rPr>
        <w:t>M21AS00382</w:t>
      </w:r>
      <w:r>
        <w:rPr>
          <w:rFonts w:ascii="Times" w:eastAsia="Times" w:hAnsi="Times" w:cs="Times"/>
          <w:b w:val="0"/>
          <w:bCs w:val="0"/>
          <w:color w:val="auto"/>
          <w:szCs w:val="24"/>
        </w:rPr>
        <w:br/>
      </w:r>
      <w:r>
        <w:rPr>
          <w:rFonts w:ascii="Times" w:eastAsia="Times" w:hAnsi="Times" w:cs="Times"/>
          <w:b w:val="0"/>
          <w:bCs w:val="0"/>
          <w:color w:val="auto"/>
          <w:szCs w:val="24"/>
        </w:rPr>
        <w:t>06/14/2021</w:t>
      </w:r>
    </w:p>
    <w:p w:rsidR="007C1BCB" w:rsidRPr="00470374" w:rsidP="00470374">
      <w:pPr>
        <w:sectPr w:rsidSect="00F5197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bookmarkStart w:id="0" w:name="_GoBack"/>
      <w:bookmarkEnd w:id="0"/>
    </w:p>
    <w:p w:rsidP="00470374">
      <w:pPr>
        <w:pStyle w:val="MainHeading"/>
        <w:keepLines w:val="0"/>
        <w:spacing w:before="200" w:after="80"/>
        <w:ind w:left="0"/>
        <w:jc w:val="left"/>
        <w:rPr>
          <w:rFonts w:ascii="Times New Roman" w:eastAsia="Times New Roman" w:hAnsi="Times New Roman" w:cs="Times New Roman"/>
          <w:b/>
          <w:color w:val="000000"/>
          <w:sz w:val="32"/>
        </w:rPr>
      </w:pPr>
      <w:r>
        <w:rPr>
          <w:rFonts w:ascii="Times New Roman" w:eastAsia="Times New Roman" w:hAnsi="Times New Roman" w:cs="Times New Roman"/>
          <w:b/>
          <w:color w:val="000000"/>
          <w:sz w:val="32"/>
        </w:rPr>
        <w:t>Table of Contents</w:t>
      </w:r>
    </w:p>
    <w:p>
      <w:pPr>
        <w:pStyle w:val="TOC1"/>
        <w:tabs>
          <w:tab w:val="right" w:leader="dot" w:pos="9350"/>
        </w:tabs>
        <w:rPr>
          <w:rFonts w:asciiTheme="minorHAnsi" w:hAnsiTheme="minorHAnsi"/>
          <w:noProof/>
          <w:sz w:val="22"/>
        </w:rPr>
      </w:pPr>
      <w:r>
        <w:rPr>
          <w:rFonts w:ascii="Times New Roman" w:eastAsia="Times New Roman" w:hAnsi="Times New Roman" w:cs="Times New Roman"/>
          <w:b/>
          <w:color w:val="000000"/>
          <w:sz w:val="32"/>
        </w:rPr>
        <w:fldChar w:fldCharType="begin"/>
      </w:r>
      <w:r>
        <w:rPr>
          <w:rFonts w:ascii="Times New Roman" w:eastAsia="Times New Roman" w:hAnsi="Times New Roman" w:cs="Times New Roman"/>
          <w:b/>
          <w:color w:val="000000"/>
          <w:sz w:val="32"/>
        </w:rPr>
        <w:instrText>TOC \o "1-2" \h \z \u</w:instrText>
      </w:r>
      <w:r>
        <w:rPr>
          <w:rFonts w:ascii="Times New Roman" w:eastAsia="Times New Roman" w:hAnsi="Times New Roman" w:cs="Times New Roman"/>
          <w:b/>
          <w:color w:val="000000"/>
          <w:sz w:val="32"/>
        </w:rPr>
        <w:fldChar w:fldCharType="separate"/>
      </w:r>
      <w:hyperlink w:anchor="_Toc256000000" w:history="1">
        <w:r>
          <w:rPr>
            <w:rStyle w:val="Hyperlink"/>
            <w:rFonts w:cs="Times New Roman"/>
          </w:rPr>
          <w:t>A. Program Description</w:t>
        </w:r>
        <w:r>
          <w:tab/>
        </w:r>
        <w:r>
          <w:fldChar w:fldCharType="begin"/>
        </w:r>
        <w:r>
          <w:instrText xml:space="preserve"> PAGEREF _Toc256000000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01" w:history="1">
        <w:r>
          <w:rPr>
            <w:rStyle w:val="Hyperlink"/>
            <w:rFonts w:cs="Times New Roman"/>
          </w:rPr>
          <w:t>A1. Authority</w:t>
        </w:r>
        <w:r>
          <w:tab/>
        </w:r>
        <w:r>
          <w:fldChar w:fldCharType="begin"/>
        </w:r>
        <w:r>
          <w:instrText xml:space="preserve"> PAGEREF _Toc256000001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02" w:history="1">
        <w:r>
          <w:rPr>
            <w:rStyle w:val="Hyperlink"/>
            <w:rFonts w:cs="Times New Roman"/>
          </w:rPr>
          <w:t>A2. Background, Purpose and Program Requirements</w:t>
        </w:r>
        <w:r>
          <w:tab/>
        </w:r>
        <w:r>
          <w:fldChar w:fldCharType="begin"/>
        </w:r>
        <w:r>
          <w:instrText xml:space="preserve"> PAGEREF _Toc256000002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03" w:history="1">
        <w:r>
          <w:rPr>
            <w:rStyle w:val="Hyperlink"/>
            <w:rFonts w:cs="Times New Roman"/>
          </w:rPr>
          <w:t>A3. Technical Assistance and Information for Prospective Applicants</w:t>
        </w:r>
        <w:r>
          <w:tab/>
        </w:r>
        <w:r>
          <w:fldChar w:fldCharType="begin"/>
        </w:r>
        <w:r>
          <w:instrText xml:space="preserve"> PAGEREF _Toc256000003 \h </w:instrText>
        </w:r>
        <w:r>
          <w:fldChar w:fldCharType="separate"/>
        </w:r>
        <w:r>
          <w:t>6</w:t>
        </w:r>
        <w:r>
          <w:fldChar w:fldCharType="end"/>
        </w:r>
      </w:hyperlink>
    </w:p>
    <w:p>
      <w:pPr>
        <w:pStyle w:val="TOC1"/>
        <w:tabs>
          <w:tab w:val="right" w:leader="dot" w:pos="9350"/>
        </w:tabs>
        <w:rPr>
          <w:rFonts w:asciiTheme="minorHAnsi" w:hAnsiTheme="minorHAnsi"/>
          <w:noProof/>
          <w:sz w:val="22"/>
        </w:rPr>
      </w:pPr>
      <w:hyperlink w:anchor="_Toc256000004" w:history="1">
        <w:r>
          <w:rPr>
            <w:rStyle w:val="Hyperlink"/>
            <w:rFonts w:cs="Times New Roman"/>
          </w:rPr>
          <w:t>B. Federal Award Information</w:t>
        </w:r>
        <w:r>
          <w:tab/>
        </w:r>
        <w:r>
          <w:fldChar w:fldCharType="begin"/>
        </w:r>
        <w:r>
          <w:instrText xml:space="preserve"> PAGEREF _Toc256000004 \h </w:instrText>
        </w:r>
        <w:r>
          <w:fldChar w:fldCharType="separate"/>
        </w:r>
        <w:r>
          <w:t>6</w:t>
        </w:r>
        <w:r>
          <w:fldChar w:fldCharType="end"/>
        </w:r>
      </w:hyperlink>
    </w:p>
    <w:p>
      <w:pPr>
        <w:pStyle w:val="TOC2"/>
        <w:tabs>
          <w:tab w:val="right" w:leader="dot" w:pos="9350"/>
        </w:tabs>
        <w:rPr>
          <w:rFonts w:asciiTheme="minorHAnsi" w:hAnsiTheme="minorHAnsi"/>
          <w:noProof/>
          <w:sz w:val="22"/>
        </w:rPr>
      </w:pPr>
      <w:hyperlink w:anchor="_Toc256000005" w:history="1">
        <w:r>
          <w:rPr>
            <w:rStyle w:val="Hyperlink"/>
            <w:rFonts w:cs="Times New Roman"/>
          </w:rPr>
          <w:t>B1. Total Funding</w:t>
        </w:r>
        <w:r>
          <w:tab/>
        </w:r>
        <w:r>
          <w:fldChar w:fldCharType="begin"/>
        </w:r>
        <w:r>
          <w:instrText xml:space="preserve"> PAGEREF _Toc256000005 \h </w:instrText>
        </w:r>
        <w:r>
          <w:fldChar w:fldCharType="separate"/>
        </w:r>
        <w:r>
          <w:t>6</w:t>
        </w:r>
        <w:r>
          <w:fldChar w:fldCharType="end"/>
        </w:r>
      </w:hyperlink>
    </w:p>
    <w:p>
      <w:pPr>
        <w:pStyle w:val="TOC2"/>
        <w:tabs>
          <w:tab w:val="right" w:leader="dot" w:pos="9350"/>
        </w:tabs>
        <w:rPr>
          <w:rFonts w:asciiTheme="minorHAnsi" w:hAnsiTheme="minorHAnsi"/>
          <w:noProof/>
          <w:sz w:val="22"/>
        </w:rPr>
      </w:pPr>
      <w:hyperlink w:anchor="_Toc256000006" w:history="1">
        <w:r>
          <w:rPr>
            <w:rStyle w:val="Hyperlink"/>
            <w:rFonts w:cs="Times New Roman"/>
          </w:rPr>
          <w:t>B2. Expected Award Amount</w:t>
        </w:r>
        <w:r>
          <w:tab/>
        </w:r>
        <w:r>
          <w:fldChar w:fldCharType="begin"/>
        </w:r>
        <w:r>
          <w:instrText xml:space="preserve"> PAGEREF _Toc256000006 \h </w:instrText>
        </w:r>
        <w:r>
          <w:fldChar w:fldCharType="separate"/>
        </w:r>
        <w:r>
          <w:t>6</w:t>
        </w:r>
        <w:r>
          <w:fldChar w:fldCharType="end"/>
        </w:r>
      </w:hyperlink>
    </w:p>
    <w:p>
      <w:pPr>
        <w:pStyle w:val="TOC2"/>
        <w:tabs>
          <w:tab w:val="right" w:leader="dot" w:pos="9350"/>
        </w:tabs>
        <w:rPr>
          <w:rFonts w:asciiTheme="minorHAnsi" w:hAnsiTheme="minorHAnsi"/>
          <w:noProof/>
          <w:sz w:val="22"/>
        </w:rPr>
      </w:pPr>
      <w:hyperlink w:anchor="_Toc256000007" w:history="1">
        <w:r>
          <w:rPr>
            <w:rStyle w:val="Hyperlink"/>
            <w:rFonts w:cs="Times New Roman"/>
          </w:rPr>
          <w:t>B3. Anticipated Dates</w:t>
        </w:r>
        <w:r>
          <w:tab/>
        </w:r>
        <w:r>
          <w:fldChar w:fldCharType="begin"/>
        </w:r>
        <w:r>
          <w:instrText xml:space="preserve"> PAGEREF _Toc256000007 \h </w:instrText>
        </w:r>
        <w:r>
          <w:fldChar w:fldCharType="separate"/>
        </w:r>
        <w:r>
          <w:t>6</w:t>
        </w:r>
        <w:r>
          <w:fldChar w:fldCharType="end"/>
        </w:r>
      </w:hyperlink>
    </w:p>
    <w:p>
      <w:pPr>
        <w:pStyle w:val="TOC2"/>
        <w:tabs>
          <w:tab w:val="right" w:leader="dot" w:pos="9350"/>
        </w:tabs>
        <w:rPr>
          <w:rFonts w:asciiTheme="minorHAnsi" w:hAnsiTheme="minorHAnsi"/>
          <w:noProof/>
          <w:sz w:val="22"/>
        </w:rPr>
      </w:pPr>
      <w:hyperlink w:anchor="_Toc256000008" w:history="1">
        <w:r>
          <w:rPr>
            <w:rStyle w:val="Hyperlink"/>
            <w:rFonts w:cs="Times New Roman"/>
          </w:rPr>
          <w:t>B4. Period of Performance</w:t>
        </w:r>
        <w:r>
          <w:tab/>
        </w:r>
        <w:r>
          <w:fldChar w:fldCharType="begin"/>
        </w:r>
        <w:r>
          <w:instrText xml:space="preserve"> PAGEREF _Toc256000008 \h </w:instrText>
        </w:r>
        <w:r>
          <w:fldChar w:fldCharType="separate"/>
        </w:r>
        <w:r>
          <w:t>7</w:t>
        </w:r>
        <w:r>
          <w:fldChar w:fldCharType="end"/>
        </w:r>
      </w:hyperlink>
    </w:p>
    <w:p>
      <w:pPr>
        <w:pStyle w:val="TOC2"/>
        <w:tabs>
          <w:tab w:val="right" w:leader="dot" w:pos="9350"/>
        </w:tabs>
        <w:rPr>
          <w:rFonts w:asciiTheme="minorHAnsi" w:hAnsiTheme="minorHAnsi"/>
          <w:noProof/>
          <w:sz w:val="22"/>
        </w:rPr>
      </w:pPr>
      <w:hyperlink w:anchor="_Toc256000009" w:history="1">
        <w:r>
          <w:rPr>
            <w:rStyle w:val="Hyperlink"/>
            <w:rFonts w:cs="Times New Roman"/>
          </w:rPr>
          <w:t>B5. Numbers of Awards</w:t>
        </w:r>
        <w:r>
          <w:tab/>
        </w:r>
        <w:r>
          <w:fldChar w:fldCharType="begin"/>
        </w:r>
        <w:r>
          <w:instrText xml:space="preserve"> PAGEREF _Toc256000009 \h </w:instrText>
        </w:r>
        <w:r>
          <w:fldChar w:fldCharType="separate"/>
        </w:r>
        <w:r>
          <w:t>7</w:t>
        </w:r>
        <w:r>
          <w:fldChar w:fldCharType="end"/>
        </w:r>
      </w:hyperlink>
    </w:p>
    <w:p>
      <w:pPr>
        <w:pStyle w:val="TOC2"/>
        <w:tabs>
          <w:tab w:val="right" w:leader="dot" w:pos="9350"/>
        </w:tabs>
        <w:rPr>
          <w:rFonts w:asciiTheme="minorHAnsi" w:hAnsiTheme="minorHAnsi"/>
          <w:noProof/>
          <w:sz w:val="22"/>
        </w:rPr>
      </w:pPr>
      <w:hyperlink w:anchor="_Toc256000010" w:history="1">
        <w:r>
          <w:rPr>
            <w:rStyle w:val="Hyperlink"/>
            <w:rFonts w:cs="Times New Roman"/>
          </w:rPr>
          <w:t>B6. Type of Award</w:t>
        </w:r>
        <w:r>
          <w:tab/>
        </w:r>
        <w:r>
          <w:fldChar w:fldCharType="begin"/>
        </w:r>
        <w:r>
          <w:instrText xml:space="preserve"> PAGEREF _Toc256000010 \h </w:instrText>
        </w:r>
        <w:r>
          <w:fldChar w:fldCharType="separate"/>
        </w:r>
        <w:r>
          <w:t>7</w:t>
        </w:r>
        <w:r>
          <w:fldChar w:fldCharType="end"/>
        </w:r>
      </w:hyperlink>
    </w:p>
    <w:p>
      <w:pPr>
        <w:pStyle w:val="TOC2"/>
        <w:tabs>
          <w:tab w:val="right" w:leader="dot" w:pos="9350"/>
        </w:tabs>
        <w:rPr>
          <w:rFonts w:asciiTheme="minorHAnsi" w:hAnsiTheme="minorHAnsi"/>
          <w:noProof/>
          <w:sz w:val="22"/>
        </w:rPr>
      </w:pPr>
      <w:hyperlink w:anchor="_Toc256000011" w:history="1">
        <w:r>
          <w:rPr>
            <w:rStyle w:val="Hyperlink"/>
            <w:rFonts w:cs="Times New Roman"/>
          </w:rPr>
          <w:t>B7. Other Federal Information</w:t>
        </w:r>
        <w:r>
          <w:tab/>
        </w:r>
        <w:r>
          <w:fldChar w:fldCharType="begin"/>
        </w:r>
        <w:r>
          <w:instrText xml:space="preserve"> PAGEREF _Toc256000011 \h </w:instrText>
        </w:r>
        <w:r>
          <w:fldChar w:fldCharType="separate"/>
        </w:r>
        <w:r>
          <w:t>8</w:t>
        </w:r>
        <w:r>
          <w:fldChar w:fldCharType="end"/>
        </w:r>
      </w:hyperlink>
    </w:p>
    <w:p>
      <w:pPr>
        <w:pStyle w:val="TOC1"/>
        <w:tabs>
          <w:tab w:val="right" w:leader="dot" w:pos="9350"/>
        </w:tabs>
        <w:rPr>
          <w:rFonts w:asciiTheme="minorHAnsi" w:hAnsiTheme="minorHAnsi"/>
          <w:noProof/>
          <w:sz w:val="22"/>
        </w:rPr>
      </w:pPr>
      <w:hyperlink w:anchor="_Toc256000012" w:history="1">
        <w:r>
          <w:rPr>
            <w:rStyle w:val="Hyperlink"/>
            <w:rFonts w:cs="Times New Roman"/>
          </w:rPr>
          <w:t>C. Eligibility Information</w:t>
        </w:r>
        <w:r>
          <w:tab/>
        </w:r>
        <w:r>
          <w:fldChar w:fldCharType="begin"/>
        </w:r>
        <w:r>
          <w:instrText xml:space="preserve"> PAGEREF _Toc256000012 \h </w:instrText>
        </w:r>
        <w:r>
          <w:fldChar w:fldCharType="separate"/>
        </w:r>
        <w:r>
          <w:t>8</w:t>
        </w:r>
        <w:r>
          <w:fldChar w:fldCharType="end"/>
        </w:r>
      </w:hyperlink>
    </w:p>
    <w:p>
      <w:pPr>
        <w:pStyle w:val="TOC2"/>
        <w:tabs>
          <w:tab w:val="right" w:leader="dot" w:pos="9350"/>
        </w:tabs>
        <w:rPr>
          <w:rFonts w:asciiTheme="minorHAnsi" w:hAnsiTheme="minorHAnsi"/>
          <w:noProof/>
          <w:sz w:val="22"/>
        </w:rPr>
      </w:pPr>
      <w:hyperlink w:anchor="_Toc256000013" w:history="1">
        <w:r>
          <w:rPr>
            <w:rStyle w:val="Hyperlink"/>
            <w:rFonts w:cs="Times New Roman"/>
          </w:rPr>
          <w:t>C1. Eligible Applicants</w:t>
        </w:r>
        <w:r>
          <w:tab/>
        </w:r>
        <w:r>
          <w:fldChar w:fldCharType="begin"/>
        </w:r>
        <w:r>
          <w:instrText xml:space="preserve"> PAGEREF _Toc256000013 \h </w:instrText>
        </w:r>
        <w:r>
          <w:fldChar w:fldCharType="separate"/>
        </w:r>
        <w:r>
          <w:t>8</w:t>
        </w:r>
        <w:r>
          <w:fldChar w:fldCharType="end"/>
        </w:r>
      </w:hyperlink>
    </w:p>
    <w:p>
      <w:pPr>
        <w:pStyle w:val="TOC2"/>
        <w:tabs>
          <w:tab w:val="right" w:leader="dot" w:pos="9350"/>
        </w:tabs>
        <w:rPr>
          <w:rFonts w:asciiTheme="minorHAnsi" w:hAnsiTheme="minorHAnsi"/>
          <w:noProof/>
          <w:sz w:val="22"/>
        </w:rPr>
      </w:pPr>
      <w:hyperlink w:anchor="_Toc256000014" w:history="1">
        <w:r>
          <w:rPr>
            <w:rStyle w:val="Hyperlink"/>
            <w:rFonts w:cs="Times New Roman"/>
          </w:rPr>
          <w:t>C2. Cost Sharing or Matching</w:t>
        </w:r>
        <w:r>
          <w:tab/>
        </w:r>
        <w:r>
          <w:fldChar w:fldCharType="begin"/>
        </w:r>
        <w:r>
          <w:instrText xml:space="preserve"> PAGEREF _Toc256000014 \h </w:instrText>
        </w:r>
        <w:r>
          <w:fldChar w:fldCharType="separate"/>
        </w:r>
        <w:r>
          <w:t>8</w:t>
        </w:r>
        <w:r>
          <w:fldChar w:fldCharType="end"/>
        </w:r>
      </w:hyperlink>
    </w:p>
    <w:p>
      <w:pPr>
        <w:pStyle w:val="TOC2"/>
        <w:tabs>
          <w:tab w:val="right" w:leader="dot" w:pos="9350"/>
        </w:tabs>
        <w:rPr>
          <w:rFonts w:asciiTheme="minorHAnsi" w:hAnsiTheme="minorHAnsi"/>
          <w:noProof/>
          <w:sz w:val="22"/>
        </w:rPr>
      </w:pPr>
      <w:hyperlink w:anchor="_Toc256000015" w:history="1">
        <w:r>
          <w:rPr>
            <w:rStyle w:val="Hyperlink"/>
            <w:rFonts w:cs="Times New Roman"/>
          </w:rPr>
          <w:t>C3. Other</w:t>
        </w:r>
        <w:r>
          <w:tab/>
        </w:r>
        <w:r>
          <w:fldChar w:fldCharType="begin"/>
        </w:r>
        <w:r>
          <w:instrText xml:space="preserve"> PAGEREF _Toc256000015 \h </w:instrText>
        </w:r>
        <w:r>
          <w:fldChar w:fldCharType="separate"/>
        </w:r>
        <w:r>
          <w:t>9</w:t>
        </w:r>
        <w:r>
          <w:fldChar w:fldCharType="end"/>
        </w:r>
      </w:hyperlink>
    </w:p>
    <w:p>
      <w:pPr>
        <w:pStyle w:val="TOC1"/>
        <w:tabs>
          <w:tab w:val="right" w:leader="dot" w:pos="9350"/>
        </w:tabs>
        <w:rPr>
          <w:rFonts w:asciiTheme="minorHAnsi" w:hAnsiTheme="minorHAnsi"/>
          <w:noProof/>
          <w:sz w:val="22"/>
        </w:rPr>
      </w:pPr>
      <w:hyperlink w:anchor="_Toc256000016" w:history="1">
        <w:r>
          <w:rPr>
            <w:rStyle w:val="Hyperlink"/>
            <w:rFonts w:cs="Times New Roman"/>
          </w:rPr>
          <w:t>D. Application and Submission Information</w:t>
        </w:r>
        <w:r>
          <w:tab/>
        </w:r>
        <w:r>
          <w:fldChar w:fldCharType="begin"/>
        </w:r>
        <w:r>
          <w:instrText xml:space="preserve"> PAGEREF _Toc256000016 \h </w:instrText>
        </w:r>
        <w:r>
          <w:fldChar w:fldCharType="separate"/>
        </w:r>
        <w:r>
          <w:t>9</w:t>
        </w:r>
        <w:r>
          <w:fldChar w:fldCharType="end"/>
        </w:r>
      </w:hyperlink>
    </w:p>
    <w:p>
      <w:pPr>
        <w:pStyle w:val="TOC2"/>
        <w:tabs>
          <w:tab w:val="right" w:leader="dot" w:pos="9350"/>
        </w:tabs>
        <w:rPr>
          <w:rFonts w:asciiTheme="minorHAnsi" w:hAnsiTheme="minorHAnsi"/>
          <w:noProof/>
          <w:sz w:val="22"/>
        </w:rPr>
      </w:pPr>
      <w:hyperlink w:anchor="_Toc256000017" w:history="1">
        <w:r>
          <w:rPr>
            <w:rStyle w:val="Hyperlink"/>
            <w:rFonts w:cs="Times New Roman"/>
          </w:rPr>
          <w:t>D1. Address to Request Application Package</w:t>
        </w:r>
        <w:r>
          <w:tab/>
        </w:r>
        <w:r>
          <w:fldChar w:fldCharType="begin"/>
        </w:r>
        <w:r>
          <w:instrText xml:space="preserve"> PAGEREF _Toc256000017 \h </w:instrText>
        </w:r>
        <w:r>
          <w:fldChar w:fldCharType="separate"/>
        </w:r>
        <w:r>
          <w:t>9</w:t>
        </w:r>
        <w:r>
          <w:fldChar w:fldCharType="end"/>
        </w:r>
      </w:hyperlink>
    </w:p>
    <w:p>
      <w:pPr>
        <w:pStyle w:val="TOC2"/>
        <w:tabs>
          <w:tab w:val="right" w:leader="dot" w:pos="9350"/>
        </w:tabs>
        <w:rPr>
          <w:rFonts w:asciiTheme="minorHAnsi" w:hAnsiTheme="minorHAnsi"/>
          <w:noProof/>
          <w:sz w:val="22"/>
        </w:rPr>
      </w:pPr>
      <w:hyperlink w:anchor="_Toc256000018" w:history="1">
        <w:r>
          <w:rPr>
            <w:rStyle w:val="Hyperlink"/>
            <w:rFonts w:cs="Times New Roman"/>
          </w:rPr>
          <w:t>D2. Content and Form of Application Submission</w:t>
        </w:r>
        <w:r>
          <w:tab/>
        </w:r>
        <w:r>
          <w:fldChar w:fldCharType="begin"/>
        </w:r>
        <w:r>
          <w:instrText xml:space="preserve"> PAGEREF _Toc256000018 \h </w:instrText>
        </w:r>
        <w:r>
          <w:fldChar w:fldCharType="separate"/>
        </w:r>
        <w:r>
          <w:t>9</w:t>
        </w:r>
        <w:r>
          <w:fldChar w:fldCharType="end"/>
        </w:r>
      </w:hyperlink>
    </w:p>
    <w:p>
      <w:pPr>
        <w:pStyle w:val="TOC2"/>
        <w:tabs>
          <w:tab w:val="right" w:leader="dot" w:pos="9350"/>
        </w:tabs>
        <w:rPr>
          <w:rFonts w:asciiTheme="minorHAnsi" w:hAnsiTheme="minorHAnsi"/>
          <w:noProof/>
          <w:sz w:val="22"/>
        </w:rPr>
      </w:pPr>
      <w:hyperlink w:anchor="_Toc256000019" w:history="1">
        <w:r>
          <w:rPr>
            <w:rStyle w:val="Hyperlink"/>
            <w:rFonts w:cs="Times New Roman"/>
          </w:rPr>
          <w:t>D3. Unique Entity Identifier and System for Award Management (SAM)</w:t>
        </w:r>
        <w:r>
          <w:tab/>
        </w:r>
        <w:r>
          <w:fldChar w:fldCharType="begin"/>
        </w:r>
        <w:r>
          <w:instrText xml:space="preserve"> PAGEREF _Toc256000019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20" w:history="1">
        <w:r>
          <w:rPr>
            <w:rStyle w:val="Hyperlink"/>
            <w:rFonts w:cs="Times New Roman"/>
          </w:rPr>
          <w:t>D4. Submission Dates and Times</w:t>
        </w:r>
        <w:r>
          <w:tab/>
        </w:r>
        <w:r>
          <w:fldChar w:fldCharType="begin"/>
        </w:r>
        <w:r>
          <w:instrText xml:space="preserve"> PAGEREF _Toc256000020 \h </w:instrText>
        </w:r>
        <w:r>
          <w:fldChar w:fldCharType="separate"/>
        </w:r>
        <w:r>
          <w:t>18</w:t>
        </w:r>
        <w:r>
          <w:fldChar w:fldCharType="end"/>
        </w:r>
      </w:hyperlink>
    </w:p>
    <w:p>
      <w:pPr>
        <w:pStyle w:val="TOC2"/>
        <w:tabs>
          <w:tab w:val="right" w:leader="dot" w:pos="9350"/>
        </w:tabs>
        <w:rPr>
          <w:rFonts w:asciiTheme="minorHAnsi" w:hAnsiTheme="minorHAnsi"/>
          <w:noProof/>
          <w:sz w:val="22"/>
        </w:rPr>
      </w:pPr>
      <w:hyperlink w:anchor="_Toc256000021" w:history="1">
        <w:r>
          <w:rPr>
            <w:rStyle w:val="Hyperlink"/>
            <w:rFonts w:cs="Times New Roman"/>
          </w:rPr>
          <w:t>D5. Intergovernmental Review</w:t>
        </w:r>
        <w:r>
          <w:tab/>
        </w:r>
        <w:r>
          <w:fldChar w:fldCharType="begin"/>
        </w:r>
        <w:r>
          <w:instrText xml:space="preserve"> PAGEREF _Toc256000021 \h </w:instrText>
        </w:r>
        <w:r>
          <w:fldChar w:fldCharType="separate"/>
        </w:r>
        <w:r>
          <w:t>18</w:t>
        </w:r>
        <w:r>
          <w:fldChar w:fldCharType="end"/>
        </w:r>
      </w:hyperlink>
    </w:p>
    <w:p>
      <w:pPr>
        <w:pStyle w:val="TOC2"/>
        <w:tabs>
          <w:tab w:val="right" w:leader="dot" w:pos="9350"/>
        </w:tabs>
        <w:rPr>
          <w:rFonts w:asciiTheme="minorHAnsi" w:hAnsiTheme="minorHAnsi"/>
          <w:noProof/>
          <w:sz w:val="22"/>
        </w:rPr>
      </w:pPr>
      <w:hyperlink w:anchor="_Toc256000022" w:history="1">
        <w:r>
          <w:rPr>
            <w:rStyle w:val="Hyperlink"/>
            <w:rFonts w:cs="Times New Roman"/>
          </w:rPr>
          <w:t>D6. Funding Restrictions</w:t>
        </w:r>
        <w:r>
          <w:tab/>
        </w:r>
        <w:r>
          <w:fldChar w:fldCharType="begin"/>
        </w:r>
        <w:r>
          <w:instrText xml:space="preserve"> PAGEREF _Toc256000022 \h </w:instrText>
        </w:r>
        <w:r>
          <w:fldChar w:fldCharType="separate"/>
        </w:r>
        <w:r>
          <w:t>18</w:t>
        </w:r>
        <w:r>
          <w:fldChar w:fldCharType="end"/>
        </w:r>
      </w:hyperlink>
    </w:p>
    <w:p>
      <w:pPr>
        <w:pStyle w:val="TOC2"/>
        <w:tabs>
          <w:tab w:val="right" w:leader="dot" w:pos="9350"/>
        </w:tabs>
        <w:rPr>
          <w:rFonts w:asciiTheme="minorHAnsi" w:hAnsiTheme="minorHAnsi"/>
          <w:noProof/>
          <w:sz w:val="22"/>
        </w:rPr>
      </w:pPr>
      <w:hyperlink w:anchor="_Toc256000023" w:history="1">
        <w:r>
          <w:rPr>
            <w:rStyle w:val="Hyperlink"/>
            <w:rFonts w:cs="Times New Roman"/>
          </w:rPr>
          <w:t>D7. Other Submission Requirements</w:t>
        </w:r>
        <w:r>
          <w:tab/>
        </w:r>
        <w:r>
          <w:fldChar w:fldCharType="begin"/>
        </w:r>
        <w:r>
          <w:instrText xml:space="preserve"> PAGEREF _Toc256000023 \h </w:instrText>
        </w:r>
        <w:r>
          <w:fldChar w:fldCharType="separate"/>
        </w:r>
        <w:r>
          <w:t>20</w:t>
        </w:r>
        <w:r>
          <w:fldChar w:fldCharType="end"/>
        </w:r>
      </w:hyperlink>
    </w:p>
    <w:p>
      <w:pPr>
        <w:pStyle w:val="TOC2"/>
        <w:tabs>
          <w:tab w:val="right" w:leader="dot" w:pos="9350"/>
        </w:tabs>
        <w:rPr>
          <w:rFonts w:asciiTheme="minorHAnsi" w:hAnsiTheme="minorHAnsi"/>
          <w:noProof/>
          <w:sz w:val="22"/>
        </w:rPr>
      </w:pPr>
      <w:hyperlink w:anchor="_Toc256000024" w:history="1">
        <w:r>
          <w:rPr>
            <w:rStyle w:val="Hyperlink"/>
            <w:rFonts w:cs="Times New Roman"/>
          </w:rPr>
          <w:t>D8. Application Checklist</w:t>
        </w:r>
        <w:r>
          <w:tab/>
        </w:r>
        <w:r>
          <w:fldChar w:fldCharType="begin"/>
        </w:r>
        <w:r>
          <w:instrText xml:space="preserve"> PAGEREF _Toc256000024 \h </w:instrText>
        </w:r>
        <w:r>
          <w:fldChar w:fldCharType="separate"/>
        </w:r>
        <w:r>
          <w:t>22</w:t>
        </w:r>
        <w:r>
          <w:fldChar w:fldCharType="end"/>
        </w:r>
      </w:hyperlink>
    </w:p>
    <w:p>
      <w:pPr>
        <w:pStyle w:val="TOC1"/>
        <w:tabs>
          <w:tab w:val="right" w:leader="dot" w:pos="9350"/>
        </w:tabs>
        <w:rPr>
          <w:rFonts w:asciiTheme="minorHAnsi" w:hAnsiTheme="minorHAnsi"/>
          <w:noProof/>
          <w:sz w:val="22"/>
        </w:rPr>
      </w:pPr>
      <w:hyperlink w:anchor="_Toc256000025" w:history="1">
        <w:r>
          <w:rPr>
            <w:rStyle w:val="Hyperlink"/>
            <w:rFonts w:cs="Times New Roman"/>
          </w:rPr>
          <w:t>E. Application Review Information</w:t>
        </w:r>
        <w:r>
          <w:tab/>
        </w:r>
        <w:r>
          <w:fldChar w:fldCharType="begin"/>
        </w:r>
        <w:r>
          <w:instrText xml:space="preserve"> PAGEREF _Toc256000025 \h </w:instrText>
        </w:r>
        <w:r>
          <w:fldChar w:fldCharType="separate"/>
        </w:r>
        <w:r>
          <w:t>22</w:t>
        </w:r>
        <w:r>
          <w:fldChar w:fldCharType="end"/>
        </w:r>
      </w:hyperlink>
    </w:p>
    <w:p>
      <w:pPr>
        <w:pStyle w:val="TOC2"/>
        <w:tabs>
          <w:tab w:val="right" w:leader="dot" w:pos="9350"/>
        </w:tabs>
        <w:rPr>
          <w:rFonts w:asciiTheme="minorHAnsi" w:hAnsiTheme="minorHAnsi"/>
          <w:noProof/>
          <w:sz w:val="22"/>
        </w:rPr>
      </w:pPr>
      <w:hyperlink w:anchor="_Toc256000026" w:history="1">
        <w:r>
          <w:rPr>
            <w:rStyle w:val="Hyperlink"/>
            <w:rFonts w:cs="Times New Roman"/>
          </w:rPr>
          <w:t>E1. Criteria</w:t>
        </w:r>
        <w:r>
          <w:tab/>
        </w:r>
        <w:r>
          <w:fldChar w:fldCharType="begin"/>
        </w:r>
        <w:r>
          <w:instrText xml:space="preserve"> PAGEREF _Toc256000026 \h </w:instrText>
        </w:r>
        <w:r>
          <w:fldChar w:fldCharType="separate"/>
        </w:r>
        <w:r>
          <w:t>22</w:t>
        </w:r>
        <w:r>
          <w:fldChar w:fldCharType="end"/>
        </w:r>
      </w:hyperlink>
    </w:p>
    <w:p>
      <w:pPr>
        <w:pStyle w:val="TOC2"/>
        <w:tabs>
          <w:tab w:val="right" w:leader="dot" w:pos="9350"/>
        </w:tabs>
        <w:rPr>
          <w:rFonts w:asciiTheme="minorHAnsi" w:hAnsiTheme="minorHAnsi"/>
          <w:noProof/>
          <w:sz w:val="22"/>
        </w:rPr>
      </w:pPr>
      <w:hyperlink w:anchor="_Toc256000027" w:history="1">
        <w:r>
          <w:rPr>
            <w:rStyle w:val="Hyperlink"/>
            <w:rFonts w:cs="Times New Roman"/>
          </w:rPr>
          <w:t>E2. Review and Selection Process</w:t>
        </w:r>
        <w:r>
          <w:tab/>
        </w:r>
        <w:r>
          <w:fldChar w:fldCharType="begin"/>
        </w:r>
        <w:r>
          <w:instrText xml:space="preserve"> PAGEREF _Toc256000027 \h </w:instrText>
        </w:r>
        <w:r>
          <w:fldChar w:fldCharType="separate"/>
        </w:r>
        <w:r>
          <w:t>23</w:t>
        </w:r>
        <w:r>
          <w:fldChar w:fldCharType="end"/>
        </w:r>
      </w:hyperlink>
    </w:p>
    <w:p>
      <w:pPr>
        <w:pStyle w:val="TOC2"/>
        <w:tabs>
          <w:tab w:val="right" w:leader="dot" w:pos="9350"/>
        </w:tabs>
        <w:rPr>
          <w:rFonts w:asciiTheme="minorHAnsi" w:hAnsiTheme="minorHAnsi"/>
          <w:noProof/>
          <w:sz w:val="22"/>
        </w:rPr>
      </w:pPr>
      <w:hyperlink w:anchor="_Toc256000028" w:history="1">
        <w:r>
          <w:rPr>
            <w:rStyle w:val="Hyperlink"/>
            <w:rFonts w:cs="Times New Roman"/>
          </w:rPr>
          <w:t>E3. CFR - Regulatory Information</w:t>
        </w:r>
        <w:r>
          <w:tab/>
        </w:r>
        <w:r>
          <w:fldChar w:fldCharType="begin"/>
        </w:r>
        <w:r>
          <w:instrText xml:space="preserve"> PAGEREF _Toc256000028 \h </w:instrText>
        </w:r>
        <w:r>
          <w:fldChar w:fldCharType="separate"/>
        </w:r>
        <w:r>
          <w:t>23</w:t>
        </w:r>
        <w:r>
          <w:fldChar w:fldCharType="end"/>
        </w:r>
      </w:hyperlink>
    </w:p>
    <w:p>
      <w:pPr>
        <w:pStyle w:val="TOC2"/>
        <w:tabs>
          <w:tab w:val="right" w:leader="dot" w:pos="9350"/>
        </w:tabs>
        <w:rPr>
          <w:rFonts w:asciiTheme="minorHAnsi" w:hAnsiTheme="minorHAnsi"/>
          <w:noProof/>
          <w:sz w:val="22"/>
        </w:rPr>
      </w:pPr>
      <w:hyperlink w:anchor="_Toc256000029" w:history="1">
        <w:r>
          <w:rPr>
            <w:rStyle w:val="Hyperlink"/>
            <w:rFonts w:cs="Times New Roman"/>
          </w:rPr>
          <w:t>E4. Anticipated Announcement and Federal Award Dates</w:t>
        </w:r>
        <w:r>
          <w:tab/>
        </w:r>
        <w:r>
          <w:fldChar w:fldCharType="begin"/>
        </w:r>
        <w:r>
          <w:instrText xml:space="preserve"> PAGEREF _Toc256000029 \h </w:instrText>
        </w:r>
        <w:r>
          <w:fldChar w:fldCharType="separate"/>
        </w:r>
        <w:r>
          <w:t>23</w:t>
        </w:r>
        <w:r>
          <w:fldChar w:fldCharType="end"/>
        </w:r>
      </w:hyperlink>
    </w:p>
    <w:p>
      <w:pPr>
        <w:pStyle w:val="TOC1"/>
        <w:tabs>
          <w:tab w:val="right" w:leader="dot" w:pos="9350"/>
        </w:tabs>
        <w:rPr>
          <w:rFonts w:asciiTheme="minorHAnsi" w:hAnsiTheme="minorHAnsi"/>
          <w:noProof/>
          <w:sz w:val="22"/>
        </w:rPr>
      </w:pPr>
      <w:hyperlink w:anchor="_Toc256000030" w:history="1">
        <w:r>
          <w:rPr>
            <w:rStyle w:val="Hyperlink"/>
            <w:rFonts w:cs="Times New Roman"/>
          </w:rPr>
          <w:t>F. Federal Award Administration Information</w:t>
        </w:r>
        <w:r>
          <w:tab/>
        </w:r>
        <w:r>
          <w:fldChar w:fldCharType="begin"/>
        </w:r>
        <w:r>
          <w:instrText xml:space="preserve"> PAGEREF _Toc256000030 \h </w:instrText>
        </w:r>
        <w:r>
          <w:fldChar w:fldCharType="separate"/>
        </w:r>
        <w:r>
          <w:t>23</w:t>
        </w:r>
        <w:r>
          <w:fldChar w:fldCharType="end"/>
        </w:r>
      </w:hyperlink>
    </w:p>
    <w:p>
      <w:pPr>
        <w:pStyle w:val="TOC2"/>
        <w:tabs>
          <w:tab w:val="right" w:leader="dot" w:pos="9350"/>
        </w:tabs>
        <w:rPr>
          <w:rFonts w:asciiTheme="minorHAnsi" w:hAnsiTheme="minorHAnsi"/>
          <w:noProof/>
          <w:sz w:val="22"/>
        </w:rPr>
      </w:pPr>
      <w:hyperlink w:anchor="_Toc256000031" w:history="1">
        <w:r>
          <w:rPr>
            <w:rStyle w:val="Hyperlink"/>
            <w:rFonts w:cs="Times New Roman"/>
          </w:rPr>
          <w:t>F1. Federal Award Notices</w:t>
        </w:r>
        <w:r>
          <w:tab/>
        </w:r>
        <w:r>
          <w:fldChar w:fldCharType="begin"/>
        </w:r>
        <w:r>
          <w:instrText xml:space="preserve"> PAGEREF _Toc256000031 \h </w:instrText>
        </w:r>
        <w:r>
          <w:fldChar w:fldCharType="separate"/>
        </w:r>
        <w:r>
          <w:t>23</w:t>
        </w:r>
        <w:r>
          <w:fldChar w:fldCharType="end"/>
        </w:r>
      </w:hyperlink>
    </w:p>
    <w:p>
      <w:pPr>
        <w:pStyle w:val="TOC2"/>
        <w:tabs>
          <w:tab w:val="right" w:leader="dot" w:pos="9350"/>
        </w:tabs>
        <w:rPr>
          <w:rFonts w:asciiTheme="minorHAnsi" w:hAnsiTheme="minorHAnsi"/>
          <w:noProof/>
          <w:sz w:val="22"/>
        </w:rPr>
      </w:pPr>
      <w:hyperlink w:anchor="_Toc256000032" w:history="1">
        <w:r>
          <w:rPr>
            <w:rStyle w:val="Hyperlink"/>
            <w:rFonts w:cs="Times New Roman"/>
          </w:rPr>
          <w:t>F2. Administrative and National Policy Requirements</w:t>
        </w:r>
        <w:r>
          <w:tab/>
        </w:r>
        <w:r>
          <w:fldChar w:fldCharType="begin"/>
        </w:r>
        <w:r>
          <w:instrText xml:space="preserve"> PAGEREF _Toc256000032 \h </w:instrText>
        </w:r>
        <w:r>
          <w:fldChar w:fldCharType="separate"/>
        </w:r>
        <w:r>
          <w:t>23</w:t>
        </w:r>
        <w:r>
          <w:fldChar w:fldCharType="end"/>
        </w:r>
      </w:hyperlink>
    </w:p>
    <w:p>
      <w:pPr>
        <w:pStyle w:val="TOC2"/>
        <w:tabs>
          <w:tab w:val="right" w:leader="dot" w:pos="9350"/>
        </w:tabs>
        <w:rPr>
          <w:rFonts w:asciiTheme="minorHAnsi" w:hAnsiTheme="minorHAnsi"/>
          <w:noProof/>
          <w:sz w:val="22"/>
        </w:rPr>
      </w:pPr>
      <w:hyperlink w:anchor="_Toc256000033" w:history="1">
        <w:r>
          <w:rPr>
            <w:rStyle w:val="Hyperlink"/>
            <w:rFonts w:cs="Times New Roman"/>
          </w:rPr>
          <w:t>F3. Reporting</w:t>
        </w:r>
        <w:r>
          <w:tab/>
        </w:r>
        <w:r>
          <w:fldChar w:fldCharType="begin"/>
        </w:r>
        <w:r>
          <w:instrText xml:space="preserve"> PAGEREF _Toc256000033 \h </w:instrText>
        </w:r>
        <w:r>
          <w:fldChar w:fldCharType="separate"/>
        </w:r>
        <w:r>
          <w:t>25</w:t>
        </w:r>
        <w:r>
          <w:fldChar w:fldCharType="end"/>
        </w:r>
      </w:hyperlink>
    </w:p>
    <w:p>
      <w:pPr>
        <w:pStyle w:val="TOC1"/>
        <w:tabs>
          <w:tab w:val="right" w:leader="dot" w:pos="9350"/>
        </w:tabs>
        <w:rPr>
          <w:rFonts w:asciiTheme="minorHAnsi" w:hAnsiTheme="minorHAnsi"/>
          <w:noProof/>
          <w:sz w:val="22"/>
        </w:rPr>
      </w:pPr>
      <w:hyperlink w:anchor="_Toc256000034" w:history="1">
        <w:r>
          <w:rPr>
            <w:rStyle w:val="Hyperlink"/>
            <w:rFonts w:cs="Times New Roman"/>
          </w:rPr>
          <w:t>G. Federal Awarding Agency Contact(s)</w:t>
        </w:r>
        <w:r>
          <w:tab/>
        </w:r>
        <w:r>
          <w:fldChar w:fldCharType="begin"/>
        </w:r>
        <w:r>
          <w:instrText xml:space="preserve"> PAGEREF _Toc256000034 \h </w:instrText>
        </w:r>
        <w:r>
          <w:fldChar w:fldCharType="separate"/>
        </w:r>
        <w:r>
          <w:t>28</w:t>
        </w:r>
        <w:r>
          <w:fldChar w:fldCharType="end"/>
        </w:r>
      </w:hyperlink>
    </w:p>
    <w:p>
      <w:pPr>
        <w:pStyle w:val="TOC2"/>
        <w:tabs>
          <w:tab w:val="right" w:leader="dot" w:pos="9350"/>
        </w:tabs>
        <w:rPr>
          <w:rFonts w:asciiTheme="minorHAnsi" w:hAnsiTheme="minorHAnsi"/>
          <w:noProof/>
          <w:sz w:val="22"/>
        </w:rPr>
      </w:pPr>
      <w:hyperlink w:anchor="_Toc256000035" w:history="1">
        <w:r>
          <w:rPr>
            <w:rStyle w:val="Hyperlink"/>
            <w:rFonts w:cs="Times New Roman"/>
          </w:rPr>
          <w:t>G2. Administrative/Budget Questions Program Office Contact</w:t>
        </w:r>
        <w:r>
          <w:tab/>
        </w:r>
        <w:r>
          <w:fldChar w:fldCharType="begin"/>
        </w:r>
        <w:r>
          <w:instrText xml:space="preserve"> PAGEREF _Toc256000035 \h </w:instrText>
        </w:r>
        <w:r>
          <w:fldChar w:fldCharType="separate"/>
        </w:r>
        <w:r>
          <w:t>28</w:t>
        </w:r>
        <w:r>
          <w:fldChar w:fldCharType="end"/>
        </w:r>
      </w:hyperlink>
    </w:p>
    <w:p>
      <w:pPr>
        <w:pStyle w:val="TOC2"/>
        <w:tabs>
          <w:tab w:val="right" w:leader="dot" w:pos="9350"/>
        </w:tabs>
        <w:rPr>
          <w:rFonts w:asciiTheme="minorHAnsi" w:hAnsiTheme="minorHAnsi"/>
          <w:noProof/>
          <w:sz w:val="22"/>
        </w:rPr>
      </w:pPr>
      <w:hyperlink w:anchor="_Toc256000036" w:history="1">
        <w:r>
          <w:rPr>
            <w:rStyle w:val="Hyperlink"/>
            <w:rFonts w:cs="Times New Roman"/>
          </w:rPr>
          <w:t>G3. Grants Staff Contact</w:t>
        </w:r>
        <w:r>
          <w:tab/>
        </w:r>
        <w:r>
          <w:fldChar w:fldCharType="begin"/>
        </w:r>
        <w:r>
          <w:instrText xml:space="preserve"> PAGEREF _Toc256000036 \h </w:instrText>
        </w:r>
        <w:r>
          <w:fldChar w:fldCharType="separate"/>
        </w:r>
        <w:r>
          <w:t>29</w:t>
        </w:r>
        <w:r>
          <w:fldChar w:fldCharType="end"/>
        </w:r>
      </w:hyperlink>
    </w:p>
    <w:p>
      <w:pPr>
        <w:pStyle w:val="TOC2"/>
        <w:tabs>
          <w:tab w:val="right" w:leader="dot" w:pos="9350"/>
        </w:tabs>
        <w:rPr>
          <w:rFonts w:asciiTheme="minorHAnsi" w:hAnsiTheme="minorHAnsi"/>
          <w:noProof/>
          <w:sz w:val="22"/>
        </w:rPr>
      </w:pPr>
      <w:hyperlink w:anchor="_Toc256000037" w:history="1">
        <w:r>
          <w:rPr>
            <w:rStyle w:val="Hyperlink"/>
            <w:rFonts w:cs="Times New Roman"/>
          </w:rPr>
          <w:t>G4. Technical Support</w:t>
        </w:r>
        <w:r>
          <w:tab/>
        </w:r>
        <w:r>
          <w:fldChar w:fldCharType="begin"/>
        </w:r>
        <w:r>
          <w:instrText xml:space="preserve"> PAGEREF _Toc256000037 \h </w:instrText>
        </w:r>
        <w:r>
          <w:fldChar w:fldCharType="separate"/>
        </w:r>
        <w:r>
          <w:t>29</w:t>
        </w:r>
        <w:r>
          <w:fldChar w:fldCharType="end"/>
        </w:r>
      </w:hyperlink>
    </w:p>
    <w:p>
      <w:pPr>
        <w:pStyle w:val="TOC1"/>
        <w:tabs>
          <w:tab w:val="right" w:leader="dot" w:pos="9350"/>
        </w:tabs>
        <w:rPr>
          <w:rFonts w:asciiTheme="minorHAnsi" w:hAnsiTheme="minorHAnsi"/>
          <w:noProof/>
          <w:sz w:val="22"/>
        </w:rPr>
      </w:pPr>
      <w:hyperlink w:anchor="_Toc256000038" w:history="1">
        <w:r>
          <w:rPr>
            <w:rStyle w:val="Hyperlink"/>
            <w:rFonts w:cs="Times New Roman"/>
          </w:rPr>
          <w:t>H. Other Information</w:t>
        </w:r>
        <w:r>
          <w:tab/>
        </w:r>
        <w:r>
          <w:fldChar w:fldCharType="begin"/>
        </w:r>
        <w:r>
          <w:instrText xml:space="preserve"> PAGEREF _Toc256000038 \h </w:instrText>
        </w:r>
        <w:r>
          <w:fldChar w:fldCharType="separate"/>
        </w:r>
        <w:r>
          <w:t>29</w:t>
        </w:r>
        <w:r>
          <w:fldChar w:fldCharType="end"/>
        </w:r>
      </w:hyperlink>
    </w:p>
    <w:p w:rsidP="00470374">
      <w:pPr>
        <w:keepLines w:val="0"/>
        <w:spacing w:before="20" w:after="20"/>
        <w:ind w:left="0"/>
        <w:jc w:val="left"/>
        <w:rPr>
          <w:rFonts w:ascii="Times New Roman" w:eastAsia="Times New Roman" w:hAnsi="Times New Roman" w:cs="Times New Roman"/>
          <w:b/>
          <w:color w:val="000000"/>
          <w:sz w:val="32"/>
        </w:rPr>
      </w:pPr>
      <w:r>
        <w:rPr>
          <w:rFonts w:ascii="Times New Roman" w:eastAsia="Times New Roman" w:hAnsi="Times New Roman" w:cs="Times New Roman"/>
          <w:b/>
          <w:color w:val="000000"/>
          <w:sz w:val="32"/>
        </w:rPr>
        <w:fldChar w:fldCharType="end"/>
      </w:r>
      <w:r>
        <w:rPr>
          <w:rFonts w:ascii="Times New Roman" w:eastAsia="Times New Roman" w:hAnsi="Times New Roman" w:cs="Times New Roman"/>
          <w:b/>
          <w:color w:val="000000"/>
          <w:sz w:val="32"/>
        </w:rPr>
        <w:br/>
      </w:r>
    </w:p>
    <w:p w:rsidP="00470374">
      <w:pPr>
        <w:pStyle w:val="Heading1"/>
        <w:keepLines w:val="0"/>
        <w:pBdr>
          <w:top w:val="none" w:sz="0" w:space="2" w:color="auto"/>
          <w:left w:val="none" w:sz="0" w:space="2" w:color="auto"/>
          <w:bottom w:val="none" w:sz="0" w:space="2" w:color="auto"/>
          <w:right w:val="none" w:sz="0" w:space="2" w:color="auto"/>
        </w:pBdr>
        <w:shd w:val="clear" w:color="auto" w:fill="BCDFFB"/>
        <w:spacing w:before="20" w:after="20"/>
        <w:ind w:left="45" w:right="45"/>
        <w:jc w:val="left"/>
        <w:rPr>
          <w:rFonts w:ascii="Times New Roman" w:eastAsia="Times New Roman" w:hAnsi="Times New Roman" w:cs="Times New Roman"/>
          <w:b/>
          <w:bCs/>
          <w:color w:val="000000"/>
          <w:sz w:val="24"/>
          <w:szCs w:val="24"/>
        </w:rPr>
      </w:pPr>
      <w:bookmarkStart w:id="1" w:name="_Toc256000000"/>
      <w:r>
        <w:rPr>
          <w:rFonts w:ascii="Times New Roman" w:eastAsia="Times New Roman" w:hAnsi="Times New Roman" w:cs="Times New Roman"/>
          <w:b/>
          <w:bCs/>
          <w:color w:val="000000"/>
          <w:sz w:val="24"/>
          <w:szCs w:val="24"/>
        </w:rPr>
        <w:t>A. Program Description</w:t>
      </w:r>
      <w:bookmarkEnd w:id="1"/>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This section contains the full program description of the funding opportunity. It may be as long as needed to adequately communicate to potential applicants the areas in which funding may be provided. It describes the Bureau’s funding priorities or the technical or focus areas in which the Bureau intends to provide assistance. As appropriate, it may include any program history (e.g., whether this is a new program or a changed area of program emphasis). This section may communicate indicators of successful projects (e.g., if the program encourages collaborative efforts) and may include examples of projects that have been funded previously. This section also may include other information the Bureau deems necessary, and must at a minimum include citations for authorizing statutes and regulations for the funding opportunity.</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2" w:name="_Toc256000001"/>
      <w:r>
        <w:rPr>
          <w:rFonts w:ascii="Times New Roman" w:eastAsia="Times New Roman" w:hAnsi="Times New Roman" w:cs="Times New Roman"/>
          <w:b/>
          <w:bCs/>
          <w:color w:val="000000"/>
          <w:sz w:val="24"/>
          <w:szCs w:val="24"/>
        </w:rPr>
        <w:t>A1. Authority</w:t>
      </w:r>
      <w:bookmarkEnd w:id="2"/>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Please add the statutory and/or appropriations citation that provides the legal authority for the program and funding here.</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Section 19(e) of the OCS Lands Act (OCSLA) (Public Law 95-372)(43 U.S. Code 1345 (e)) authorizes the</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use of cooperative agreements with affected States to meet the requirements of OCSLA, including sharing of information and joint utilization of available expertise to carry out applicable Federal and State laws, regulations, and stipulations relevant to OCS operations both onshore and offshore. The Bureau of Ocean Energy Management is authorized by the Outer Continental Shelf Lands Act (43 USC 1346) to undertake environmental studies in any area or region included in any oil and gas lease sale or other lease in order to establish information needed for assessment and management of impacts on the human, marine, and coastal environments which may be affected by OCS oil or gas or other mineral activities in such area or region. 30 CFR 556.1300 implements 43 USC 1346 and states that studies will be planned and carried out in cooperation with the affected States and interested parties and, to the extent possible will not duplicate studies done under other laws. 30 CFR 556.1300 (c) states that the Director may initiate studies for an area or region not identified in the leasing program. 30 CFR 556.1300(e) states that information available or collected by the studies program will, to the extent practicable, be provided in a form and in a timeframe that can be used in the decision making process associated with a specific leasing action or with longer term OCS minerals management responsibilities.</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Other authorities include:</w:t>
      </w:r>
    </w:p>
    <w:p w:rsidP="00470374">
      <w:pPr>
        <w:keepLines w:val="0"/>
        <w:numPr>
          <w:ilvl w:val="1"/>
          <w:numId w:val="20"/>
        </w:numPr>
        <w:spacing w:before="0" w:after="20"/>
        <w:ind w:left="1440" w:hanging="360"/>
        <w:jc w:val="left"/>
        <w:rPr>
          <w:rFonts w:ascii="Times New Roman" w:eastAsia="Times New Roman" w:hAnsi="Times New Roman" w:cs="Times New Roman"/>
          <w:vanish w:val="0"/>
          <w:color w:val="000000"/>
          <w:sz w:val="24"/>
        </w:rPr>
      </w:pPr>
      <w:r>
        <w:rPr>
          <w:rFonts w:ascii="Times New Roman" w:eastAsia="Times New Roman" w:hAnsi="Times New Roman" w:cs="Times New Roman"/>
          <w:vanish w:val="0"/>
          <w:color w:val="000000"/>
          <w:sz w:val="24"/>
        </w:rPr>
        <w:t>Endangered Species Act of 1973, As amended (16 U.S.C. 1531 et seq.)</w:t>
      </w:r>
    </w:p>
    <w:p w:rsidP="00470374">
      <w:pPr>
        <w:keepLines w:val="0"/>
        <w:numPr>
          <w:ilvl w:val="1"/>
          <w:numId w:val="20"/>
        </w:numPr>
        <w:spacing w:before="20" w:after="20"/>
        <w:ind w:left="1440" w:hanging="360"/>
        <w:jc w:val="left"/>
        <w:rPr>
          <w:rFonts w:ascii="Times New Roman" w:eastAsia="Times New Roman" w:hAnsi="Times New Roman" w:cs="Times New Roman"/>
          <w:vanish w:val="0"/>
          <w:color w:val="000000"/>
          <w:sz w:val="24"/>
        </w:rPr>
      </w:pPr>
      <w:r>
        <w:rPr>
          <w:rFonts w:ascii="Times New Roman" w:eastAsia="Times New Roman" w:hAnsi="Times New Roman" w:cs="Times New Roman"/>
          <w:vanish w:val="0"/>
          <w:color w:val="000000"/>
          <w:sz w:val="24"/>
        </w:rPr>
        <w:t>Marine Mammal Protection Act of 1972, As Amended (16 U.S.C. Ch. 31)</w:t>
      </w:r>
    </w:p>
    <w:p w:rsidP="00470374">
      <w:pPr>
        <w:keepLines w:val="0"/>
        <w:numPr>
          <w:ilvl w:val="1"/>
          <w:numId w:val="20"/>
        </w:numPr>
        <w:spacing w:before="20" w:after="20"/>
        <w:ind w:left="1440" w:hanging="360"/>
        <w:jc w:val="left"/>
        <w:rPr>
          <w:rFonts w:ascii="Times New Roman" w:eastAsia="Times New Roman" w:hAnsi="Times New Roman" w:cs="Times New Roman"/>
          <w:vanish w:val="0"/>
          <w:color w:val="000000"/>
          <w:sz w:val="24"/>
        </w:rPr>
      </w:pPr>
      <w:r>
        <w:rPr>
          <w:rFonts w:ascii="Times New Roman" w:eastAsia="Times New Roman" w:hAnsi="Times New Roman" w:cs="Times New Roman"/>
          <w:vanish w:val="0"/>
          <w:color w:val="000000"/>
          <w:sz w:val="24"/>
        </w:rPr>
        <w:t>Fish and Wildlife Coordination Act of 1934, As Amended Through P.L. 116-9, Enacted March 12, 2019</w:t>
      </w:r>
    </w:p>
    <w:p w:rsidP="00470374">
      <w:pPr>
        <w:keepLines w:val="0"/>
        <w:numPr>
          <w:ilvl w:val="1"/>
          <w:numId w:val="20"/>
        </w:numPr>
        <w:spacing w:before="20" w:after="150"/>
        <w:ind w:left="1440" w:hanging="360"/>
        <w:jc w:val="left"/>
        <w:rPr>
          <w:rFonts w:ascii="Times New Roman" w:eastAsia="Times New Roman" w:hAnsi="Times New Roman" w:cs="Times New Roman"/>
          <w:vanish w:val="0"/>
          <w:color w:val="000000"/>
          <w:sz w:val="24"/>
        </w:rPr>
      </w:pPr>
      <w:r>
        <w:rPr>
          <w:rFonts w:ascii="Times New Roman" w:eastAsia="Times New Roman" w:hAnsi="Times New Roman" w:cs="Times New Roman"/>
          <w:vanish w:val="0"/>
          <w:color w:val="000000"/>
          <w:sz w:val="24"/>
        </w:rPr>
        <w:t>National Environmental Policy Act (NEPA)</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3" w:name="_Toc256000002"/>
      <w:r>
        <w:rPr>
          <w:rFonts w:ascii="Times New Roman" w:eastAsia="Times New Roman" w:hAnsi="Times New Roman" w:cs="Times New Roman"/>
          <w:b/>
          <w:bCs/>
          <w:color w:val="000000"/>
          <w:sz w:val="24"/>
          <w:szCs w:val="24"/>
        </w:rPr>
        <w:t>A2. Background, Purpose and Program Requirements</w:t>
      </w:r>
      <w:bookmarkEnd w:id="3"/>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Please add any program specific text into the text field below. The program authorization or appropriation is often a good source of language for the purpose. Provide comprehensive, detailed background of project. Maximum of 5 pages. Describe program requirements in 8–10 pages, maximum of 25 pages.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PURPOSE</w:t>
      </w:r>
      <w:r>
        <w:rPr>
          <w:rFonts w:ascii="Times New Roman" w:eastAsia="Times New Roman" w:hAnsi="Times New Roman" w:cs="Times New Roman"/>
          <w:b/>
          <w:bCs/>
          <w:vanish w:val="0"/>
          <w:color w:val="000000"/>
          <w:sz w:val="24"/>
          <w:szCs w:val="24"/>
        </w:rPr>
        <w:br/>
      </w:r>
      <w:r>
        <w:rPr>
          <w:rFonts w:ascii="Times New Roman" w:eastAsia="Times New Roman" w:hAnsi="Times New Roman" w:cs="Times New Roman"/>
          <w:b w:val="0"/>
          <w:bCs w:val="0"/>
          <w:vanish w:val="0"/>
          <w:color w:val="000000"/>
          <w:sz w:val="24"/>
          <w:szCs w:val="24"/>
        </w:rPr>
        <w:t>The Bureau of Ocean Energy Management’s (BOEM), Environmental Studies Program (ESP) seeks to establish a cooperative agreement to better evaluate the effects of North Slope oil field development activities on the Arctic ringed seal subspecies (</w:t>
      </w:r>
      <w:r>
        <w:rPr>
          <w:rFonts w:ascii="Times New Roman" w:eastAsia="Times New Roman" w:hAnsi="Times New Roman" w:cs="Times New Roman"/>
          <w:b w:val="0"/>
          <w:bCs w:val="0"/>
          <w:i/>
          <w:iCs/>
          <w:vanish w:val="0"/>
          <w:color w:val="000000"/>
          <w:sz w:val="24"/>
          <w:szCs w:val="24"/>
        </w:rPr>
        <w:t>Phoca hispida hispida</w:t>
      </w:r>
      <w:r>
        <w:rPr>
          <w:rFonts w:ascii="Times New Roman" w:eastAsia="Times New Roman" w:hAnsi="Times New Roman" w:cs="Times New Roman"/>
          <w:b w:val="0"/>
          <w:bCs w:val="0"/>
          <w:vanish w:val="0"/>
          <w:color w:val="000000"/>
          <w:sz w:val="24"/>
          <w:szCs w:val="24"/>
        </w:rPr>
        <w:t xml:space="preserve">). The cooperative agreement would provide nearshore winter/spring ringed seal population density estimates using scientific approaches for detecting and monitoring seals’ in their under-snow structures, or subnivean lairs. New and existing survey methods will expand research capabilities for ringed seal population assessments, enable investigation on habitat requirements, and improve understanding of their vulnerability to a warming Arctic. Study products will provide solutions by quantifying impacts from oil and gas industry actions on ringed seals, their habitat and deliver direction for future mitigation decisions. The cooperative agreement will also assess ringed seal density estimates to support Section 7 Consultation under the Endangered Species Act (ESA); and impact assessments during the </w:t>
      </w:r>
      <w:bookmarkStart w:id="4" w:name="_Hlk65494027"/>
      <w:r>
        <w:rPr>
          <w:rStyle w:val="a"/>
          <w:rFonts w:ascii="Times New Roman" w:eastAsia="Times New Roman" w:hAnsi="Times New Roman" w:cs="Times New Roman"/>
          <w:b w:val="0"/>
          <w:bCs w:val="0"/>
          <w:vanish w:val="0"/>
          <w:color w:val="0000FF"/>
          <w:sz w:val="24"/>
          <w:szCs w:val="24"/>
          <w:u w:val="single" w:color="0000FF"/>
        </w:rPr>
        <w:t>National Environmental Policy Act (NEPA)</w:t>
      </w:r>
      <w:bookmarkEnd w:id="4"/>
      <w:r>
        <w:rPr>
          <w:rFonts w:ascii="Times New Roman" w:eastAsia="Times New Roman" w:hAnsi="Times New Roman" w:cs="Times New Roman"/>
          <w:b w:val="0"/>
          <w:bCs w:val="0"/>
          <w:vanish w:val="0"/>
          <w:color w:val="000000"/>
          <w:sz w:val="24"/>
          <w:szCs w:val="24"/>
        </w:rPr>
        <w:t xml:space="preserve"> analyses.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BACKGROUND</w:t>
      </w:r>
      <w:r>
        <w:rPr>
          <w:rFonts w:ascii="Times New Roman" w:eastAsia="Times New Roman" w:hAnsi="Times New Roman" w:cs="Times New Roman"/>
          <w:b/>
          <w:bCs/>
          <w:vanish w:val="0"/>
          <w:color w:val="000000"/>
          <w:sz w:val="24"/>
          <w:szCs w:val="24"/>
        </w:rPr>
        <w:br/>
      </w:r>
      <w:r>
        <w:rPr>
          <w:rFonts w:ascii="Times New Roman" w:eastAsia="Times New Roman" w:hAnsi="Times New Roman" w:cs="Times New Roman"/>
          <w:b w:val="0"/>
          <w:bCs w:val="0"/>
          <w:vanish w:val="0"/>
          <w:color w:val="000000"/>
          <w:sz w:val="24"/>
          <w:szCs w:val="24"/>
        </w:rPr>
        <w:t>The ringed seal is an important ice-seal in the Arctic, both ecologically and as a subsistence resource. They are circumpolar and found year-round in the Bering, Chukchi, and Beaufort seas and are listed as threatened under the ESA. During winter, the greatest population densities occur in areas of landfast ice, where they maintain a system of subnivean lairs and breathing holes in snow drifts and ice fissures. An unknown number of ringed seals inhabit the shallow ice-covered waters of the Beaufort Sea in the region bounded by the National Petroleum Reserve-Alaska (NPR-A); the Arctic National Wildlife Refuge (ANWR) and BOEMs Beaufort Sea Planning Area, where detecting seals and their snow lairs can be difficult, which makes assessing the local population and density challenging. Studying ringed seal demographics and mapping distribution of their under-snow structures is important for developing avoidance strategies and mitigating effects from onshore and offshore oil and gas development interactions (such as ice-road construction) in ringed seal habitat.</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Ringed seals overwinter in landfast ice in proximity to existing and proposed North Slope oil and gas fields. Limited data is available for ringed seal density in these areas during the winter months, but several studies on ringed seal winter ecology were undertaken during the 1980s (Kelly et al. 1986, Frost and Burns 1989, Kelly and Quakenbush 1990). Results from these studies provided information on both seal snow structure use (where snow structures include both breathing holes and subnivean lairs) and distribution of snow structures. Both male and female ringed seals maintain several breathing holes and haul out from more than one subnivean lair during the ice-covered season. Several approaches to develop capabilities for evaluating ringed seal density and measuring their snow structure density have been tested in the past. These include ground penetrating radar (GPR) (Coltrane and Williams 2000), forward- looking infrared (FLIR) cameras and snow prodding poles with marginal success (Craig Perham, BLM, per. comm. 2020). At present, BOEM recognizes three established survey systems for locating and evaluating ring seal lairs: 1) trained wildlife-detection dogs; 2) satellite-telemetry tags that sense and record seal presence in lairs; and 3) a monitoring ‘sensor web’ to detect ringed seal activity.</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Trained wildlife-detection dogs have been used effectively to find ringed seal lairs and breathing holes (Kelly and Quakenbush 1987). Using dogs to locate and assist in mapping ringed seal structures around oil and gas facilities and construction activities could provide solutions for quantifying impacts of those activities on ringed seals and expand capabilities for population assessments, research their habitat requirements and improve understanding about their vulnerability to a warming Arctic. Advances in satellite tags can also provide location information and a better understanding how ringed seal use lairs within and between years. One such advancement is using animal-borne bio-loggers that can integrate tag sensors to discover movement patterns of ringed seals in- and outside of lairs and a sensor web that can monitor under snow structures to sense ringed seal movements. These wireless networks autonomously indicate presence/absence of ringed seals and track their subnivean structure integrity through the onset of ice melt and eventual collapse during spring break up. Monitoring ringed seals’ response to industrial actions could lead to the development of improved survey techniques that would better characterize ringed seal density, their interaction with anthropogenic events in the nearshore Beaufort Sea and identify important habitats and habitat characteristics.</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BOEM is in search of reliable information for any proposed and existing industrial actions that could disturb or injure ringed seals in winter and spring, when their breathing holes and under-snow lairs are inconspicuous to human observers. BOEM recognizes the need for better and more accurate information describing the distribution of seals and their use of landfast ice habitat near oil and gas operations, therefore BOEM is seeking a comprehensive assessment of industry effects on ringed seals by establishing viable ways to locate, assess and quantify ringed seals and their under-snow structures.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OBJECTIVES</w:t>
      </w:r>
      <w:r>
        <w:rPr>
          <w:rFonts w:ascii="Times New Roman" w:eastAsia="Times New Roman" w:hAnsi="Times New Roman" w:cs="Times New Roman"/>
          <w:b/>
          <w:bCs/>
          <w:vanish w:val="0"/>
          <w:color w:val="000000"/>
          <w:sz w:val="24"/>
          <w:szCs w:val="24"/>
        </w:rPr>
        <w:br/>
      </w:r>
      <w:r>
        <w:rPr>
          <w:rFonts w:ascii="Times New Roman" w:eastAsia="Times New Roman" w:hAnsi="Times New Roman" w:cs="Times New Roman"/>
          <w:b w:val="0"/>
          <w:bCs w:val="0"/>
          <w:vanish w:val="0"/>
          <w:color w:val="000000"/>
          <w:sz w:val="24"/>
          <w:szCs w:val="24"/>
        </w:rPr>
        <w:t>The goal of this Cooperative Agreement is to gather information on ringed seal distribution, density and habitat use within the landfast ice zone adjacent to BOEMs Beaufort Sea Planning Area, NPR-A, ANWR and within other existing North Slope oil gas fields present in the nearshore Beaufort Sea. The objectives of this study are to:</w:t>
      </w:r>
    </w:p>
    <w:p w:rsidP="00470374">
      <w:pPr>
        <w:pStyle w:val="Normal0"/>
        <w:keepLines w:val="0"/>
        <w:numPr>
          <w:ilvl w:val="0"/>
          <w:numId w:val="21"/>
        </w:numPr>
        <w:spacing w:before="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Analyze nearshore ice use by ringed seals by locating and documenting status of wintering seals and their structures to develop avoidance strategies where ring seal habitat overlaps with North Slope oil and gas activities.</w:t>
      </w:r>
    </w:p>
    <w:p w:rsidP="00470374">
      <w:pPr>
        <w:pStyle w:val="Normal0"/>
        <w:keepLines w:val="0"/>
        <w:numPr>
          <w:ilvl w:val="0"/>
          <w:numId w:val="21"/>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Utilize novel survey technology to expand capabilities to facilitate research on the habitat of ringed seals to improve understanding of ringed seal movements.</w:t>
      </w:r>
    </w:p>
    <w:p w:rsidP="00470374">
      <w:pPr>
        <w:pStyle w:val="Normal0"/>
        <w:keepLines w:val="0"/>
        <w:numPr>
          <w:ilvl w:val="0"/>
          <w:numId w:val="21"/>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Identify winter and spring seasonal movement patterns of adult ringed seals with an emphasis on detecting subnivean lair use in landfast ice in areas bounded by NPR-A, ANWR and BOEMs Beaufort Sea Planning Area.</w:t>
      </w:r>
    </w:p>
    <w:p w:rsidP="00470374">
      <w:pPr>
        <w:pStyle w:val="Normal0"/>
        <w:keepLines w:val="0"/>
        <w:numPr>
          <w:ilvl w:val="0"/>
          <w:numId w:val="21"/>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Document ringed seal habitat use areas and local foraging behavior by classifying foraging locations and determine if oil and gas development activities create movement barriers for ringed seals to access prey.</w:t>
      </w:r>
    </w:p>
    <w:p w:rsidP="00470374">
      <w:pPr>
        <w:pStyle w:val="Normal0"/>
        <w:keepLines w:val="0"/>
        <w:numPr>
          <w:ilvl w:val="0"/>
          <w:numId w:val="21"/>
        </w:numPr>
        <w:spacing w:before="20" w:after="15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Evaluate and compare the efficiencies of the proposed survey technologies with existing methods used to detect ringed seals, their breathing holes and lairs.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 DESCRIPTION OF WORK</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DATA MANAGEMENT, ARCHIVING, AND SENSITIVITY</w:t>
      </w:r>
      <w:r>
        <w:rPr>
          <w:rFonts w:ascii="Times New Roman" w:eastAsia="Times New Roman" w:hAnsi="Times New Roman" w:cs="Times New Roman"/>
          <w:b/>
          <w:bCs/>
          <w:vanish w:val="0"/>
          <w:color w:val="000000"/>
          <w:sz w:val="24"/>
          <w:szCs w:val="24"/>
        </w:rPr>
        <w:br/>
      </w:r>
      <w:r>
        <w:rPr>
          <w:rFonts w:ascii="Times New Roman" w:eastAsia="Times New Roman" w:hAnsi="Times New Roman" w:cs="Times New Roman"/>
          <w:b w:val="0"/>
          <w:bCs w:val="0"/>
          <w:vanish w:val="0"/>
          <w:color w:val="000000"/>
          <w:sz w:val="24"/>
          <w:szCs w:val="24"/>
        </w:rPr>
        <w:t>The recipient shall provide copies of data files to the BOEM in a format that meets Federal data standards (e.g., meeting minutes, field observations, transcripts, audio recordings, maps). The recipient shall use the data format specifications found at https://</w:t>
      </w:r>
      <w:hyperlink r:id="rId15" w:history="1">
        <w:r>
          <w:rPr>
            <w:rFonts w:ascii="Times New Roman" w:eastAsia="Times New Roman" w:hAnsi="Times New Roman" w:cs="Times New Roman"/>
            <w:b w:val="0"/>
            <w:bCs w:val="0"/>
            <w:vanish w:val="0"/>
            <w:color w:val="0000FF"/>
            <w:sz w:val="24"/>
            <w:szCs w:val="24"/>
            <w:u w:val="single" w:color="0000FF"/>
          </w:rPr>
          <w:t>www.boem.gov/esp-data-and-information-specifications.</w:t>
        </w:r>
      </w:hyperlink>
      <w:r>
        <w:rPr>
          <w:rFonts w:ascii="Times New Roman" w:eastAsia="Times New Roman" w:hAnsi="Times New Roman" w:cs="Times New Roman"/>
          <w:b w:val="0"/>
          <w:bCs w:val="0"/>
          <w:vanish w:val="0"/>
          <w:color w:val="000000"/>
          <w:sz w:val="24"/>
          <w:szCs w:val="24"/>
        </w:rPr>
        <w:t>  The  recipient shall provide copies of data files to an appropriate Federal data repository and archive data and reports at an appropriate repository in Alaska.</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bCs/>
          <w:vanish w:val="0"/>
          <w:color w:val="000000"/>
          <w:sz w:val="24"/>
          <w:szCs w:val="24"/>
        </w:rPr>
        <w:t>TASKS:</w:t>
      </w:r>
      <w:r>
        <w:rPr>
          <w:rFonts w:ascii="Times New Roman" w:eastAsia="Times New Roman" w:hAnsi="Times New Roman" w:cs="Times New Roman"/>
          <w:b w:val="0"/>
          <w:bCs w:val="0"/>
          <w:vanish w:val="0"/>
          <w:color w:val="000000"/>
          <w:sz w:val="24"/>
          <w:szCs w:val="24"/>
        </w:rPr>
        <w:t> Tasks to be completed include, but are not limited to:</w:t>
      </w:r>
    </w:p>
    <w:p w:rsidP="00470374">
      <w:pPr>
        <w:pStyle w:val="Normal0"/>
        <w:keepLines w:val="0"/>
        <w:numPr>
          <w:ilvl w:val="0"/>
          <w:numId w:val="22"/>
        </w:numPr>
        <w:spacing w:before="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Evaluate the use of trained wildlife-detection dogs to locate ringed seals in their under-snow structures and locations of breathing holes.</w:t>
      </w:r>
    </w:p>
    <w:p w:rsidP="00470374">
      <w:pPr>
        <w:pStyle w:val="Normal0"/>
        <w:keepLines w:val="0"/>
        <w:numPr>
          <w:ilvl w:val="0"/>
          <w:numId w:val="22"/>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Acquire all permits needed to access Prudhoe Bay from facility operators for deploying wildlife- detection dogs from the State of Alaska, North Slope Borough, NMFS regulatory and veterinary clearances such as health certificate for travel and proof of immunizations, specifically rabies vaccinations.</w:t>
      </w:r>
    </w:p>
    <w:p w:rsidP="00470374">
      <w:pPr>
        <w:pStyle w:val="Normal0"/>
        <w:keepLines w:val="0"/>
        <w:numPr>
          <w:ilvl w:val="0"/>
          <w:numId w:val="22"/>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Describe the methodologies that will be used for dog detected ringed seal lairs; map concentrations of seal structures including breathing holes and abandoned structures; quantify ringed seal habitat and delineate home ranges.</w:t>
      </w:r>
    </w:p>
    <w:p w:rsidP="00470374">
      <w:pPr>
        <w:pStyle w:val="Normal0"/>
        <w:keepLines w:val="0"/>
        <w:numPr>
          <w:ilvl w:val="0"/>
          <w:numId w:val="22"/>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Use Global Positioning System (GPS) integrated computer program to record observations, locations, and environmental conditions to accurately define coordinates and waypoints to detail ringed seal structure connectivity to other ringed seal habitat structures for post-processing map development using geographic information system (GIS) to capture, store and display data for spatially positioning habitat structures within the nearshore environment and the North Slope industrial complex.</w:t>
      </w:r>
    </w:p>
    <w:p w:rsidP="00470374">
      <w:pPr>
        <w:pStyle w:val="Normal0"/>
        <w:keepLines w:val="0"/>
        <w:numPr>
          <w:ilvl w:val="0"/>
          <w:numId w:val="22"/>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Obtain live-captured ringed seals needed to collect biological samples. Follow Kelly (1996) or any new advances for live-capture techniques for safe handling of ringed seals in their subnivean lairs using technology to study their behavior and movements and categorize lairs based on ringed seals' apparent use.</w:t>
      </w:r>
    </w:p>
    <w:p w:rsidP="00470374">
      <w:pPr>
        <w:pStyle w:val="Normal0"/>
        <w:keepLines w:val="0"/>
        <w:numPr>
          <w:ilvl w:val="0"/>
          <w:numId w:val="22"/>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The proposal should identify the optimal type of sensor tag that will be used to obtain recording and transmitting behavioral, physiological, and environmental variables and parameters, such as an animals fine-scale movement, flipper stroking, heart rate and oxygen concentration.</w:t>
      </w:r>
    </w:p>
    <w:p w:rsidP="00470374">
      <w:pPr>
        <w:pStyle w:val="Normal0"/>
        <w:keepLines w:val="0"/>
        <w:numPr>
          <w:ilvl w:val="0"/>
          <w:numId w:val="22"/>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The proposal should include plans for an optional task to deploy animal-borne video devices used to sense, record, and monitor under-snow structures for ringed seal activity. Description of this task should include information regarding the number of cameras would be deployed and the approximate length of deployment.</w:t>
      </w:r>
    </w:p>
    <w:p w:rsidP="00470374">
      <w:pPr>
        <w:pStyle w:val="Normal0"/>
        <w:keepLines w:val="0"/>
        <w:numPr>
          <w:ilvl w:val="0"/>
          <w:numId w:val="22"/>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In collaboration with BOEM, confer with the National Marine Fisheries Service (NMFS), Alaska Department of Fish and Game (ADF&amp;G) and the North Slope Borough (NSB) to review existing data and identify any additional information needed to support evaluation of ringed seal density in the central Alaskan Beaufort Sea landfast ice zone.</w:t>
      </w:r>
    </w:p>
    <w:p w:rsidP="00470374">
      <w:pPr>
        <w:pStyle w:val="Normal0"/>
        <w:keepLines w:val="0"/>
        <w:numPr>
          <w:ilvl w:val="0"/>
          <w:numId w:val="22"/>
        </w:numPr>
        <w:spacing w:before="20" w:after="15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Test at various stages of snow transformation (full winter conditions, melt season, and collapse). Integrate the sensors to test in the same manner during the subsequent winter seasons to evaluate performance.</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Project Management</w:t>
      </w:r>
      <w:r>
        <w:rPr>
          <w:rFonts w:ascii="Times New Roman" w:eastAsia="Times New Roman" w:hAnsi="Times New Roman" w:cs="Times New Roman"/>
          <w:b/>
          <w:bCs/>
          <w:vanish w:val="0"/>
          <w:color w:val="000000"/>
          <w:sz w:val="24"/>
          <w:szCs w:val="24"/>
        </w:rPr>
        <w:br/>
      </w:r>
      <w:r>
        <w:rPr>
          <w:rFonts w:ascii="Times New Roman" w:eastAsia="Times New Roman" w:hAnsi="Times New Roman" w:cs="Times New Roman"/>
          <w:b w:val="0"/>
          <w:bCs w:val="0"/>
          <w:vanish w:val="0"/>
          <w:color w:val="000000"/>
          <w:sz w:val="24"/>
          <w:szCs w:val="24"/>
        </w:rPr>
        <w:t>The Principal Investigator shall follow a project management plan that provides communication and coordination among all key personnel and management, and a mechanism for ensuring coordination with the BOEM Project Officer (PO).</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Catalog of Federal Domestic Assistance (CFDA) Number</w:t>
      </w:r>
    </w:p>
    <w:p w:rsidP="00470374">
      <w:pPr>
        <w:keepLines w:val="0"/>
        <w:spacing w:before="6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Insert program CFDA. Include multiple program numbers as applicable.</w:t>
      </w:r>
    </w:p>
    <w:p w:rsidP="00470374">
      <w:pPr>
        <w:keepLines w:val="0"/>
        <w:spacing w:before="20" w:after="20"/>
        <w:ind w:left="0"/>
        <w:jc w:val="left"/>
        <w:rPr>
          <w:rFonts w:ascii="Times New Roman" w:eastAsia="Times New Roman" w:hAnsi="Times New Roman" w:cs="Times New Roman"/>
          <w:vanish w:val="0"/>
          <w:color w:val="000000"/>
          <w:sz w:val="24"/>
        </w:rPr>
      </w:pPr>
      <w:r>
        <w:rPr>
          <w:rFonts w:ascii="Times New Roman" w:eastAsia="Times New Roman" w:hAnsi="Times New Roman" w:cs="Times New Roman"/>
          <w:vanish w:val="0"/>
          <w:color w:val="000000"/>
          <w:sz w:val="24"/>
        </w:rPr>
        <w:t>15.423</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Authorization Legislation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Section 1346 of the Outer Continental Shelf Lands Act (OCSLA) mandates the conduct of environmental and socioeconomic studies needed for the assessment and management of environmental impacts on the human, marine, and coastal environments which may be affected by oil and gas or other mineral development. </w:t>
      </w:r>
      <w:r>
        <w:rPr>
          <w:rFonts w:ascii="Times New Roman" w:eastAsia="Times New Roman" w:hAnsi="Times New Roman" w:cs="Times New Roman"/>
          <w:b w:val="0"/>
          <w:bCs w:val="0"/>
          <w:color w:val="000000"/>
          <w:sz w:val="24"/>
          <w:szCs w:val="24"/>
          <w:u w:val="single"/>
        </w:rPr>
        <w:t>OCSLA Section 1345</w:t>
      </w:r>
      <w:r>
        <w:rPr>
          <w:rFonts w:ascii="Times New Roman" w:eastAsia="Times New Roman" w:hAnsi="Times New Roman" w:cs="Times New Roman"/>
          <w:b w:val="0"/>
          <w:bCs w:val="0"/>
          <w:color w:val="000000"/>
          <w:sz w:val="24"/>
          <w:szCs w:val="24"/>
        </w:rPr>
        <w:t xml:space="preserve"> authorizes the use of cooperative agreements with affected States to meet the requirements of OCSLA, including sharing of information, joint utilization of available expertise, formation of joint monitoring arrangements to carry out applicable Federal and State laws, regulations, and stipulations relevant to outer continental shelf operations both onshore and offshore.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5" w:name="_Toc256000003"/>
      <w:r>
        <w:rPr>
          <w:rFonts w:ascii="Times New Roman" w:eastAsia="Times New Roman" w:hAnsi="Times New Roman" w:cs="Times New Roman"/>
          <w:b/>
          <w:bCs/>
          <w:color w:val="000000"/>
          <w:sz w:val="24"/>
          <w:szCs w:val="24"/>
        </w:rPr>
        <w:t>A3. Technical Assistance and Information for Prospective Applicants</w:t>
      </w:r>
      <w:bookmarkEnd w:id="5"/>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Include information on pre-conference calls, evaluation contracts, technical assistance contracts, webinars, data contracts.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bCs/>
          <w:vanish w:val="0"/>
          <w:color w:val="000000"/>
          <w:sz w:val="24"/>
          <w:szCs w:val="24"/>
        </w:rPr>
        <w:t> </w:t>
      </w:r>
      <w:r>
        <w:rPr>
          <w:rFonts w:ascii="Times New Roman" w:eastAsia="Times New Roman" w:hAnsi="Times New Roman" w:cs="Times New Roman"/>
          <w:b/>
          <w:bCs/>
          <w:vanish w:val="0"/>
          <w:color w:val="000000"/>
          <w:sz w:val="24"/>
          <w:szCs w:val="24"/>
        </w:rPr>
        <w:br/>
      </w:r>
      <w:r>
        <w:rPr>
          <w:rFonts w:ascii="Times New Roman" w:eastAsia="Times New Roman" w:hAnsi="Times New Roman" w:cs="Times New Roman"/>
          <w:b/>
          <w:bCs/>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1"/>
        <w:keepLines w:val="0"/>
        <w:pBdr>
          <w:top w:val="none" w:sz="0" w:space="2" w:color="auto"/>
          <w:left w:val="none" w:sz="0" w:space="2" w:color="auto"/>
          <w:bottom w:val="none" w:sz="0" w:space="2" w:color="auto"/>
          <w:right w:val="none" w:sz="0" w:space="2" w:color="auto"/>
        </w:pBdr>
        <w:shd w:val="clear" w:color="auto" w:fill="BCDFFB"/>
        <w:spacing w:before="20" w:after="20"/>
        <w:ind w:left="45" w:right="45"/>
        <w:jc w:val="left"/>
        <w:rPr>
          <w:rFonts w:ascii="Times New Roman" w:eastAsia="Times New Roman" w:hAnsi="Times New Roman" w:cs="Times New Roman"/>
          <w:b/>
          <w:bCs/>
          <w:color w:val="000000"/>
          <w:sz w:val="24"/>
          <w:szCs w:val="24"/>
        </w:rPr>
      </w:pPr>
      <w:bookmarkStart w:id="6" w:name="_Toc256000004"/>
      <w:r>
        <w:rPr>
          <w:rFonts w:ascii="Times New Roman" w:eastAsia="Times New Roman" w:hAnsi="Times New Roman" w:cs="Times New Roman"/>
          <w:b/>
          <w:bCs/>
          <w:color w:val="000000"/>
          <w:sz w:val="24"/>
          <w:szCs w:val="24"/>
        </w:rPr>
        <w:t>B. Federal Award Information</w:t>
      </w:r>
      <w:bookmarkEnd w:id="6"/>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This section provides sufficient information to help an applicant make an informed decision about whether to submit a proposal. Relevant information could include the total amount of funding that the Bureau expects to award through the Notice of Funding Opportunity; the anticipated number of Federal awards; the expected amounts of individual Federal awards (which may be a range); the amount of funding per Federal award, on average, experienced in previous years; and the anticipated start dates and periods of performance for new Federal awards. This section also should address whether applications for renewal or supplementation of existing projects are eligible to compete with applications for new Federal awards.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7" w:name="_Toc256000005"/>
      <w:r>
        <w:rPr>
          <w:rFonts w:ascii="Times New Roman" w:eastAsia="Times New Roman" w:hAnsi="Times New Roman" w:cs="Times New Roman"/>
          <w:b/>
          <w:bCs/>
          <w:color w:val="000000"/>
          <w:sz w:val="24"/>
          <w:szCs w:val="24"/>
        </w:rPr>
        <w:t>B1. Total Funding</w:t>
      </w:r>
      <w:bookmarkEnd w:id="7"/>
      <w:r>
        <w:rPr>
          <w:rFonts w:ascii="Times New Roman" w:eastAsia="Times New Roman" w:hAnsi="Times New Roman" w:cs="Times New Roman"/>
          <w:b/>
          <w:bCs/>
          <w:color w:val="000000"/>
          <w:sz w:val="24"/>
          <w:szCs w:val="24"/>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Estimated Total Funding</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$ 500,000</w:t>
      </w:r>
    </w:p>
    <w:p w:rsidP="00470374">
      <w:pPr>
        <w:keepLines w:val="0"/>
        <w:spacing w:before="20" w:after="20"/>
        <w:ind w:left="0"/>
        <w:jc w:val="left"/>
        <w:rPr>
          <w:rFonts w:ascii="Times New Roman" w:eastAsia="Times New Roman" w:hAnsi="Times New Roman" w:cs="Times New Roman"/>
          <w:b w:val="0"/>
          <w:vanish/>
          <w:color w:val="000000"/>
          <w:sz w:val="24"/>
        </w:rPr>
      </w:pPr>
      <w:r>
        <w:rPr>
          <w:rFonts w:ascii="Times New Roman" w:eastAsia="Times New Roman" w:hAnsi="Times New Roman" w:cs="Times New Roman"/>
          <w:b w:val="0"/>
          <w:vanish/>
          <w:color w:val="009745"/>
          <w:sz w:val="24"/>
        </w:rPr>
        <w:t>This section should specify the amount authorized for the entire program, not individual awards. Sample Text: 'The total amount of federal funds available is anticipated to be $32,000,000.'</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The total amount of federal funds available for this multi-year award is anticipated to be:</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$500,000</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8" w:name="_Toc256000006"/>
      <w:r>
        <w:rPr>
          <w:rFonts w:ascii="Times New Roman" w:eastAsia="Times New Roman" w:hAnsi="Times New Roman" w:cs="Times New Roman"/>
          <w:b/>
          <w:bCs/>
          <w:color w:val="000000"/>
          <w:sz w:val="24"/>
          <w:szCs w:val="24"/>
        </w:rPr>
        <w:t>B2. Expected Award Amount</w:t>
      </w:r>
      <w:bookmarkEnd w:id="8"/>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Maximum Award Amount</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$ 500,000</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Minimum Award Amount</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$ 400,000</w:t>
      </w:r>
    </w:p>
    <w:p w:rsidP="00470374">
      <w:pPr>
        <w:keepLines w:val="0"/>
        <w:spacing w:before="20" w:after="20"/>
        <w:ind w:left="0"/>
        <w:jc w:val="left"/>
        <w:rPr>
          <w:rFonts w:ascii="Times New Roman" w:eastAsia="Times New Roman" w:hAnsi="Times New Roman" w:cs="Times New Roman"/>
          <w:b w:val="0"/>
          <w:vanish/>
          <w:color w:val="000000"/>
          <w:sz w:val="24"/>
        </w:rPr>
      </w:pPr>
      <w:r>
        <w:rPr>
          <w:rFonts w:ascii="Times New Roman" w:eastAsia="Times New Roman" w:hAnsi="Times New Roman" w:cs="Times New Roman"/>
          <w:b w:val="0"/>
          <w:vanish/>
          <w:color w:val="009745"/>
          <w:sz w:val="24"/>
        </w:rPr>
        <w:t>If Minimum/Maximum Award Amounts do not apply, mark as 0$ and add a thorough explanation in the text field below.</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9" w:name="_Toc256000007"/>
      <w:r>
        <w:rPr>
          <w:rFonts w:ascii="Times New Roman" w:eastAsia="Times New Roman" w:hAnsi="Times New Roman" w:cs="Times New Roman"/>
          <w:b/>
          <w:bCs/>
          <w:color w:val="000000"/>
          <w:sz w:val="24"/>
          <w:szCs w:val="24"/>
        </w:rPr>
        <w:t>B3. Anticipated Dates</w:t>
      </w:r>
      <w:bookmarkEnd w:id="9"/>
      <w:r>
        <w:rPr>
          <w:rFonts w:ascii="Times New Roman" w:eastAsia="Times New Roman" w:hAnsi="Times New Roman" w:cs="Times New Roman"/>
          <w:b/>
          <w:bCs/>
          <w:color w:val="000000"/>
          <w:sz w:val="24"/>
          <w:szCs w:val="24"/>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Award Start Date</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July 01, 2021</w:t>
      </w:r>
    </w:p>
    <w:p w:rsidP="00470374">
      <w:pPr>
        <w:keepLines w:val="0"/>
        <w:spacing w:before="20" w:after="20"/>
        <w:ind w:left="0"/>
        <w:jc w:val="left"/>
        <w:rPr>
          <w:rFonts w:ascii="Times New Roman" w:eastAsia="Times New Roman" w:hAnsi="Times New Roman" w:cs="Times New Roman"/>
          <w:b w:val="0"/>
          <w:vanish/>
          <w:color w:val="000000"/>
          <w:sz w:val="24"/>
        </w:rPr>
      </w:pPr>
      <w:r>
        <w:rPr>
          <w:rFonts w:ascii="Times New Roman" w:eastAsia="Times New Roman" w:hAnsi="Times New Roman" w:cs="Times New Roman"/>
          <w:b w:val="0"/>
          <w:vanish/>
          <w:color w:val="009745"/>
          <w:sz w:val="24"/>
        </w:rPr>
        <w:t>Provide award date and specify any rolling deadlines.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10" w:name="_Toc256000008"/>
      <w:r>
        <w:rPr>
          <w:rFonts w:ascii="Times New Roman" w:eastAsia="Times New Roman" w:hAnsi="Times New Roman" w:cs="Times New Roman"/>
          <w:b/>
          <w:bCs/>
          <w:color w:val="000000"/>
          <w:sz w:val="24"/>
          <w:szCs w:val="24"/>
        </w:rPr>
        <w:t>B4. Period of Performance</w:t>
      </w:r>
      <w:bookmarkEnd w:id="10"/>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As applicable, describe the anticipated periods of performance for awards issued through this funding opportunity</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Length of Project Periods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Other</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Length of Project Period Explanation of Other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40-month project period with three 12-month budget periods (additional months included in final period).40-month project period with three 12-month budget periods (additional months included in final period).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Project Period l Expectation Duration in Months</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40</w:t>
      </w:r>
    </w:p>
    <w:p w:rsidP="00470374">
      <w:pPr>
        <w:keepLines w:val="0"/>
        <w:spacing w:before="20" w:after="20"/>
        <w:ind w:left="0"/>
        <w:jc w:val="left"/>
        <w:rPr>
          <w:rFonts w:ascii="Times New Roman" w:eastAsia="Times New Roman" w:hAnsi="Times New Roman" w:cs="Times New Roman"/>
          <w:b w:val="0"/>
          <w:vanish/>
          <w:color w:val="000000"/>
          <w:sz w:val="24"/>
        </w:rPr>
      </w:pPr>
      <w:r>
        <w:rPr>
          <w:rFonts w:ascii="Times New Roman" w:eastAsia="Times New Roman" w:hAnsi="Times New Roman" w:cs="Times New Roman"/>
          <w:b w:val="0"/>
          <w:vanish/>
          <w:color w:val="009745"/>
          <w:sz w:val="24"/>
        </w:rPr>
        <w:t>For multi-year projects, outline multi-year project period and funding structure. (i.e. total amount of money allocated each year and how it will be provided.)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If the proposed work is such that more than one year is required to complete the research, then a multi- year proposal is appropriate, and the applicant shall write the proposal accordingly. Proposals shall clearly define the work to be completed in each year, and the evaluation panel reserves the option to fund only the first year of a multi-year proposal. Funding for subsequent years of a multi-year cooperative agreement is contingent upon the availability of funds and satisfactory progress demonstrated by the Recipient. Progress will be determined through technical review of quarterly progress reports and other work identified by the BOEM Project Officer. Funds requested for the final year of performance shall include a 15% retainage of the project’s total anticipated budget request. The BOEM Project Officer shall provide continuation notices at least 60 days prior to the end of each funding period.</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11" w:name="_Toc256000009"/>
      <w:r>
        <w:rPr>
          <w:rFonts w:ascii="Times New Roman" w:eastAsia="Times New Roman" w:hAnsi="Times New Roman" w:cs="Times New Roman"/>
          <w:b/>
          <w:bCs/>
          <w:color w:val="000000"/>
          <w:sz w:val="24"/>
          <w:szCs w:val="24"/>
        </w:rPr>
        <w:t>B5. Numbers of Awards</w:t>
      </w:r>
      <w:bookmarkEnd w:id="11"/>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Enter number of awards the program anticipates making through this funding opportunity. If the program has established minimum and maximum values for the anticipated total number of awards, enter those values in the maximum and minimum fields below. If either of these values does not apply, enter “0” in the corresponding field(s) and then enter an alternate description of the anticipated number of awards in the following text field.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Expected Number of Awards</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1</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12" w:name="_Toc256000010"/>
      <w:r>
        <w:rPr>
          <w:rFonts w:ascii="Times New Roman" w:eastAsia="Times New Roman" w:hAnsi="Times New Roman" w:cs="Times New Roman"/>
          <w:b/>
          <w:bCs/>
          <w:color w:val="000000"/>
          <w:sz w:val="24"/>
          <w:szCs w:val="24"/>
        </w:rPr>
        <w:t>B6. Type of Award</w:t>
      </w:r>
      <w:bookmarkEnd w:id="12"/>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Funding Instrument Type</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CA - Cooperative Agreement</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The award will be a cooperative agreement. This involves substantial involvement by BOEM scientists in various aspects of study development and/or study conduct. BOEM will be involved in all aspects of the study. BOEM research managers will assist the recipient in designing the study and developing the methodology. BOEM will assist the recipient to identify the most appropriate approaches to data analysis and presentation of results. BOEM will work collaboratively with the recipient to compare results and insights with existing data and management plans. BOEM will also compare study results and insights with existing data from state and federal studies, including previous BOEM studies examining subsistence practices. BOEM scientists will be engaged with the recipient to provide advice and assistance during collection of observations and data analysis to achieve high scientific standards. BOEM will help the recipient with report writing and review and presentation of results as appropriate.</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13" w:name="_Toc256000011"/>
      <w:r>
        <w:rPr>
          <w:rFonts w:ascii="Times New Roman" w:eastAsia="Times New Roman" w:hAnsi="Times New Roman" w:cs="Times New Roman"/>
          <w:b/>
          <w:bCs/>
          <w:color w:val="000000"/>
          <w:sz w:val="24"/>
          <w:szCs w:val="24"/>
        </w:rPr>
        <w:t>B7. Other Federal Information</w:t>
      </w:r>
      <w:bookmarkEnd w:id="13"/>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Type of Competition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Open to All Eligible Applicants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1"/>
        <w:keepLines w:val="0"/>
        <w:pBdr>
          <w:top w:val="none" w:sz="0" w:space="2" w:color="auto"/>
          <w:left w:val="none" w:sz="0" w:space="2" w:color="auto"/>
          <w:bottom w:val="none" w:sz="0" w:space="2" w:color="auto"/>
          <w:right w:val="none" w:sz="0" w:space="2" w:color="auto"/>
        </w:pBdr>
        <w:shd w:val="clear" w:color="auto" w:fill="BCDFFB"/>
        <w:spacing w:before="20" w:after="20"/>
        <w:ind w:left="45" w:right="45"/>
        <w:jc w:val="left"/>
        <w:rPr>
          <w:rFonts w:ascii="Times New Roman" w:eastAsia="Times New Roman" w:hAnsi="Times New Roman" w:cs="Times New Roman"/>
          <w:b/>
          <w:bCs/>
          <w:color w:val="000000"/>
          <w:sz w:val="24"/>
          <w:szCs w:val="24"/>
        </w:rPr>
      </w:pPr>
      <w:bookmarkStart w:id="14" w:name="_Toc256000012"/>
      <w:r>
        <w:rPr>
          <w:rFonts w:ascii="Times New Roman" w:eastAsia="Times New Roman" w:hAnsi="Times New Roman" w:cs="Times New Roman"/>
          <w:b/>
          <w:bCs/>
          <w:color w:val="000000"/>
          <w:sz w:val="24"/>
          <w:szCs w:val="24"/>
        </w:rPr>
        <w:t>C. Eligibility Information</w:t>
      </w:r>
      <w:bookmarkEnd w:id="14"/>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This section addresses the considerations or factors that determine applicant or application eligibility. If there are no restrictions on eligibility, select “99 (Unrestricted) from the list of eligible applicants. If there are restrictions on eligibility, we must be clear about the specific types of recipients that are eligible, not just the types that are ineligible. Eligible recipients must also appear in the program’s SAM.gov Assistance Listing (CFDA) profile. The Notice of Funding Opportunity should make clear whether an applicant's failure to meet an eligibility criterion by the time of an application deadline will result in the Bureau returning the application without review or, even though an application may be reviewed, will preclude Bureau from making a Federal award. *PLEASE NOTE: Some entities are incorporated as non-profits but have not requested Internal Revenue Status (IRS) tax exemption status; programs with authorizing legislation that limits applicant eligibility to only those non-profits with a specific tax exemption status must make that restriction clear in this section and describe any related evidentiary documentation requirements].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15" w:name="_Toc256000013"/>
      <w:r>
        <w:rPr>
          <w:rFonts w:ascii="Times New Roman" w:eastAsia="Times New Roman" w:hAnsi="Times New Roman" w:cs="Times New Roman"/>
          <w:b/>
          <w:bCs/>
          <w:color w:val="000000"/>
          <w:sz w:val="24"/>
          <w:szCs w:val="24"/>
        </w:rPr>
        <w:t>C1. Eligible Applicants</w:t>
      </w:r>
      <w:bookmarkEnd w:id="15"/>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If the program does not have any eligibility restrictions based on entity type, select the \\\"Anyone/general public” option in the following checklist. Enter any clarifying information in the following text box, as needed. If the program does have eligibility restrictions based on entity type, we must be clear about the specific types of entities who are eligible. To do so, check the boxes next to all eligible entity types in the following checklist and enter any clarifying information in the following text box, as needed. If there are restrictions on eligibility, it is important to be clear about the specific types of entities that are eligible, not just the types that are ineligible. For example, if the program is limited to nonprofit organizations subject to 26 U.S.C. 501(c)(3) of the tax code (26 U.S.C. 501(c)(3)), the announcement should say so. Similarly, it is better to state explicitly that Native American tribal organizations are eligible than to assume that they can unambiguously infer that from a statement that nonprofit organizations may apply. Programs may also express eligibility by exception (e.g., open to all types of domestic applicants other than individuals). Specifically reference any documentation applicants must submit to support an eligibility determination (e.g., if the program limits eligibility to only non-profits with a specific IRS status, state in the field below that proof of 501(c)(3) status as determined by the Internal Revenue Service or an authorizing tribal resolution is required). To the extent that any program funding restriction could affect the eligibility of an applicant or project, the announcement must either restate that restriction in this section or provide a cross-reference to its description as it appears elsewhere in this template.</w:t>
      </w:r>
    </w:p>
    <w:p w:rsidP="00470374">
      <w:pPr>
        <w:keepLines w:val="0"/>
        <w:spacing w:before="20" w:after="20"/>
        <w:ind w:left="0"/>
        <w:jc w:val="left"/>
        <w:rPr>
          <w:rFonts w:ascii="Times New Roman" w:eastAsia="Times New Roman" w:hAnsi="Times New Roman" w:cs="Times New Roman"/>
          <w:vanish w:val="0"/>
          <w:color w:val="000000"/>
          <w:sz w:val="24"/>
        </w:rPr>
      </w:pPr>
      <w:r>
        <w:rPr>
          <w:rFonts w:ascii="Times New Roman" w:eastAsia="Times New Roman" w:hAnsi="Times New Roman" w:cs="Times New Roman"/>
          <w:vanish w:val="0"/>
          <w:color w:val="000000"/>
          <w:sz w:val="24"/>
        </w:rPr>
        <w:t>00 – State governments</w:t>
      </w:r>
      <w:r>
        <w:rPr>
          <w:rFonts w:ascii="Times New Roman" w:eastAsia="Times New Roman" w:hAnsi="Times New Roman" w:cs="Times New Roman"/>
          <w:vanish w:val="0"/>
          <w:color w:val="000000"/>
          <w:sz w:val="24"/>
        </w:rPr>
        <w:br/>
      </w:r>
      <w:r>
        <w:rPr>
          <w:rFonts w:ascii="Times New Roman" w:eastAsia="Times New Roman" w:hAnsi="Times New Roman" w:cs="Times New Roman"/>
          <w:vanish w:val="0"/>
          <w:color w:val="000000"/>
          <w:sz w:val="24"/>
        </w:rPr>
        <w:t>06 – Public and State controlled institutions of higher education</w:t>
      </w:r>
      <w:r>
        <w:rPr>
          <w:rFonts w:ascii="Times New Roman" w:eastAsia="Times New Roman" w:hAnsi="Times New Roman" w:cs="Times New Roman"/>
          <w:vanish w:val="0"/>
          <w:color w:val="000000"/>
          <w:sz w:val="24"/>
        </w:rPr>
        <w:br/>
      </w:r>
      <w:r>
        <w:rPr>
          <w:rFonts w:ascii="Times New Roman" w:eastAsia="Times New Roman" w:hAnsi="Times New Roman" w:cs="Times New Roman"/>
          <w:vanish w:val="0"/>
          <w:color w:val="000000"/>
          <w:sz w:val="24"/>
        </w:rPr>
        <w:t>25 – Others (see text field entitled “Additional Information on Eligibility” for clarification)</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Additional Information on Eligibility </w:t>
      </w:r>
    </w:p>
    <w:p w:rsidP="00470374">
      <w:pPr>
        <w:keepLines w:val="0"/>
        <w:spacing w:before="6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Explanation required if “Others” is selected.Explanation required if “Others” is selected.</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xml:space="preserve">This Program Announcement describes the specific projects that may be awarded to the universities or eligible groups identified below. All awards are premised on receipt of an acceptable proposal.  This announcement is specifically to announce intent to undertake the following project(s): </w:t>
      </w:r>
      <w:bookmarkStart w:id="16" w:name="_Hlk65501700"/>
      <w:r>
        <w:rPr>
          <w:rFonts w:ascii="Times New Roman" w:eastAsia="Times New Roman" w:hAnsi="Times New Roman" w:cs="Times New Roman"/>
          <w:b w:val="0"/>
          <w:bCs w:val="0"/>
          <w:i/>
          <w:iCs/>
          <w:vanish w:val="0"/>
          <w:color w:val="0000FF"/>
          <w:sz w:val="24"/>
          <w:szCs w:val="24"/>
          <w:u w:val="single" w:color="0000FF"/>
        </w:rPr>
        <w:t>Winter Ringed Seal Density within Beaufort Sea Oil and Gas Project Areas</w:t>
      </w:r>
      <w:bookmarkEnd w:id="16"/>
      <w:r>
        <w:rPr>
          <w:rFonts w:ascii="Times New Roman" w:eastAsia="Times New Roman" w:hAnsi="Times New Roman" w:cs="Times New Roman"/>
          <w:b w:val="0"/>
          <w:bCs w:val="0"/>
          <w:vanish w:val="0"/>
          <w:color w:val="000000"/>
          <w:sz w:val="24"/>
          <w:szCs w:val="24"/>
        </w:rPr>
        <w:t>.</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bCs/>
          <w:vanish w:val="0"/>
          <w:color w:val="000000"/>
          <w:sz w:val="24"/>
          <w:szCs w:val="24"/>
        </w:rPr>
        <w:t>Open to:</w:t>
      </w:r>
      <w:r>
        <w:rPr>
          <w:rFonts w:ascii="Times New Roman" w:eastAsia="Times New Roman" w:hAnsi="Times New Roman" w:cs="Times New Roman"/>
          <w:b w:val="0"/>
          <w:bCs w:val="0"/>
          <w:vanish w:val="0"/>
          <w:color w:val="000000"/>
          <w:sz w:val="24"/>
          <w:szCs w:val="24"/>
        </w:rPr>
        <w:t xml:space="preserve"> Eligible recipients include the State of Alaska, Public and State controlled institutions of higher education of the State of Alaska, other higher education institutions outside of Alaska, and the North Slope Borough.</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bCs/>
          <w:vanish w:val="0"/>
          <w:color w:val="000000"/>
          <w:sz w:val="24"/>
          <w:szCs w:val="24"/>
        </w:rPr>
        <w:t>Eligibility Information:</w:t>
      </w:r>
      <w:r>
        <w:rPr>
          <w:rFonts w:ascii="Times New Roman" w:eastAsia="Times New Roman" w:hAnsi="Times New Roman" w:cs="Times New Roman"/>
          <w:b w:val="0"/>
          <w:bCs w:val="0"/>
          <w:vanish w:val="0"/>
          <w:color w:val="000000"/>
          <w:sz w:val="24"/>
          <w:szCs w:val="24"/>
        </w:rPr>
        <w:t xml:space="preserve"> Research projects are required to have a staff member of the applying organization as the Principal Investigator (PI). Cooperative research between interested organizations—i.e., state agencies, public universities, and non-profits in affected states—is always encouraged.</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 xml:space="preserve">Cost Share/Match: </w:t>
      </w:r>
      <w:r>
        <w:rPr>
          <w:rFonts w:ascii="Times New Roman" w:eastAsia="Times New Roman" w:hAnsi="Times New Roman" w:cs="Times New Roman"/>
          <w:b w:val="0"/>
          <w:bCs w:val="0"/>
          <w:vanish w:val="0"/>
          <w:color w:val="000000"/>
          <w:sz w:val="24"/>
          <w:szCs w:val="24"/>
        </w:rPr>
        <w:t>Contributions of matching funds towards these efforts, either as cash or in-kind contributions (such as salary, equipment, etc., or a combination of both) is very strongly encouraged. Match cannot include value associated with collection costs for samples previously collected. Match value for instrumentation and other equipment should be adjusted to the period of use within the project relative to the full life cycle for the item.  Matching dollars cannot be from other Federal funding sources.  Further information can be located at 2 Code of Federal Regulations (CFR) 200.306. All questions regarding this project, including eligibility, should be directed only to the “Program Announcement and Cooperative Agreement Administration” point-of-contact listed in Section D.</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17" w:name="_Toc256000014"/>
      <w:r>
        <w:rPr>
          <w:rFonts w:ascii="Times New Roman" w:eastAsia="Times New Roman" w:hAnsi="Times New Roman" w:cs="Times New Roman"/>
          <w:b/>
          <w:bCs/>
          <w:color w:val="000000"/>
          <w:sz w:val="24"/>
          <w:szCs w:val="24"/>
        </w:rPr>
        <w:t>C2. Cost Sharing or Matching</w:t>
      </w:r>
      <w:bookmarkEnd w:id="17"/>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Notice of Funding Opportunities must state whether there is required cost sharing, matching, or cost participation without which an application would be ineligible (if cost sharing is not required, the Notice of Funding Opportunity must explicitly say so). All federal awards must have a statutory or regulatory basis to include a requirement for matching or cost sharing in a Notice of Funding Opportunity (NOFO). Required cost sharing may be a certain percentage or amount or may be in the form of contributions of specified items or activities (e.g., provision of equipment). It is important that the Notice of Funding Opportunity be clear about any restrictions on the types of cost (e.g., in-kind contributions) that are acceptable as cost sharing. Cost sharing as an eligibility criterion includes requirements based in statute or regulation as described in 2 CFR 200.306, §75.306 or those imposed by administrative decision of the Service. This section should refer to the appropriate portion(s) of Section D. stating any pre-award requirements for submission of letters or other documentation to verify commitments to meet cost-sharing requirements if a Federal award is made.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Cost Sharing/Matching Requirement</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No</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Percentage of Cost Sharing / Matching Requirement:</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18" w:name="_Toc256000015"/>
      <w:r>
        <w:rPr>
          <w:rFonts w:ascii="Times New Roman" w:eastAsia="Times New Roman" w:hAnsi="Times New Roman" w:cs="Times New Roman"/>
          <w:b/>
          <w:bCs/>
          <w:color w:val="000000"/>
          <w:sz w:val="24"/>
          <w:szCs w:val="24"/>
        </w:rPr>
        <w:t>C3. Other</w:t>
      </w:r>
      <w:bookmarkEnd w:id="18"/>
      <w:r>
        <w:rPr>
          <w:rFonts w:ascii="Times New Roman" w:eastAsia="Times New Roman" w:hAnsi="Times New Roman" w:cs="Times New Roman"/>
          <w:b/>
          <w:bCs/>
          <w:color w:val="000000"/>
          <w:sz w:val="24"/>
          <w:szCs w:val="24"/>
        </w:rPr>
        <w:t>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Excluded Parties: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BOEM 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P="00470374">
      <w:pPr>
        <w:keepLines w:val="0"/>
        <w:spacing w:before="6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Insert additional eligibility criteria.</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1"/>
        <w:keepLines w:val="0"/>
        <w:pBdr>
          <w:top w:val="none" w:sz="0" w:space="2" w:color="auto"/>
          <w:left w:val="none" w:sz="0" w:space="2" w:color="auto"/>
          <w:bottom w:val="none" w:sz="0" w:space="2" w:color="auto"/>
          <w:right w:val="none" w:sz="0" w:space="2" w:color="auto"/>
        </w:pBdr>
        <w:shd w:val="clear" w:color="auto" w:fill="BCDFFB"/>
        <w:spacing w:before="20" w:after="20"/>
        <w:ind w:left="45" w:right="45"/>
        <w:jc w:val="left"/>
        <w:rPr>
          <w:rFonts w:ascii="Times New Roman" w:eastAsia="Times New Roman" w:hAnsi="Times New Roman" w:cs="Times New Roman"/>
          <w:b/>
          <w:bCs/>
          <w:color w:val="000000"/>
          <w:sz w:val="24"/>
          <w:szCs w:val="24"/>
        </w:rPr>
      </w:pPr>
      <w:bookmarkStart w:id="19" w:name="_Toc256000016"/>
      <w:r>
        <w:rPr>
          <w:rFonts w:ascii="Times New Roman" w:eastAsia="Times New Roman" w:hAnsi="Times New Roman" w:cs="Times New Roman"/>
          <w:b/>
          <w:bCs/>
          <w:color w:val="000000"/>
          <w:sz w:val="24"/>
          <w:szCs w:val="24"/>
        </w:rPr>
        <w:t>D. Application and Submission Information</w:t>
      </w:r>
      <w:bookmarkEnd w:id="19"/>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20" w:name="_Toc256000017"/>
      <w:r>
        <w:rPr>
          <w:rFonts w:ascii="Times New Roman" w:eastAsia="Times New Roman" w:hAnsi="Times New Roman" w:cs="Times New Roman"/>
          <w:b/>
          <w:bCs/>
          <w:color w:val="000000"/>
          <w:sz w:val="24"/>
          <w:szCs w:val="24"/>
        </w:rPr>
        <w:t>D1. Address to Request Application Package</w:t>
      </w:r>
      <w:bookmarkEnd w:id="20"/>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In the following text field, provide information for potential applicants on how to get application forms, kits, or other materials needed to apply. Specify if this Notice of Funding Opportunity contains everything needed or if applicants must go elsewhere to complete all documentation requirements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The announcement and application package are available in GrantSolutions.</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The application must be submitted through the www.Grants.gov portal. The applicant can locate the application package by visiting the Grants.gov portal and searching on CFDA number 15.423 or Announcement M21AS00353 in the Grants.gov search engine.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21" w:name="_Toc256000018"/>
      <w:r>
        <w:rPr>
          <w:rFonts w:ascii="Times New Roman" w:eastAsia="Times New Roman" w:hAnsi="Times New Roman" w:cs="Times New Roman"/>
          <w:b/>
          <w:bCs/>
          <w:color w:val="000000"/>
          <w:sz w:val="24"/>
          <w:szCs w:val="24"/>
        </w:rPr>
        <w:t>D2. Content and Form of Application Submission</w:t>
      </w:r>
      <w:bookmarkEnd w:id="21"/>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SF-424, Application for Federal Assistance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In addition to the SF-424 Application for Federal Assistance applicants must submit the following:</w:t>
      </w:r>
    </w:p>
    <w:p w:rsidP="00470374">
      <w:pPr>
        <w:pStyle w:val="Normal0"/>
        <w:keepLines w:val="0"/>
        <w:numPr>
          <w:ilvl w:val="0"/>
          <w:numId w:val="23"/>
        </w:numPr>
        <w:spacing w:before="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SF-424 Application for Federal Assistance SF-424a Budget Information</w:t>
      </w:r>
    </w:p>
    <w:p w:rsidP="00470374">
      <w:pPr>
        <w:pStyle w:val="Normal0"/>
        <w:keepLines w:val="0"/>
        <w:numPr>
          <w:ilvl w:val="0"/>
          <w:numId w:val="23"/>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SF-424b Assurances – Non-Construction Programs</w:t>
      </w:r>
    </w:p>
    <w:p w:rsidP="00470374">
      <w:pPr>
        <w:pStyle w:val="Normal0"/>
        <w:keepLines w:val="0"/>
        <w:numPr>
          <w:ilvl w:val="0"/>
          <w:numId w:val="23"/>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Project Narrative Form (including Proposal Cover Sheet described below)</w:t>
      </w:r>
    </w:p>
    <w:p w:rsidP="00470374">
      <w:pPr>
        <w:pStyle w:val="Normal0"/>
        <w:keepLines w:val="0"/>
        <w:numPr>
          <w:ilvl w:val="0"/>
          <w:numId w:val="23"/>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Budget Narrative Form</w:t>
      </w:r>
    </w:p>
    <w:p w:rsidP="00470374">
      <w:pPr>
        <w:pStyle w:val="Normal0"/>
        <w:keepLines w:val="0"/>
        <w:numPr>
          <w:ilvl w:val="0"/>
          <w:numId w:val="23"/>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GG Certification Regarding Lobbying Form</w:t>
      </w:r>
    </w:p>
    <w:p w:rsidP="00470374">
      <w:pPr>
        <w:pStyle w:val="Normal0"/>
        <w:keepLines w:val="0"/>
        <w:numPr>
          <w:ilvl w:val="0"/>
          <w:numId w:val="23"/>
        </w:numPr>
        <w:spacing w:before="2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(Complete the Optional SF-LLL Lobbying form only if lobbying has occurred)</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These forms will be with the Grants.gov announcement package.</w:t>
      </w:r>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The following header will display if this checkbox is selected: </w:t>
      </w:r>
      <w:r>
        <w:rPr>
          <w:rFonts w:ascii="Times New Roman" w:eastAsia="Times New Roman" w:hAnsi="Times New Roman" w:cs="Times New Roman"/>
          <w:b/>
          <w:bCs/>
          <w:vanish/>
          <w:color w:val="009745"/>
          <w:sz w:val="24"/>
        </w:rPr>
        <w:t>SF 424B, Assurances for Non-Construction Programs </w:t>
      </w:r>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The following header will display if this checkbox is selected: </w:t>
      </w:r>
      <w:r>
        <w:rPr>
          <w:rFonts w:ascii="Times New Roman" w:eastAsia="Times New Roman" w:hAnsi="Times New Roman" w:cs="Times New Roman"/>
          <w:b/>
          <w:bCs/>
          <w:vanish/>
          <w:color w:val="009745"/>
          <w:sz w:val="24"/>
        </w:rPr>
        <w:t>SF 424D, Assurances for Construction Programs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Project Summary</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bCs/>
          <w:color w:val="000000"/>
          <w:sz w:val="24"/>
          <w:szCs w:val="24"/>
        </w:rPr>
        <w:t>Winter Ringed Seal Density within Beaufort Sea Oil and Gas Project Areas </w:t>
      </w:r>
      <w:r>
        <w:rPr>
          <w:rFonts w:ascii="Times New Roman" w:eastAsia="Times New Roman" w:hAnsi="Times New Roman" w:cs="Times New Roman"/>
          <w:b/>
          <w:bCs/>
          <w:color w:val="000000"/>
          <w:sz w:val="24"/>
          <w:szCs w:val="24"/>
        </w:rPr>
        <w:t>(AK-21-01)</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Project Narrative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The cover sheet of the proposal shall contain the following information:</w:t>
      </w:r>
    </w:p>
    <w:p w:rsidP="00470374">
      <w:pPr>
        <w:pStyle w:val="Normal0"/>
        <w:keepLines w:val="0"/>
        <w:numPr>
          <w:ilvl w:val="0"/>
          <w:numId w:val="24"/>
        </w:numPr>
        <w:spacing w:before="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Project Title:</w:t>
      </w:r>
    </w:p>
    <w:p w:rsidP="00470374">
      <w:pPr>
        <w:pStyle w:val="Normal0"/>
        <w:keepLines w:val="0"/>
        <w:numPr>
          <w:ilvl w:val="0"/>
          <w:numId w:val="24"/>
        </w:numPr>
        <w:spacing w:before="2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PI(s):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Normal0"/>
        <w:keepLines w:val="0"/>
        <w:numPr>
          <w:ilvl w:val="0"/>
          <w:numId w:val="25"/>
        </w:numPr>
        <w:spacing w:before="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Name:</w:t>
      </w:r>
    </w:p>
    <w:p w:rsidP="00470374">
      <w:pPr>
        <w:pStyle w:val="Normal0"/>
        <w:keepLines w:val="0"/>
        <w:numPr>
          <w:ilvl w:val="0"/>
          <w:numId w:val="25"/>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Address:</w:t>
      </w:r>
    </w:p>
    <w:p w:rsidP="00470374">
      <w:pPr>
        <w:pStyle w:val="Normal0"/>
        <w:keepLines w:val="0"/>
        <w:numPr>
          <w:ilvl w:val="0"/>
          <w:numId w:val="25"/>
        </w:numPr>
        <w:spacing w:before="2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Phone: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Normal0"/>
        <w:keepLines w:val="0"/>
        <w:numPr>
          <w:ilvl w:val="0"/>
          <w:numId w:val="26"/>
        </w:numPr>
        <w:spacing w:before="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Name of University/Department:</w:t>
      </w:r>
    </w:p>
    <w:p w:rsidP="00470374">
      <w:pPr>
        <w:pStyle w:val="Normal0"/>
        <w:keepLines w:val="0"/>
        <w:numPr>
          <w:ilvl w:val="0"/>
          <w:numId w:val="26"/>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Contact Information for Technical and Administrative Negotiations</w:t>
      </w:r>
    </w:p>
    <w:p w:rsidP="00470374">
      <w:pPr>
        <w:pStyle w:val="Normal0"/>
        <w:keepLines w:val="0"/>
        <w:numPr>
          <w:ilvl w:val="0"/>
          <w:numId w:val="26"/>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Project Status: New/Continuation</w:t>
      </w:r>
    </w:p>
    <w:p w:rsidP="00470374">
      <w:pPr>
        <w:pStyle w:val="Normal0"/>
        <w:keepLines w:val="0"/>
        <w:numPr>
          <w:ilvl w:val="0"/>
          <w:numId w:val="26"/>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Project Duration: (years or months)</w:t>
      </w:r>
    </w:p>
    <w:p w:rsidP="00470374">
      <w:pPr>
        <w:pStyle w:val="Normal0"/>
        <w:keepLines w:val="0"/>
        <w:numPr>
          <w:ilvl w:val="0"/>
          <w:numId w:val="26"/>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Proposed Start Date:</w:t>
      </w:r>
    </w:p>
    <w:p w:rsidP="00470374">
      <w:pPr>
        <w:pStyle w:val="Normal0"/>
        <w:keepLines w:val="0"/>
        <w:numPr>
          <w:ilvl w:val="0"/>
          <w:numId w:val="26"/>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Proposed Draft Final Report Submission Date:</w:t>
      </w:r>
    </w:p>
    <w:p w:rsidP="00470374">
      <w:pPr>
        <w:pStyle w:val="Normal0"/>
        <w:keepLines w:val="0"/>
        <w:numPr>
          <w:ilvl w:val="0"/>
          <w:numId w:val="26"/>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Proposed Completion Date:</w:t>
      </w:r>
    </w:p>
    <w:p w:rsidP="00470374">
      <w:pPr>
        <w:pStyle w:val="Normal0"/>
        <w:keepLines w:val="0"/>
        <w:numPr>
          <w:ilvl w:val="0"/>
          <w:numId w:val="26"/>
        </w:numPr>
        <w:spacing w:before="2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Amount Requested From BOEM:</w:t>
      </w:r>
    </w:p>
    <w:p w:rsidP="00470374">
      <w:pPr>
        <w:pStyle w:val="Normal0"/>
        <w:keepLines w:val="0"/>
        <w:numPr>
          <w:ilvl w:val="0"/>
          <w:numId w:val="27"/>
        </w:numPr>
        <w:spacing w:before="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Amount and Sources of Non-Federal Match:</w:t>
      </w:r>
    </w:p>
    <w:p w:rsidP="00470374">
      <w:pPr>
        <w:pStyle w:val="Normal0"/>
        <w:keepLines w:val="0"/>
        <w:numPr>
          <w:ilvl w:val="0"/>
          <w:numId w:val="27"/>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Total Project Cost:</w:t>
      </w:r>
    </w:p>
    <w:p w:rsidP="00470374">
      <w:pPr>
        <w:pStyle w:val="Normal0"/>
        <w:keepLines w:val="0"/>
        <w:numPr>
          <w:ilvl w:val="0"/>
          <w:numId w:val="27"/>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Signature, Name, and Contact Information of University PI and Co-Investigator:</w:t>
      </w:r>
    </w:p>
    <w:p w:rsidP="00470374">
      <w:pPr>
        <w:pStyle w:val="Normal0"/>
        <w:keepLines w:val="0"/>
        <w:numPr>
          <w:ilvl w:val="0"/>
          <w:numId w:val="27"/>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Proposal Endorsement, including Signature, Name, Contact Information of Sponsoring University Department Dean or Institute Director:</w:t>
      </w:r>
    </w:p>
    <w:p w:rsidP="00470374">
      <w:pPr>
        <w:pStyle w:val="Normal0"/>
        <w:keepLines w:val="0"/>
        <w:numPr>
          <w:ilvl w:val="0"/>
          <w:numId w:val="27"/>
        </w:numPr>
        <w:spacing w:before="2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Signature, Name and Contact Information of Sponsoring University’s Office of Sponsored Programs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bCs/>
          <w:color w:val="000000"/>
          <w:sz w:val="24"/>
          <w:szCs w:val="24"/>
        </w:rPr>
        <w:t>Proposal Text</w:t>
      </w:r>
      <w:r>
        <w:rPr>
          <w:rFonts w:ascii="Times New Roman" w:eastAsia="Times New Roman" w:hAnsi="Times New Roman" w:cs="Times New Roman"/>
          <w:b/>
          <w:bCs/>
          <w:color w:val="000000"/>
          <w:sz w:val="24"/>
          <w:szCs w:val="24"/>
        </w:rPr>
        <w:br/>
      </w:r>
      <w:r>
        <w:rPr>
          <w:rFonts w:ascii="Times New Roman" w:eastAsia="Times New Roman" w:hAnsi="Times New Roman" w:cs="Times New Roman"/>
          <w:b w:val="0"/>
          <w:bCs w:val="0"/>
          <w:color w:val="000000"/>
          <w:sz w:val="24"/>
          <w:szCs w:val="24"/>
        </w:rPr>
        <w:t>The proposal must be in 11–12-point Times New Roman, Arial, or similar font with 1"-page margins. Non-conforming proposals will not be considered. Text, figures, etc. in support of items 1-10 below should be no longer than 15 pages.</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t>Please include the following in the Proposal:</w:t>
      </w:r>
    </w:p>
    <w:p w:rsidP="00470374">
      <w:pPr>
        <w:pStyle w:val="Normal0"/>
        <w:keepLines w:val="0"/>
        <w:numPr>
          <w:ilvl w:val="0"/>
          <w:numId w:val="28"/>
        </w:numPr>
        <w:spacing w:before="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Abstract</w:t>
      </w:r>
    </w:p>
    <w:p w:rsidP="00470374">
      <w:pPr>
        <w:pStyle w:val="Normal0"/>
        <w:keepLines w:val="0"/>
        <w:numPr>
          <w:ilvl w:val="0"/>
          <w:numId w:val="28"/>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Background/Relevance to BOEM Issues, Information Needs, and Research Topics: Give a brief introduction to the research proposed. </w:t>
      </w:r>
      <w:r>
        <w:rPr>
          <w:rFonts w:ascii="Times New Roman" w:eastAsia="Times New Roman" w:hAnsi="Times New Roman" w:cs="Times New Roman"/>
          <w:b w:val="0"/>
          <w:bCs w:val="0"/>
          <w:color w:val="000000"/>
          <w:sz w:val="24"/>
          <w:szCs w:val="24"/>
          <w:u w:val="single"/>
        </w:rPr>
        <w:t xml:space="preserve">Specify the contribution to science related to ESP </w:t>
      </w:r>
      <w:r>
        <w:rPr>
          <w:rFonts w:ascii="Times New Roman" w:eastAsia="Times New Roman" w:hAnsi="Times New Roman" w:cs="Times New Roman"/>
          <w:b w:val="0"/>
          <w:bCs w:val="0"/>
          <w:color w:val="000000"/>
          <w:sz w:val="24"/>
          <w:szCs w:val="24"/>
        </w:rPr>
        <w:t>issues and the benefits that the public will receive from the project. Explain why the work is important and how the proposal addresses BOEM goals. Provide a brief summary of findings or outcomes of any prior work you have completed in this area.</w:t>
      </w:r>
    </w:p>
    <w:p w:rsidP="00470374">
      <w:pPr>
        <w:pStyle w:val="Normal0"/>
        <w:keepLines w:val="0"/>
        <w:numPr>
          <w:ilvl w:val="0"/>
          <w:numId w:val="28"/>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Objectives/Hypotheses</w:t>
      </w:r>
      <w:r>
        <w:rPr>
          <w:rFonts w:ascii="Times New Roman" w:eastAsia="Times New Roman" w:hAnsi="Times New Roman" w:cs="Times New Roman"/>
          <w:b w:val="0"/>
          <w:bCs w:val="0"/>
          <w:color w:val="000000"/>
          <w:sz w:val="24"/>
          <w:szCs w:val="24"/>
        </w:rPr>
        <w:t>:  Clearly define goals of the project.</w:t>
      </w:r>
    </w:p>
    <w:p w:rsidP="00470374">
      <w:pPr>
        <w:pStyle w:val="Normal0"/>
        <w:keepLines w:val="0"/>
        <w:numPr>
          <w:ilvl w:val="0"/>
          <w:numId w:val="28"/>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Methods/Analyses</w:t>
      </w:r>
      <w:r>
        <w:rPr>
          <w:rFonts w:ascii="Times New Roman" w:eastAsia="Times New Roman" w:hAnsi="Times New Roman" w:cs="Times New Roman"/>
          <w:b w:val="0"/>
          <w:bCs w:val="0"/>
          <w:color w:val="000000"/>
          <w:sz w:val="24"/>
          <w:szCs w:val="24"/>
        </w:rPr>
        <w:t>: Provide a clear description of planned research methodologies and analyses.</w:t>
      </w:r>
    </w:p>
    <w:p w:rsidP="00470374">
      <w:pPr>
        <w:pStyle w:val="Normal0"/>
        <w:keepLines w:val="0"/>
        <w:numPr>
          <w:ilvl w:val="0"/>
          <w:numId w:val="28"/>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 xml:space="preserve">Project Deliverables </w:t>
      </w:r>
      <w:r>
        <w:rPr>
          <w:rFonts w:ascii="Times New Roman" w:eastAsia="Times New Roman" w:hAnsi="Times New Roman" w:cs="Times New Roman"/>
          <w:b w:val="0"/>
          <w:bCs w:val="0"/>
          <w:color w:val="000000"/>
          <w:sz w:val="24"/>
          <w:szCs w:val="24"/>
          <w:u w:val="single"/>
        </w:rPr>
        <w:t>and Planned Products</w:t>
      </w:r>
      <w:r>
        <w:rPr>
          <w:rFonts w:ascii="Times New Roman" w:eastAsia="Times New Roman" w:hAnsi="Times New Roman" w:cs="Times New Roman"/>
          <w:b w:val="0"/>
          <w:bCs w:val="0"/>
          <w:color w:val="000000"/>
          <w:sz w:val="24"/>
          <w:szCs w:val="24"/>
        </w:rPr>
        <w:t>: Applicants shall provide plans for executing the duties of the awardee listed in Section F3 and the deliverables in Section A3 as outlined in the Table in Section H including a rough timeline for these deliverables.</w:t>
      </w:r>
    </w:p>
    <w:p w:rsidP="00470374">
      <w:pPr>
        <w:pStyle w:val="Normal0"/>
        <w:keepLines w:val="0"/>
        <w:numPr>
          <w:ilvl w:val="0"/>
          <w:numId w:val="28"/>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 xml:space="preserve">Staffing </w:t>
      </w:r>
      <w:r>
        <w:rPr>
          <w:rFonts w:ascii="Times New Roman" w:eastAsia="Times New Roman" w:hAnsi="Times New Roman" w:cs="Times New Roman"/>
          <w:b w:val="0"/>
          <w:bCs w:val="0"/>
          <w:color w:val="000000"/>
          <w:sz w:val="24"/>
          <w:szCs w:val="24"/>
          <w:u w:val="single"/>
        </w:rPr>
        <w:t>Plan</w:t>
      </w:r>
      <w:r>
        <w:rPr>
          <w:rFonts w:ascii="Times New Roman" w:eastAsia="Times New Roman" w:hAnsi="Times New Roman" w:cs="Times New Roman"/>
          <w:b w:val="0"/>
          <w:bCs w:val="0"/>
          <w:color w:val="000000"/>
          <w:sz w:val="24"/>
          <w:szCs w:val="24"/>
        </w:rPr>
        <w:t>: All key personnel (including graduate student workers) shall be identified by name. List the University PI first, followed by the names of other individuals. Indicate the role and anticipated level of effort for each key participant offering unique or specific contributions to the project (oceanographer, geochemist, field assistant, etc.). If names of any key participants are unknown, a proposal addendum with the names and curricula vitae must be submitted prior to award.</w:t>
      </w:r>
    </w:p>
    <w:p w:rsidP="00470374">
      <w:pPr>
        <w:pStyle w:val="Normal0"/>
        <w:keepLines w:val="0"/>
        <w:numPr>
          <w:ilvl w:val="0"/>
          <w:numId w:val="28"/>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Performance Measures</w:t>
      </w:r>
      <w:r>
        <w:rPr>
          <w:rFonts w:ascii="Times New Roman" w:eastAsia="Times New Roman" w:hAnsi="Times New Roman" w:cs="Times New Roman"/>
          <w:b w:val="0"/>
          <w:bCs w:val="0"/>
          <w:color w:val="000000"/>
          <w:sz w:val="24"/>
          <w:szCs w:val="24"/>
        </w:rPr>
        <w:t>: Applicants shall suggest specific measures that will be used to monitor project progress, including progress of sub-awardees (e.g., quality and timely deliverables, timely completion of fieldwork or other project components, draft peer-reviewed articles). These performance measures will be incorporated in the cooperative agreement award and reviewed as part of any continuation request.</w:t>
      </w:r>
    </w:p>
    <w:p w:rsidP="00470374">
      <w:pPr>
        <w:pStyle w:val="Normal0"/>
        <w:keepLines w:val="0"/>
        <w:numPr>
          <w:ilvl w:val="0"/>
          <w:numId w:val="28"/>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 xml:space="preserve">Critical Starting Dates </w:t>
      </w:r>
      <w:r>
        <w:rPr>
          <w:rFonts w:ascii="Times New Roman" w:eastAsia="Times New Roman" w:hAnsi="Times New Roman" w:cs="Times New Roman"/>
          <w:b w:val="0"/>
          <w:bCs w:val="0"/>
          <w:color w:val="000000"/>
          <w:sz w:val="24"/>
          <w:szCs w:val="24"/>
        </w:rPr>
        <w:t>(e.g., for season-limited field work): Identify any critical starting dates and the reason why project success is dependent upon that start date.</w:t>
      </w:r>
    </w:p>
    <w:p w:rsidP="00470374">
      <w:pPr>
        <w:pStyle w:val="Normal0"/>
        <w:keepLines w:val="0"/>
        <w:numPr>
          <w:ilvl w:val="0"/>
          <w:numId w:val="28"/>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Publication and Presentation</w:t>
      </w:r>
      <w:r>
        <w:rPr>
          <w:rFonts w:ascii="Times New Roman" w:eastAsia="Times New Roman" w:hAnsi="Times New Roman" w:cs="Times New Roman"/>
          <w:b w:val="0"/>
          <w:bCs w:val="0"/>
          <w:color w:val="000000"/>
          <w:sz w:val="24"/>
          <w:szCs w:val="24"/>
        </w:rPr>
        <w:t>: BOEM strongly encourages the Awardees to publish project reports in scientific and technical journals, and present results to the scientific community, appropriate professional organizations, and local, State, and/or Federal agencies as part of the project (please also see Section H). These publications and meetings should be included in the proposal and budget.</w:t>
      </w:r>
    </w:p>
    <w:p w:rsidP="00470374">
      <w:pPr>
        <w:pStyle w:val="Normal0"/>
        <w:keepLines w:val="0"/>
        <w:numPr>
          <w:ilvl w:val="0"/>
          <w:numId w:val="28"/>
        </w:numPr>
        <w:spacing w:before="2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Bibliography</w:t>
      </w:r>
      <w:r>
        <w:rPr>
          <w:rFonts w:ascii="Times New Roman" w:eastAsia="Times New Roman" w:hAnsi="Times New Roman" w:cs="Times New Roman"/>
          <w:b w:val="0"/>
          <w:bCs w:val="0"/>
          <w:color w:val="000000"/>
          <w:sz w:val="24"/>
          <w:szCs w:val="24"/>
        </w:rPr>
        <w:t>: List all references cited in the text, as well as references that are relevant to the current proposal from your past work in the field.</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Normal0"/>
        <w:keepLines w:val="0"/>
        <w:numPr>
          <w:ilvl w:val="0"/>
          <w:numId w:val="29"/>
        </w:numPr>
        <w:spacing w:before="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 xml:space="preserve">Curricula </w:t>
      </w:r>
      <w:r>
        <w:rPr>
          <w:rFonts w:ascii="Times New Roman" w:eastAsia="Times New Roman" w:hAnsi="Times New Roman" w:cs="Times New Roman"/>
          <w:b w:val="0"/>
          <w:bCs w:val="0"/>
          <w:color w:val="000000"/>
          <w:sz w:val="24"/>
          <w:szCs w:val="24"/>
          <w:u w:val="single"/>
        </w:rPr>
        <w:t xml:space="preserve">Vitae </w:t>
      </w:r>
      <w:r>
        <w:rPr>
          <w:rFonts w:ascii="Times New Roman" w:eastAsia="Times New Roman" w:hAnsi="Times New Roman" w:cs="Times New Roman"/>
          <w:b w:val="0"/>
          <w:bCs w:val="0"/>
          <w:color w:val="000000"/>
          <w:sz w:val="24"/>
          <w:szCs w:val="24"/>
        </w:rPr>
        <w:t>(maximum two pages) for each identified key participant. Emphasize previous experience in the field of study that the proposal addresses.</w:t>
      </w:r>
    </w:p>
    <w:p w:rsidP="00470374">
      <w:pPr>
        <w:pStyle w:val="Normal0"/>
        <w:keepLines w:val="0"/>
        <w:numPr>
          <w:ilvl w:val="0"/>
          <w:numId w:val="29"/>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 xml:space="preserve">Letters of Commitment: </w:t>
      </w:r>
      <w:r>
        <w:rPr>
          <w:rFonts w:ascii="Times New Roman" w:eastAsia="Times New Roman" w:hAnsi="Times New Roman" w:cs="Times New Roman"/>
          <w:b w:val="0"/>
          <w:bCs w:val="0"/>
          <w:color w:val="000000"/>
          <w:sz w:val="24"/>
          <w:szCs w:val="24"/>
        </w:rPr>
        <w:t>Provide signed letters of commitment by matching fund grantors, contractors, and sub-grantees.</w:t>
      </w:r>
    </w:p>
    <w:p w:rsidP="00470374">
      <w:pPr>
        <w:pStyle w:val="Normal0"/>
        <w:keepLines w:val="0"/>
        <w:numPr>
          <w:ilvl w:val="0"/>
          <w:numId w:val="29"/>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University Budget Spreadsheet</w:t>
      </w:r>
      <w:r>
        <w:rPr>
          <w:rFonts w:ascii="Times New Roman" w:eastAsia="Times New Roman" w:hAnsi="Times New Roman" w:cs="Times New Roman"/>
          <w:b w:val="0"/>
          <w:bCs w:val="0"/>
          <w:color w:val="000000"/>
          <w:sz w:val="24"/>
          <w:szCs w:val="24"/>
        </w:rPr>
        <w:t>: In addition to SF-424a Budget Information form below, include information in a format which provides personnel, travel, services, supplies, equipment, tuition, and indirect costs on an annual basis for both the requested BOEM funds and for the anticipated match funds.</w:t>
      </w:r>
    </w:p>
    <w:p w:rsidP="00470374">
      <w:pPr>
        <w:pStyle w:val="Normal0"/>
        <w:keepLines w:val="0"/>
        <w:numPr>
          <w:ilvl w:val="0"/>
          <w:numId w:val="29"/>
        </w:numPr>
        <w:spacing w:before="2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 xml:space="preserve">Budget </w:t>
      </w:r>
      <w:r>
        <w:rPr>
          <w:rFonts w:ascii="Times New Roman" w:eastAsia="Times New Roman" w:hAnsi="Times New Roman" w:cs="Times New Roman"/>
          <w:b w:val="0"/>
          <w:bCs w:val="0"/>
          <w:color w:val="000000"/>
          <w:sz w:val="24"/>
          <w:szCs w:val="24"/>
          <w:u w:val="single"/>
        </w:rPr>
        <w:t>Justification Narrative</w:t>
      </w:r>
      <w:r>
        <w:rPr>
          <w:rFonts w:ascii="Times New Roman" w:eastAsia="Times New Roman" w:hAnsi="Times New Roman" w:cs="Times New Roman"/>
          <w:b w:val="0"/>
          <w:bCs w:val="0"/>
          <w:color w:val="000000"/>
          <w:sz w:val="24"/>
          <w:szCs w:val="24"/>
        </w:rPr>
        <w:t>: See below.</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bCs/>
          <w:color w:val="000000"/>
          <w:sz w:val="24"/>
          <w:szCs w:val="24"/>
        </w:rPr>
        <w:t>SF 424A, Budget Information for Non-Construction Programs</w:t>
      </w:r>
      <w:r>
        <w:rPr>
          <w:rFonts w:ascii="Times New Roman" w:eastAsia="Times New Roman" w:hAnsi="Times New Roman" w:cs="Times New Roman"/>
          <w:b/>
          <w:bCs/>
          <w:color w:val="000000"/>
          <w:sz w:val="24"/>
          <w:szCs w:val="24"/>
        </w:rPr>
        <w:br/>
      </w:r>
      <w:r>
        <w:rPr>
          <w:rFonts w:ascii="Times New Roman" w:eastAsia="Times New Roman" w:hAnsi="Times New Roman" w:cs="Times New Roman"/>
          <w:b w:val="0"/>
          <w:bCs w:val="0"/>
          <w:color w:val="000000"/>
          <w:sz w:val="24"/>
          <w:szCs w:val="24"/>
        </w:rPr>
        <w:t>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 Use subsequent row(s) for other Federal funding. Enter each Federal program’s CFDA number(s) in the corresponding fields on the form. Federal award recipients and subrecipients are subject to Federal award cost principles per the “</w:t>
      </w:r>
      <w:r>
        <w:rPr>
          <w:rFonts w:ascii="Times New Roman" w:eastAsia="Times New Roman" w:hAnsi="Times New Roman" w:cs="Times New Roman"/>
          <w:b w:val="0"/>
          <w:bCs w:val="0"/>
          <w:color w:val="000000"/>
          <w:sz w:val="24"/>
          <w:szCs w:val="24"/>
          <w:u w:val="single"/>
        </w:rPr>
        <w:t>DOI Standard Award Terms and Conditions</w:t>
      </w:r>
      <w:r>
        <w:rPr>
          <w:rFonts w:ascii="Times New Roman" w:eastAsia="Times New Roman" w:hAnsi="Times New Roman" w:cs="Times New Roman"/>
          <w:b w:val="0"/>
          <w:bCs w:val="0"/>
          <w:color w:val="000000"/>
          <w:sz w:val="24"/>
          <w:szCs w:val="24"/>
        </w:rPr>
        <w:t>”. The CFDA number(s) for this program appears on the first page of this announcement.</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bCs/>
          <w:color w:val="000000"/>
          <w:sz w:val="24"/>
          <w:szCs w:val="24"/>
        </w:rPr>
        <w:t>Budget Narrative/Detailed Spreadsheet</w:t>
      </w:r>
      <w:r>
        <w:rPr>
          <w:rFonts w:ascii="Times New Roman" w:eastAsia="Times New Roman" w:hAnsi="Times New Roman" w:cs="Times New Roman"/>
          <w:b/>
          <w:bCs/>
          <w:color w:val="000000"/>
          <w:sz w:val="24"/>
          <w:szCs w:val="24"/>
        </w:rPr>
        <w:br/>
      </w:r>
      <w:r>
        <w:rPr>
          <w:rFonts w:ascii="Times New Roman" w:eastAsia="Times New Roman" w:hAnsi="Times New Roman" w:cs="Times New Roman"/>
          <w:b w:val="0"/>
          <w:bCs w:val="0"/>
          <w:color w:val="000000"/>
          <w:sz w:val="24"/>
          <w:szCs w:val="24"/>
        </w:rPr>
        <w:t>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2 CFR 200.407 “Prior written approval (prior approval)” for more information. If equipment purchased previously with Federal funds is available for the project, provide a list of that equipment and identify the Federal funding source.</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bCs/>
          <w:color w:val="000000"/>
          <w:sz w:val="24"/>
          <w:szCs w:val="24"/>
        </w:rPr>
        <w:t>Budget Justification Narrative</w:t>
      </w:r>
      <w:r>
        <w:rPr>
          <w:rFonts w:ascii="Times New Roman" w:eastAsia="Times New Roman" w:hAnsi="Times New Roman" w:cs="Times New Roman"/>
          <w:b/>
          <w:bCs/>
          <w:color w:val="000000"/>
          <w:sz w:val="24"/>
          <w:szCs w:val="24"/>
        </w:rPr>
        <w:br/>
      </w:r>
      <w:r>
        <w:rPr>
          <w:rFonts w:ascii="Times New Roman" w:eastAsia="Times New Roman" w:hAnsi="Times New Roman" w:cs="Times New Roman"/>
          <w:b w:val="0"/>
          <w:bCs w:val="0"/>
          <w:color w:val="000000"/>
          <w:sz w:val="24"/>
          <w:szCs w:val="24"/>
        </w:rPr>
        <w:t>This information will provide more details than the SF-424A form and will provide adequate information for the Contracting Officer to conduct a detailed analysis of the costs to determine they are reasonable, allowable, and allocable. Please include the following:</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Normal0"/>
        <w:keepLines w:val="0"/>
        <w:numPr>
          <w:ilvl w:val="0"/>
          <w:numId w:val="30"/>
        </w:numPr>
        <w:spacing w:before="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Salaries and Wages</w:t>
      </w:r>
      <w:r>
        <w:rPr>
          <w:rFonts w:ascii="Times New Roman" w:eastAsia="Times New Roman" w:hAnsi="Times New Roman" w:cs="Times New Roman"/>
          <w:b w:val="0"/>
          <w:bCs w:val="0"/>
          <w:color w:val="000000"/>
          <w:sz w:val="24"/>
          <w:szCs w:val="24"/>
        </w:rPr>
        <w:t>. List positions, rate of compensation and estimated number of hours. If contract employees are hired, include their total time, rate of compensation, job titles, and roles.</w:t>
      </w:r>
    </w:p>
    <w:p w:rsidP="00470374">
      <w:pPr>
        <w:pStyle w:val="Normal0"/>
        <w:keepLines w:val="0"/>
        <w:numPr>
          <w:ilvl w:val="0"/>
          <w:numId w:val="30"/>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Fringe Benefits/Labor Overhead. Indicate the rates/amounts in conformance with normal accounting procedures. Explain what costs are covered in this category and the basis of the rate computations. Provide a copy of the negotiated rate agreement, if available.</w:t>
      </w:r>
    </w:p>
    <w:p w:rsidP="00470374">
      <w:pPr>
        <w:pStyle w:val="Normal0"/>
        <w:keepLines w:val="0"/>
        <w:numPr>
          <w:ilvl w:val="0"/>
          <w:numId w:val="30"/>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Lab Analyses</w:t>
      </w:r>
      <w:r>
        <w:rPr>
          <w:rFonts w:ascii="Times New Roman" w:eastAsia="Times New Roman" w:hAnsi="Times New Roman" w:cs="Times New Roman"/>
          <w:b w:val="0"/>
          <w:bCs w:val="0"/>
          <w:color w:val="000000"/>
          <w:sz w:val="24"/>
          <w:szCs w:val="24"/>
        </w:rPr>
        <w:t>.  Briefly itemize cost of all analytical work.</w:t>
      </w:r>
    </w:p>
    <w:p w:rsidP="00470374">
      <w:pPr>
        <w:pStyle w:val="Normal0"/>
        <w:keepLines w:val="0"/>
        <w:numPr>
          <w:ilvl w:val="0"/>
          <w:numId w:val="30"/>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Supplies</w:t>
      </w:r>
      <w:r>
        <w:rPr>
          <w:rFonts w:ascii="Times New Roman" w:eastAsia="Times New Roman" w:hAnsi="Times New Roman" w:cs="Times New Roman"/>
          <w:b w:val="0"/>
          <w:bCs w:val="0"/>
          <w:color w:val="000000"/>
          <w:sz w:val="24"/>
          <w:szCs w:val="24"/>
        </w:rPr>
        <w:t>. Enter the cost for all tangible property. Include the cost of office, laboratory, computing, and field supplies separately. Provide detail on any specific item that represents a significant portion of the proposed amount. Provide a statement that supplies will be purchased in accordance with 2 CFR 200.318–326.</w:t>
      </w:r>
    </w:p>
    <w:p w:rsidP="00470374">
      <w:pPr>
        <w:pStyle w:val="Normal0"/>
        <w:keepLines w:val="0"/>
        <w:numPr>
          <w:ilvl w:val="0"/>
          <w:numId w:val="30"/>
        </w:numPr>
        <w:spacing w:before="2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Equipment</w:t>
      </w:r>
      <w:r>
        <w:rPr>
          <w:rFonts w:ascii="Times New Roman" w:eastAsia="Times New Roman" w:hAnsi="Times New Roman" w:cs="Times New Roman"/>
          <w:b w:val="0"/>
          <w:bCs w:val="0"/>
          <w:color w:val="000000"/>
          <w:sz w:val="24"/>
          <w:szCs w:val="24"/>
        </w:rPr>
        <w:t>.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(used also for purposes other than this project) must be purchased from the applicant’s operating funds. Title to non-expendable personal property shall be vested solely with the Awardee. Under no circumstances shall property title be vested in a sub-tier Awardee. Provide a statement that equipment will be purchased in accordance with 2 CFR 200.318–326 and managed in accordance with 2 CFR 200.313.</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Normal0"/>
        <w:keepLines w:val="0"/>
        <w:numPr>
          <w:ilvl w:val="0"/>
          <w:numId w:val="31"/>
        </w:numPr>
        <w:spacing w:before="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 xml:space="preserve">Services </w:t>
      </w:r>
      <w:r>
        <w:rPr>
          <w:rFonts w:ascii="Times New Roman" w:eastAsia="Times New Roman" w:hAnsi="Times New Roman" w:cs="Times New Roman"/>
          <w:b w:val="0"/>
          <w:bCs w:val="0"/>
          <w:color w:val="000000"/>
          <w:sz w:val="24"/>
          <w:szCs w:val="24"/>
          <w:u w:val="single"/>
        </w:rPr>
        <w:t>or Consultants</w:t>
      </w:r>
      <w:r>
        <w:rPr>
          <w:rFonts w:ascii="Times New Roman" w:eastAsia="Times New Roman" w:hAnsi="Times New Roman" w:cs="Times New Roman"/>
          <w:b w:val="0"/>
          <w:bCs w:val="0"/>
          <w:color w:val="000000"/>
          <w:sz w:val="24"/>
          <w:szCs w:val="24"/>
        </w:rPr>
        <w:t>. Identify the tasks or problems for which such services  would be used. List the contemplated sub-Awardees by name (including consultants), the estimated amount of time required, and the quoted rate per day or hour. Sub-applicant proposals should provide cost breakdowns at the same level of detail as the Applicant’s proposal. If contract employees are hired, include their total time, rate of compensation, job titles, and roles. Provide a statement that salaries will be charged at the actual rate and that the rate is comparable to others doing similar work within the organization.</w:t>
      </w:r>
    </w:p>
    <w:p w:rsidP="00470374">
      <w:pPr>
        <w:pStyle w:val="Normal0"/>
        <w:keepLines w:val="0"/>
        <w:numPr>
          <w:ilvl w:val="0"/>
          <w:numId w:val="31"/>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Travel</w:t>
      </w:r>
      <w:r>
        <w:rPr>
          <w:rFonts w:ascii="Times New Roman" w:eastAsia="Times New Roman" w:hAnsi="Times New Roman" w:cs="Times New Roman"/>
          <w:b w:val="0"/>
          <w:bCs w:val="0"/>
          <w:color w:val="000000"/>
          <w:sz w:val="24"/>
          <w:szCs w:val="24"/>
        </w:rPr>
        <w:t>. State the purpose of the trip and itemize the estimated travel costs to show the number of trips required, the destinations, the number of people traveling, the per diem rates, the cost of transportation, and any miscellaneous expenses for each trip. Calculations of other special transportation costs (such as charges for use of applicant-owned vehicles or vehicle rental costs) should also be shown. Applicants are encouraged to include in the proposal a plan to present findings at one to two major meetings (see above Proposal Text item 1).</w:t>
      </w:r>
    </w:p>
    <w:p w:rsidP="00470374">
      <w:pPr>
        <w:pStyle w:val="Normal0"/>
        <w:keepLines w:val="0"/>
        <w:numPr>
          <w:ilvl w:val="0"/>
          <w:numId w:val="31"/>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Publication Costs</w:t>
      </w:r>
      <w:r>
        <w:rPr>
          <w:rFonts w:ascii="Times New Roman" w:eastAsia="Times New Roman" w:hAnsi="Times New Roman" w:cs="Times New Roman"/>
          <w:b w:val="0"/>
          <w:bCs w:val="0"/>
          <w:color w:val="000000"/>
          <w:sz w:val="24"/>
          <w:szCs w:val="24"/>
        </w:rPr>
        <w:t>. Indicate an estimate of labor and other unique costs associated with preparation of the draft final report. If publication of results of the research in the peer- reviewed literature (identify likely publications) is anticipated, include costs of drafting or graphics, reproduction, page, or illustration charges, and a minimum  number of reprints.</w:t>
      </w:r>
    </w:p>
    <w:p w:rsidP="00470374">
      <w:pPr>
        <w:pStyle w:val="Normal0"/>
        <w:keepLines w:val="0"/>
        <w:numPr>
          <w:ilvl w:val="0"/>
          <w:numId w:val="31"/>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 xml:space="preserve">Other </w:t>
      </w:r>
      <w:r>
        <w:rPr>
          <w:rFonts w:ascii="Times New Roman" w:eastAsia="Times New Roman" w:hAnsi="Times New Roman" w:cs="Times New Roman"/>
          <w:b w:val="0"/>
          <w:bCs w:val="0"/>
          <w:color w:val="000000"/>
          <w:sz w:val="24"/>
          <w:szCs w:val="24"/>
          <w:u w:val="single"/>
        </w:rPr>
        <w:t>Direct Costs</w:t>
      </w:r>
      <w:r>
        <w:rPr>
          <w:rFonts w:ascii="Times New Roman" w:eastAsia="Times New Roman" w:hAnsi="Times New Roman" w:cs="Times New Roman"/>
          <w:b w:val="0"/>
          <w:bCs w:val="0"/>
          <w:color w:val="000000"/>
          <w:sz w:val="24"/>
          <w:szCs w:val="24"/>
        </w:rPr>
        <w:t>. Itemize the different types of costs not included elsewhere.</w:t>
      </w:r>
    </w:p>
    <w:p w:rsidP="00470374">
      <w:pPr>
        <w:pStyle w:val="Normal0"/>
        <w:keepLines w:val="0"/>
        <w:numPr>
          <w:ilvl w:val="0"/>
          <w:numId w:val="31"/>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Total Direct Charges</w:t>
      </w:r>
      <w:r>
        <w:rPr>
          <w:rFonts w:ascii="Times New Roman" w:eastAsia="Times New Roman" w:hAnsi="Times New Roman" w:cs="Times New Roman"/>
          <w:b w:val="0"/>
          <w:bCs w:val="0"/>
          <w:color w:val="000000"/>
          <w:sz w:val="24"/>
          <w:szCs w:val="24"/>
        </w:rPr>
        <w:t>.  Totals for items 1–9.</w:t>
      </w:r>
    </w:p>
    <w:p w:rsidP="00470374">
      <w:pPr>
        <w:pStyle w:val="Normal0"/>
        <w:keepLines w:val="0"/>
        <w:numPr>
          <w:ilvl w:val="0"/>
          <w:numId w:val="31"/>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Indirect Charges (Overhead)</w:t>
      </w:r>
      <w:r>
        <w:rPr>
          <w:rFonts w:ascii="Times New Roman" w:eastAsia="Times New Roman" w:hAnsi="Times New Roman" w:cs="Times New Roman"/>
          <w:b w:val="0"/>
          <w:bCs w:val="0"/>
          <w:color w:val="000000"/>
          <w:sz w:val="24"/>
          <w:szCs w:val="24"/>
        </w:rPr>
        <w:t>.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 Provide a copy of the negotiated rate agreement with the Applicant’s Federal cognizant audit agency.  [If applicable.]</w:t>
      </w:r>
    </w:p>
    <w:p w:rsidP="00470374">
      <w:pPr>
        <w:pStyle w:val="Normal0"/>
        <w:keepLines w:val="0"/>
        <w:numPr>
          <w:ilvl w:val="0"/>
          <w:numId w:val="31"/>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Amount Proposed</w:t>
      </w:r>
      <w:r>
        <w:rPr>
          <w:rFonts w:ascii="Times New Roman" w:eastAsia="Times New Roman" w:hAnsi="Times New Roman" w:cs="Times New Roman"/>
          <w:b w:val="0"/>
          <w:bCs w:val="0"/>
          <w:color w:val="000000"/>
          <w:sz w:val="24"/>
          <w:szCs w:val="24"/>
        </w:rPr>
        <w:t>.  Total items 10 and 11.</w:t>
      </w:r>
    </w:p>
    <w:p w:rsidP="00470374">
      <w:pPr>
        <w:pStyle w:val="Normal0"/>
        <w:keepLines w:val="0"/>
        <w:numPr>
          <w:ilvl w:val="0"/>
          <w:numId w:val="31"/>
        </w:numPr>
        <w:spacing w:before="2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Multi-year Projects</w:t>
      </w:r>
      <w:r>
        <w:rPr>
          <w:rFonts w:ascii="Times New Roman" w:eastAsia="Times New Roman" w:hAnsi="Times New Roman" w:cs="Times New Roman"/>
          <w:b w:val="0"/>
          <w:bCs w:val="0"/>
          <w:color w:val="000000"/>
          <w:sz w:val="24"/>
          <w:szCs w:val="24"/>
        </w:rPr>
        <w:t>. The Applicant shall provide summary information as well as a detailed budget for each year. Funds requested for the final year of performance shall comprise a minimum of 15% of the project’s total anticipated budget.  [If applicable.]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bCs/>
          <w:color w:val="000000"/>
          <w:sz w:val="24"/>
          <w:szCs w:val="24"/>
        </w:rPr>
        <w:t>SF 424A, Budget Information for Non-Construction Programs </w:t>
      </w:r>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The following header will display if this checkbox is selected: </w:t>
      </w:r>
      <w:r>
        <w:rPr>
          <w:rFonts w:ascii="Times New Roman" w:eastAsia="Times New Roman" w:hAnsi="Times New Roman" w:cs="Times New Roman"/>
          <w:b/>
          <w:bCs/>
          <w:vanish/>
          <w:color w:val="009745"/>
          <w:sz w:val="24"/>
        </w:rPr>
        <w:t>SF 424A, Budget Information for Non-Construction Programs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 Use subsequent row(s) for other Federal funding. Enter each Federal program’s CFDA number(s) in the corresponding fields on the form. Federal award recipients and subrecipients are subject to Federal award cost principles per the “</w:t>
      </w:r>
      <w:hyperlink r:id="rId16" w:history="1">
        <w:r>
          <w:rPr>
            <w:rStyle w:val="a"/>
            <w:rFonts w:ascii="Times New Roman" w:eastAsia="Times New Roman" w:hAnsi="Times New Roman" w:cs="Times New Roman"/>
            <w:b w:val="0"/>
            <w:bCs w:val="0"/>
            <w:vanish w:val="0"/>
            <w:color w:val="0000FF"/>
            <w:sz w:val="24"/>
            <w:szCs w:val="24"/>
            <w:u w:val="single" w:color="0000FF"/>
          </w:rPr>
          <w:t>DOI Standard Award Terms and Conditions</w:t>
        </w:r>
      </w:hyperlink>
      <w:r>
        <w:rPr>
          <w:rFonts w:ascii="Times New Roman" w:eastAsia="Times New Roman" w:hAnsi="Times New Roman" w:cs="Times New Roman"/>
          <w:b w:val="0"/>
          <w:bCs w:val="0"/>
          <w:vanish w:val="0"/>
          <w:color w:val="000000"/>
          <w:sz w:val="24"/>
          <w:szCs w:val="24"/>
        </w:rPr>
        <w:t>”. The CFDA number(s) for this program appears on the first page of this announcement.</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The following header will display if this checkbox is selected: </w:t>
      </w:r>
      <w:r>
        <w:rPr>
          <w:rFonts w:ascii="Times New Roman" w:eastAsia="Times New Roman" w:hAnsi="Times New Roman" w:cs="Times New Roman"/>
          <w:b/>
          <w:bCs/>
          <w:vanish/>
          <w:color w:val="009745"/>
          <w:sz w:val="24"/>
        </w:rPr>
        <w:t>SF 424C, Budget Information for Construction Program</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Budget Narrative/Detailed Spreadsheet</w:t>
      </w:r>
    </w:p>
    <w:p w:rsidP="00470374">
      <w:pPr>
        <w:keepLines w:val="0"/>
        <w:spacing w:before="20" w:after="20"/>
        <w:ind w:left="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2 CFR 200.407 “Prior written approval (prior approval)” for more information. If equipment purchased previously with Federal funds is available for the project, provide a list of that equipment and identify the Federal funding source.</w:t>
      </w:r>
    </w:p>
    <w:p w:rsidP="00470374">
      <w:pPr>
        <w:pStyle w:val="p"/>
        <w:keepLines w:val="0"/>
        <w:spacing w:before="0" w:after="140"/>
        <w:ind w:left="0"/>
        <w:jc w:val="lef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Budget Justification Narrative</w:t>
      </w:r>
      <w:r>
        <w:rPr>
          <w:rFonts w:ascii="Times New Roman" w:eastAsia="Times New Roman" w:hAnsi="Times New Roman" w:cs="Times New Roman"/>
          <w:b/>
          <w:bCs/>
          <w:color w:val="000000"/>
          <w:sz w:val="24"/>
          <w:szCs w:val="24"/>
        </w:rPr>
        <w:br/>
      </w:r>
      <w:r>
        <w:rPr>
          <w:rFonts w:ascii="Times New Roman" w:eastAsia="Times New Roman" w:hAnsi="Times New Roman" w:cs="Times New Roman"/>
          <w:color w:val="000000"/>
          <w:sz w:val="24"/>
          <w:szCs w:val="24"/>
        </w:rPr>
        <w:t>This information will provide more details than the SF-424A form and will provide adequate information for the Contracting Officer to conduct a detailed analysis of the costs to determine they are reasonable, allowable, and allocable. Please include the following:</w:t>
      </w:r>
    </w:p>
    <w:p w:rsidP="00470374">
      <w:pPr>
        <w:keepLines w:val="0"/>
        <w:numPr>
          <w:ilvl w:val="0"/>
          <w:numId w:val="32"/>
        </w:numPr>
        <w:spacing w:before="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Salaries and Wages</w:t>
      </w:r>
      <w:r>
        <w:rPr>
          <w:rFonts w:ascii="Times New Roman" w:eastAsia="Times New Roman" w:hAnsi="Times New Roman" w:cs="Times New Roman"/>
          <w:color w:val="000000"/>
          <w:sz w:val="24"/>
        </w:rPr>
        <w:t>. List positions, rate of compensation and estimated number of hours. If contract employees are hired, include their total time, rate of compensation, job titles, and roles.</w:t>
      </w:r>
    </w:p>
    <w:p w:rsidP="00470374">
      <w:pPr>
        <w:keepLines w:val="0"/>
        <w:numPr>
          <w:ilvl w:val="0"/>
          <w:numId w:val="32"/>
        </w:numPr>
        <w:spacing w:before="2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Fringe Benefits/Labor Overhead. Indicate the rates/amounts in conformance with normal accounting procedures. Explain what costs are covered in this category and the basis of the rate computations. Provide a copy of the negotiated rate agreement, if available.</w:t>
      </w:r>
    </w:p>
    <w:p w:rsidP="00470374">
      <w:pPr>
        <w:keepLines w:val="0"/>
        <w:numPr>
          <w:ilvl w:val="0"/>
          <w:numId w:val="32"/>
        </w:numPr>
        <w:spacing w:before="2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Lab Analyses</w:t>
      </w:r>
      <w:r>
        <w:rPr>
          <w:rFonts w:ascii="Times New Roman" w:eastAsia="Times New Roman" w:hAnsi="Times New Roman" w:cs="Times New Roman"/>
          <w:color w:val="000000"/>
          <w:sz w:val="24"/>
        </w:rPr>
        <w:t>.  Briefly itemize cost of all analytical work.</w:t>
      </w:r>
    </w:p>
    <w:p w:rsidP="00470374">
      <w:pPr>
        <w:keepLines w:val="0"/>
        <w:numPr>
          <w:ilvl w:val="0"/>
          <w:numId w:val="32"/>
        </w:numPr>
        <w:spacing w:before="2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Supplies</w:t>
      </w:r>
      <w:r>
        <w:rPr>
          <w:rFonts w:ascii="Times New Roman" w:eastAsia="Times New Roman" w:hAnsi="Times New Roman" w:cs="Times New Roman"/>
          <w:color w:val="000000"/>
          <w:sz w:val="24"/>
        </w:rPr>
        <w:t>. Enter the cost for all tangible property. Include the cost of office, laboratory, computing, and field supplies separately. Provide detail on any specific item that represents a significant portion of the proposed amount. Provide a statement that supplies will be purchased in accordance with 2 CFR 200.318–326.</w:t>
      </w:r>
    </w:p>
    <w:p w:rsidP="00470374">
      <w:pPr>
        <w:keepLines w:val="0"/>
        <w:numPr>
          <w:ilvl w:val="0"/>
          <w:numId w:val="32"/>
        </w:numPr>
        <w:spacing w:before="20" w:after="15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Equipment</w:t>
      </w:r>
      <w:r>
        <w:rPr>
          <w:rFonts w:ascii="Times New Roman" w:eastAsia="Times New Roman" w:hAnsi="Times New Roman" w:cs="Times New Roman"/>
          <w:color w:val="000000"/>
          <w:sz w:val="24"/>
        </w:rPr>
        <w:t>.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(used also for purposes other than this project) must be purchased from the applicant’s operating funds. Title to non-expendable personal property shall be vested solely with the Awardee. Under no circumstances shall property title be vested in a sub-tier Awardee. Provide a statement that equipment will be purchased in accordance with 2 CFR 200.318–326 and managed in accordance with 2 CFR 200.313.</w:t>
      </w:r>
    </w:p>
    <w:p w:rsidP="00470374">
      <w:pPr>
        <w:keepLines w:val="0"/>
        <w:numPr>
          <w:ilvl w:val="0"/>
          <w:numId w:val="33"/>
        </w:numPr>
        <w:spacing w:before="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 xml:space="preserve">Services </w:t>
      </w:r>
      <w:r>
        <w:rPr>
          <w:rFonts w:ascii="Times New Roman" w:eastAsia="Times New Roman" w:hAnsi="Times New Roman" w:cs="Times New Roman"/>
          <w:color w:val="000000"/>
          <w:sz w:val="24"/>
          <w:u w:val="single"/>
        </w:rPr>
        <w:t>or Consultants</w:t>
      </w:r>
      <w:r>
        <w:rPr>
          <w:rFonts w:ascii="Times New Roman" w:eastAsia="Times New Roman" w:hAnsi="Times New Roman" w:cs="Times New Roman"/>
          <w:color w:val="000000"/>
          <w:sz w:val="24"/>
        </w:rPr>
        <w:t>. Identify the tasks or problems for which such services  would be used. List the contemplated sub-Awardees by name (including consultants), the estimated amount of time required, and the quoted rate per day or hour. Sub-applicant proposals should provide cost breakdowns at the same level of detail as the Applicant’s proposal. If contract employees are hired, include their total time, rate of compensation, job titles, and roles. Provide a statement that salaries will be charged at the actual rate and that the rate is comparable to others doing similar work within the organization.</w:t>
      </w:r>
    </w:p>
    <w:p w:rsidP="00470374">
      <w:pPr>
        <w:keepLines w:val="0"/>
        <w:numPr>
          <w:ilvl w:val="0"/>
          <w:numId w:val="33"/>
        </w:numPr>
        <w:spacing w:before="2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Travel</w:t>
      </w:r>
      <w:r>
        <w:rPr>
          <w:rFonts w:ascii="Times New Roman" w:eastAsia="Times New Roman" w:hAnsi="Times New Roman" w:cs="Times New Roman"/>
          <w:color w:val="000000"/>
          <w:sz w:val="24"/>
        </w:rPr>
        <w:t>. State the purpose of the trip and itemize the estimated travel costs to show the number of trips required, the destinations, the number of people traveling, the per diem rates, the cost of transportation, and any miscellaneous expenses for each trip. Calculations of other special transportation costs (such as charges for use of applicant-owned vehicles or vehicle rental costs) should also be shown. Applicants are encouraged to include in the proposal a plan to present findings at one to two major meetings (see above Proposal Text item 1).</w:t>
      </w:r>
    </w:p>
    <w:p w:rsidP="00470374">
      <w:pPr>
        <w:keepLines w:val="0"/>
        <w:numPr>
          <w:ilvl w:val="0"/>
          <w:numId w:val="33"/>
        </w:numPr>
        <w:spacing w:before="2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Publication Costs</w:t>
      </w:r>
      <w:r>
        <w:rPr>
          <w:rFonts w:ascii="Times New Roman" w:eastAsia="Times New Roman" w:hAnsi="Times New Roman" w:cs="Times New Roman"/>
          <w:color w:val="000000"/>
          <w:sz w:val="24"/>
        </w:rPr>
        <w:t>. Indicate an estimate of labor and other unique costs associated with preparation of the draft final report. If publication of results of the research in the peer- reviewed literature (identify likely publications) is anticipated, include costs of drafting or graphics, reproduction, page, or illustration charges, and a minimum  number of reprints.</w:t>
      </w:r>
    </w:p>
    <w:p w:rsidP="00470374">
      <w:pPr>
        <w:keepLines w:val="0"/>
        <w:numPr>
          <w:ilvl w:val="0"/>
          <w:numId w:val="33"/>
        </w:numPr>
        <w:spacing w:before="2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 xml:space="preserve">Other </w:t>
      </w:r>
      <w:r>
        <w:rPr>
          <w:rFonts w:ascii="Times New Roman" w:eastAsia="Times New Roman" w:hAnsi="Times New Roman" w:cs="Times New Roman"/>
          <w:color w:val="000000"/>
          <w:sz w:val="24"/>
          <w:u w:val="single"/>
        </w:rPr>
        <w:t>Direct Costs</w:t>
      </w:r>
      <w:r>
        <w:rPr>
          <w:rFonts w:ascii="Times New Roman" w:eastAsia="Times New Roman" w:hAnsi="Times New Roman" w:cs="Times New Roman"/>
          <w:color w:val="000000"/>
          <w:sz w:val="24"/>
        </w:rPr>
        <w:t>. Itemize the different types of costs not included elsewhere.</w:t>
      </w:r>
    </w:p>
    <w:p w:rsidP="00470374">
      <w:pPr>
        <w:keepLines w:val="0"/>
        <w:numPr>
          <w:ilvl w:val="0"/>
          <w:numId w:val="33"/>
        </w:numPr>
        <w:spacing w:before="2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Total Direct Charges</w:t>
      </w:r>
      <w:r>
        <w:rPr>
          <w:rFonts w:ascii="Times New Roman" w:eastAsia="Times New Roman" w:hAnsi="Times New Roman" w:cs="Times New Roman"/>
          <w:color w:val="000000"/>
          <w:sz w:val="24"/>
        </w:rPr>
        <w:t>.  Totals for items 1–9.</w:t>
      </w:r>
    </w:p>
    <w:p w:rsidP="00470374">
      <w:pPr>
        <w:keepLines w:val="0"/>
        <w:numPr>
          <w:ilvl w:val="0"/>
          <w:numId w:val="33"/>
        </w:numPr>
        <w:spacing w:before="2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Indirect Charges (Overhead)</w:t>
      </w:r>
      <w:r>
        <w:rPr>
          <w:rFonts w:ascii="Times New Roman" w:eastAsia="Times New Roman" w:hAnsi="Times New Roman" w:cs="Times New Roman"/>
          <w:color w:val="000000"/>
          <w:sz w:val="24"/>
        </w:rPr>
        <w:t>.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 Provide a copy of the negotiated rate agreement with the Applicant’s Federal cognizant audit agency.  [If applicable.]</w:t>
      </w:r>
    </w:p>
    <w:p w:rsidP="00470374">
      <w:pPr>
        <w:keepLines w:val="0"/>
        <w:numPr>
          <w:ilvl w:val="0"/>
          <w:numId w:val="33"/>
        </w:numPr>
        <w:spacing w:before="2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Amount Proposed</w:t>
      </w:r>
      <w:r>
        <w:rPr>
          <w:rFonts w:ascii="Times New Roman" w:eastAsia="Times New Roman" w:hAnsi="Times New Roman" w:cs="Times New Roman"/>
          <w:color w:val="000000"/>
          <w:sz w:val="24"/>
        </w:rPr>
        <w:t>.  Total items 10 and 11.</w:t>
      </w:r>
    </w:p>
    <w:p w:rsidP="00470374">
      <w:pPr>
        <w:keepLines w:val="0"/>
        <w:numPr>
          <w:ilvl w:val="0"/>
          <w:numId w:val="33"/>
        </w:numPr>
        <w:spacing w:before="20" w:after="15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Multi-year Projects</w:t>
      </w:r>
      <w:r>
        <w:rPr>
          <w:rFonts w:ascii="Times New Roman" w:eastAsia="Times New Roman" w:hAnsi="Times New Roman" w:cs="Times New Roman"/>
          <w:color w:val="000000"/>
          <w:sz w:val="24"/>
        </w:rPr>
        <w:t>. The Applicant shall provide summary information as well as a detailed budget for each year. Funds requested for the final year of performance shall comprise a minimum of 15% of the project’s total anticipated budget.  [If applicable.]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Conflict of Internet Disclosure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Per the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val="0"/>
          <w:bCs w:val="0"/>
          <w:color w:val="000000"/>
          <w:sz w:val="24"/>
          <w:szCs w:val="24"/>
        </w:rPr>
        <w:t xml:space="preserve">Financial Assistance Interior Regulation (FAIR), </w:t>
      </w:r>
      <w:hyperlink r:id="rId17" w:history="1">
        <w:r>
          <w:rPr>
            <w:rStyle w:val="a"/>
            <w:rFonts w:ascii="Times New Roman" w:eastAsia="Times New Roman" w:hAnsi="Times New Roman" w:cs="Times New Roman"/>
            <w:b w:val="0"/>
            <w:bCs w:val="0"/>
            <w:color w:val="0000FF"/>
            <w:sz w:val="24"/>
            <w:szCs w:val="24"/>
            <w:u w:val="single" w:color="0000FF"/>
          </w:rPr>
          <w:t>2 CFR §1402.112</w:t>
        </w:r>
      </w:hyperlink>
      <w:r>
        <w:rPr>
          <w:rFonts w:ascii="Times New Roman" w:eastAsia="Times New Roman" w:hAnsi="Times New Roman" w:cs="Times New Roman"/>
          <w:b w:val="0"/>
          <w:bCs w:val="0"/>
          <w:color w:val="000000"/>
          <w:sz w:val="24"/>
          <w:szCs w:val="24"/>
        </w:rPr>
        <w:t xml:space="preserve">, applicants must state in their application if any actual or potential conflict of interest exists at the time of submission. Please reference the </w:t>
      </w:r>
      <w:hyperlink r:id="rId18" w:history="1">
        <w:r>
          <w:rPr>
            <w:rStyle w:val="a"/>
            <w:rFonts w:ascii="Times New Roman" w:eastAsia="Times New Roman" w:hAnsi="Times New Roman" w:cs="Times New Roman"/>
            <w:b w:val="0"/>
            <w:bCs w:val="0"/>
            <w:color w:val="0000FF"/>
            <w:sz w:val="24"/>
            <w:szCs w:val="24"/>
            <w:u w:val="single" w:color="0000FF"/>
          </w:rPr>
          <w:t>Federal Activities Inventory Reform Act</w:t>
        </w:r>
      </w:hyperlink>
      <w:r>
        <w:rPr>
          <w:rFonts w:ascii="Times New Roman" w:eastAsia="Times New Roman" w:hAnsi="Times New Roman" w:cs="Times New Roman"/>
          <w:b w:val="0"/>
          <w:bCs w:val="0"/>
          <w:color w:val="000000"/>
          <w:sz w:val="24"/>
          <w:szCs w:val="24"/>
        </w:rPr>
        <w:t xml:space="preserve"> for additional details.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(a) </w:t>
      </w:r>
      <w:r>
        <w:rPr>
          <w:rFonts w:ascii="Times New Roman" w:eastAsia="Times New Roman" w:hAnsi="Times New Roman" w:cs="Times New Roman"/>
          <w:b w:val="0"/>
          <w:bCs w:val="0"/>
          <w:i/>
          <w:iCs/>
          <w:color w:val="000000"/>
          <w:sz w:val="24"/>
          <w:szCs w:val="24"/>
        </w:rPr>
        <w:t>Applicability</w:t>
      </w:r>
      <w:r>
        <w:rPr>
          <w:rFonts w:ascii="Times New Roman" w:eastAsia="Times New Roman" w:hAnsi="Times New Roman" w:cs="Times New Roman"/>
          <w:b w:val="0"/>
          <w:bCs w:val="0"/>
          <w:color w:val="000000"/>
          <w:sz w:val="24"/>
          <w:szCs w:val="24"/>
        </w:rPr>
        <w:t>.</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(1) This section intends to ensure that non-Federal entities and their employees take appropriate steps to avoid conflicts of interest in their responsibilities under or with respect to Federal financial assistance agreements.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(2) In the procurement of supplies, equipment, construction, and services by recipients and by subrecipients, the conflict of interest provisions in 2 CFR 200.318 apply.</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(b) </w:t>
      </w:r>
      <w:r>
        <w:rPr>
          <w:rFonts w:ascii="Times New Roman" w:eastAsia="Times New Roman" w:hAnsi="Times New Roman" w:cs="Times New Roman"/>
          <w:b w:val="0"/>
          <w:bCs w:val="0"/>
          <w:i/>
          <w:iCs/>
          <w:color w:val="000000"/>
          <w:sz w:val="24"/>
          <w:szCs w:val="24"/>
        </w:rPr>
        <w:t>Notification</w:t>
      </w:r>
      <w:r>
        <w:rPr>
          <w:rFonts w:ascii="Times New Roman" w:eastAsia="Times New Roman" w:hAnsi="Times New Roman" w:cs="Times New Roman"/>
          <w:b w:val="0"/>
          <w:bCs w:val="0"/>
          <w:color w:val="000000"/>
          <w:sz w:val="24"/>
          <w:szCs w:val="24"/>
        </w:rPr>
        <w:t>. (1) Non-Federal entities, including applicants for financial assistance awards, must disclose in writing any conflict of interest to the DOI awarding agency or pass-through entity in accordance with 2 CFR 200.112.</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(c) </w:t>
      </w:r>
      <w:r>
        <w:rPr>
          <w:rFonts w:ascii="Times New Roman" w:eastAsia="Times New Roman" w:hAnsi="Times New Roman" w:cs="Times New Roman"/>
          <w:b w:val="0"/>
          <w:bCs w:val="0"/>
          <w:i/>
          <w:iCs/>
          <w:color w:val="000000"/>
          <w:sz w:val="24"/>
          <w:szCs w:val="24"/>
        </w:rPr>
        <w:t>Restrictions on lobbying</w:t>
      </w:r>
      <w:r>
        <w:rPr>
          <w:rFonts w:ascii="Times New Roman" w:eastAsia="Times New Roman" w:hAnsi="Times New Roman" w:cs="Times New Roman"/>
          <w:b w:val="0"/>
          <w:bCs w:val="0"/>
          <w:color w:val="000000"/>
          <w:sz w:val="24"/>
          <w:szCs w:val="24"/>
        </w:rPr>
        <w:t>. Non-Federal entities are strictly prohibited from using funds under a grant or cooperative agreement for lobbying activities and must provide the required certifications and disclosures pursuant to 43 CFR part 18 and 31 U.S.C. 1352.</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(d) </w:t>
      </w:r>
      <w:r>
        <w:rPr>
          <w:rFonts w:ascii="Times New Roman" w:eastAsia="Times New Roman" w:hAnsi="Times New Roman" w:cs="Times New Roman"/>
          <w:b w:val="0"/>
          <w:bCs w:val="0"/>
          <w:i/>
          <w:iCs/>
          <w:color w:val="000000"/>
          <w:sz w:val="24"/>
          <w:szCs w:val="24"/>
        </w:rPr>
        <w:t>Review procedures</w:t>
      </w:r>
      <w:r>
        <w:rPr>
          <w:rFonts w:ascii="Times New Roman" w:eastAsia="Times New Roman" w:hAnsi="Times New Roman" w:cs="Times New Roman"/>
          <w:b w:val="0"/>
          <w:bCs w:val="0"/>
          <w:color w:val="000000"/>
          <w:sz w:val="24"/>
          <w:szCs w:val="24"/>
        </w:rPr>
        <w:t>.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it.(e)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Single Audit Reporting Statement</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19" w:history="1">
        <w:r>
          <w:rPr>
            <w:rStyle w:val="a"/>
            <w:rFonts w:ascii="Times New Roman" w:eastAsia="Times New Roman" w:hAnsi="Times New Roman" w:cs="Times New Roman"/>
            <w:b w:val="0"/>
            <w:bCs w:val="0"/>
            <w:color w:val="0000FF"/>
            <w:sz w:val="24"/>
            <w:szCs w:val="24"/>
            <w:u w:val="single" w:color="0000FF"/>
          </w:rPr>
          <w:t>Federal Audit Clearinghouse’s Internet Data Entry System</w:t>
        </w:r>
      </w:hyperlink>
      <w:r>
        <w:rPr>
          <w:rFonts w:ascii="Times New Roman" w:eastAsia="Times New Roman" w:hAnsi="Times New Roman" w:cs="Times New Roman"/>
          <w:b w:val="0"/>
          <w:bCs w:val="0"/>
          <w:color w:val="000000"/>
          <w:sz w:val="24"/>
          <w:szCs w:val="24"/>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0" w:history="1">
        <w:r>
          <w:rPr>
            <w:rStyle w:val="a"/>
            <w:rFonts w:ascii="Times New Roman" w:eastAsia="Times New Roman" w:hAnsi="Times New Roman" w:cs="Times New Roman"/>
            <w:b w:val="0"/>
            <w:bCs w:val="0"/>
            <w:color w:val="0000FF"/>
            <w:sz w:val="24"/>
            <w:szCs w:val="24"/>
            <w:u w:val="single" w:color="0000FF"/>
          </w:rPr>
          <w:t>Federal Audit Clearinghouse</w:t>
        </w:r>
      </w:hyperlink>
      <w:r>
        <w:rPr>
          <w:rFonts w:ascii="Times New Roman" w:eastAsia="Times New Roman" w:hAnsi="Times New Roman" w:cs="Times New Roman"/>
          <w:b w:val="0"/>
          <w:bCs w:val="0"/>
          <w:color w:val="000000"/>
          <w:sz w:val="24"/>
          <w:szCs w:val="24"/>
        </w:rPr>
        <w:t xml:space="preserve"> website.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All U.S. states, local governments, federally recognized Indian tribal governments, and non- profit organizations expending $750,000 USD or more in Federal award funds in the applicant’s fiscal year must submit a Single Audit report for that year through the </w:t>
      </w:r>
      <w:r>
        <w:rPr>
          <w:rFonts w:ascii="Times New Roman" w:eastAsia="Times New Roman" w:hAnsi="Times New Roman" w:cs="Times New Roman"/>
          <w:b w:val="0"/>
          <w:bCs w:val="0"/>
          <w:color w:val="000000"/>
          <w:sz w:val="24"/>
          <w:szCs w:val="24"/>
          <w:u w:val="single"/>
        </w:rPr>
        <w:t>Federal Audit Clearinghouse’s Internet Data Entry System</w:t>
      </w:r>
      <w:r>
        <w:rPr>
          <w:rFonts w:ascii="Times New Roman" w:eastAsia="Times New Roman" w:hAnsi="Times New Roman" w:cs="Times New Roman"/>
          <w:b w:val="0"/>
          <w:bCs w:val="0"/>
          <w:color w:val="000000"/>
          <w:sz w:val="24"/>
          <w:szCs w:val="24"/>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r>
        <w:rPr>
          <w:rFonts w:ascii="Times New Roman" w:eastAsia="Times New Roman" w:hAnsi="Times New Roman" w:cs="Times New Roman"/>
          <w:b w:val="0"/>
          <w:bCs w:val="0"/>
          <w:color w:val="000000"/>
          <w:sz w:val="24"/>
          <w:szCs w:val="24"/>
          <w:u w:val="single"/>
        </w:rPr>
        <w:t xml:space="preserve">Federal Audit Clearinghouse </w:t>
      </w:r>
      <w:r>
        <w:rPr>
          <w:rFonts w:ascii="Times New Roman" w:eastAsia="Times New Roman" w:hAnsi="Times New Roman" w:cs="Times New Roman"/>
          <w:b w:val="0"/>
          <w:bCs w:val="0"/>
          <w:color w:val="000000"/>
          <w:sz w:val="24"/>
          <w:szCs w:val="24"/>
        </w:rPr>
        <w:t>website.</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t>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Certification Regarding Lobbying</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Applicants requesting more than $100,000 in Federal funding must certify to the statements in </w:t>
      </w:r>
      <w:hyperlink r:id="rId21" w:history="1">
        <w:r>
          <w:rPr>
            <w:rStyle w:val="a"/>
            <w:rFonts w:ascii="Times New Roman" w:eastAsia="Times New Roman" w:hAnsi="Times New Roman" w:cs="Times New Roman"/>
            <w:b w:val="0"/>
            <w:bCs w:val="0"/>
            <w:color w:val="0000FF"/>
            <w:sz w:val="24"/>
            <w:szCs w:val="24"/>
            <w:u w:val="single" w:color="0000FF"/>
          </w:rPr>
          <w:t>43 CFR Part 18, Appendix A-Certification Regarding Lobbying</w:t>
        </w:r>
      </w:hyperlink>
      <w:r>
        <w:rPr>
          <w:rFonts w:ascii="Times New Roman" w:eastAsia="Times New Roman" w:hAnsi="Times New Roman" w:cs="Times New Roman"/>
          <w:b w:val="0"/>
          <w:bCs w:val="0"/>
          <w:color w:val="000000"/>
          <w:sz w:val="24"/>
          <w:szCs w:val="24"/>
        </w:rPr>
        <w:t>. If this application requests more than $100,000 in Federal funds, the Authorized Official’s signature on the appropriate SF-424, Application for Federal Assistance form also represents the entity’s certification of the statements in 43 CFR Part 18, Appendix A.</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Applicants requesting more than $100,000 in Federal funding must certify to the statements in </w:t>
      </w:r>
      <w:r>
        <w:rPr>
          <w:rFonts w:ascii="Times New Roman" w:eastAsia="Times New Roman" w:hAnsi="Times New Roman" w:cs="Times New Roman"/>
          <w:b w:val="0"/>
          <w:bCs w:val="0"/>
          <w:color w:val="000000"/>
          <w:sz w:val="24"/>
          <w:szCs w:val="24"/>
          <w:u w:val="single"/>
        </w:rPr>
        <w:t>43 CFR Part 18, Appendix A-Certification Regarding Lobbying</w:t>
      </w:r>
      <w:r>
        <w:rPr>
          <w:rFonts w:ascii="Times New Roman" w:eastAsia="Times New Roman" w:hAnsi="Times New Roman" w:cs="Times New Roman"/>
          <w:b w:val="0"/>
          <w:bCs w:val="0"/>
          <w:color w:val="000000"/>
          <w:sz w:val="24"/>
          <w:szCs w:val="24"/>
        </w:rPr>
        <w:t>. If this application requests more than $100,000 in Federal funds, the Authorized Official’s signature on the appropriate SF-424. 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SF-LLL, Disclosure of Lobbying Activities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See 43 CFR, Subpart 18.100 for more information on when additional submission of this form is required.</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t> </w:t>
      </w:r>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The following header will display if this checkbox is selected: </w:t>
      </w:r>
      <w:r>
        <w:rPr>
          <w:rFonts w:ascii="Times New Roman" w:eastAsia="Times New Roman" w:hAnsi="Times New Roman" w:cs="Times New Roman"/>
          <w:b/>
          <w:bCs/>
          <w:vanish/>
          <w:color w:val="009745"/>
          <w:sz w:val="24"/>
        </w:rPr>
        <w:t>Disclosure of Lobbying Activities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SF-LLL, Disclosure of Lobbying Activities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See 43 CFR, Subpart 18.100 for more information on when additional submission of this form is required.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Overlap or Duplication of Effort Statement</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22" w:name="_Toc256000019"/>
      <w:r>
        <w:rPr>
          <w:rFonts w:ascii="Times New Roman" w:eastAsia="Times New Roman" w:hAnsi="Times New Roman" w:cs="Times New Roman"/>
          <w:b/>
          <w:bCs/>
          <w:color w:val="000000"/>
          <w:sz w:val="24"/>
          <w:szCs w:val="24"/>
        </w:rPr>
        <w:t>D3. Unique Entity Identifier and System for Award Management (SAM)</w:t>
      </w:r>
      <w:bookmarkEnd w:id="22"/>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Identifier and System for Award Management (SAM.gov) Registration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This requirement does not apply to individuals applying for funds as individual (i.e., unrelated to any business or nonprofit organization you may own or operate) or any entity with an exception approved by the funding bureau or office in accordance with bureau or office policy.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“Submission Requirements” section of this document below for more information on SAM.gov registration. We may not make a Federal award to an applicant that has not completed the SAM.gov registration. If an applicant selected for funding has not completed their SAM.gov registration by the time the program is ready to make an award, the program may determine that the applicant is not qualified to receive an award. The program can use that determination as a basis for making an award to another applicant. </w:t>
      </w:r>
      <w:r>
        <w:rPr>
          <w:rFonts w:ascii="Times New Roman" w:eastAsia="Times New Roman" w:hAnsi="Times New Roman" w:cs="Times New Roman"/>
          <w:b/>
          <w:bCs/>
          <w:color w:val="000000"/>
          <w:sz w:val="24"/>
          <w:szCs w:val="24"/>
        </w:rPr>
        <w:t>There is no cost to register with Dun &amp; Bradstreet or SAM.gov</w:t>
      </w:r>
      <w:r>
        <w:rPr>
          <w:rFonts w:ascii="Times New Roman" w:eastAsia="Times New Roman" w:hAnsi="Times New Roman" w:cs="Times New Roman"/>
          <w:b w:val="0"/>
          <w:bCs w:val="0"/>
          <w:color w:val="000000"/>
          <w:sz w:val="24"/>
          <w:szCs w:val="24"/>
        </w:rPr>
        <w:t xml:space="preserve">. There are third- party vendors who will charge a fee in exchange for registering entities with Dun &amp; Bradstreet and SAM.gov; </w:t>
      </w:r>
      <w:r>
        <w:rPr>
          <w:rFonts w:ascii="Times New Roman" w:eastAsia="Times New Roman" w:hAnsi="Times New Roman" w:cs="Times New Roman"/>
          <w:b/>
          <w:bCs/>
          <w:color w:val="000000"/>
          <w:sz w:val="24"/>
          <w:szCs w:val="24"/>
        </w:rPr>
        <w:t>please be aware you can register and request help for free</w:t>
      </w:r>
      <w:r>
        <w:rPr>
          <w:rFonts w:ascii="Times New Roman" w:eastAsia="Times New Roman" w:hAnsi="Times New Roman" w:cs="Times New Roman"/>
          <w:b w:val="0"/>
          <w:bCs w:val="0"/>
          <w:color w:val="000000"/>
          <w:sz w:val="24"/>
          <w:szCs w:val="24"/>
        </w:rPr>
        <w: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Obtain a DUNS Number</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Request a DUNS Number through the Dun &amp; Bradstreet website. The official website address is http://fedgov.dnb.com/webform. For technical difficulties, send an email to the D&amp;B SAM Help Desk. Please ensure that you are able to receive emails from </w:t>
      </w:r>
      <w:hyperlink r:id="rId22" w:history="1">
        <w:r>
          <w:rPr>
            <w:rStyle w:val="a"/>
            <w:rFonts w:ascii="Times New Roman" w:eastAsia="Times New Roman" w:hAnsi="Times New Roman" w:cs="Times New Roman"/>
            <w:b w:val="0"/>
            <w:bCs w:val="0"/>
            <w:color w:val="0000FF"/>
            <w:sz w:val="24"/>
            <w:szCs w:val="24"/>
            <w:u w:val="single" w:color="0000FF"/>
          </w:rPr>
          <w:t>SAMHelp@dnb.com</w:t>
        </w:r>
      </w:hyperlink>
      <w:r>
        <w:rPr>
          <w:rFonts w:ascii="Times New Roman" w:eastAsia="Times New Roman" w:hAnsi="Times New Roman" w:cs="Times New Roman"/>
          <w:b w:val="0"/>
          <w:bCs w:val="0"/>
          <w:color w:val="000000"/>
          <w:sz w:val="24"/>
          <w:szCs w:val="24"/>
        </w:rPr>
        <w:t>. The Grants.gov “Obtain a DUNS Number” webpage also provides detailed instructions. Once assigned a DUNS number, your organization must maintain up-to-date information with Dun &amp; Bradstreet. Applicants must enter their DUNS number in the “Organizational DUNS” field on the SF-424, Application for Federal Assistance form.</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Register with the System for Award Management (SAM)</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Register on the SAM.gov website. “Help” tab on the website contains User Guides and other information to assist you with registration. The Grants.gov Register with SAM page also provides detailed instructions. You can also contact the supporting Federal Service Desk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23" w:name="_Toc256000020"/>
      <w:r>
        <w:rPr>
          <w:rFonts w:ascii="Times New Roman" w:eastAsia="Times New Roman" w:hAnsi="Times New Roman" w:cs="Times New Roman"/>
          <w:b/>
          <w:bCs/>
          <w:color w:val="000000"/>
          <w:sz w:val="24"/>
          <w:szCs w:val="24"/>
        </w:rPr>
        <w:t>D4. Submission Dates and Times</w:t>
      </w:r>
      <w:bookmarkEnd w:id="23"/>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Notice of Funding Opportunities must identify due dates and times for all submissions according to 2 CFR 200, Appendix I, section D (4). Review and address all of the 2 CFR 200-Appendix I requirements for this section. These include clearly stating deadlines in terms of date and local time (Please Note: Grants.gov uses Eastern Time); what the deadline means and if submission method affects it; and the effect of missing a deadline. Format the information in this section so that it is easy to understand and use. A tabular format or checklist may be more helpful than narrative paragraphs.] This includes not only the full applications but also any preliminary submissions (e.g., letters of intent, white papers, or pre-applications). It also includes any other submissions of information before Federal award that are separate from the full application. If the funding opportunity is a general Notice of Funding Opportunity that is open for a period of time with no specific due dates for applications, this section should say so.</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Application Due Date</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06/14/2021</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Application Due Date Explanation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Electronically submitted applications must be submitted no later than 1:00 p.m., AST, on the listed application due date.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24" w:name="_Toc256000021"/>
      <w:r>
        <w:rPr>
          <w:rFonts w:ascii="Times New Roman" w:eastAsia="Times New Roman" w:hAnsi="Times New Roman" w:cs="Times New Roman"/>
          <w:b/>
          <w:bCs/>
          <w:color w:val="000000"/>
          <w:sz w:val="24"/>
          <w:szCs w:val="24"/>
        </w:rPr>
        <w:t>D5. Intergovernmental Review</w:t>
      </w:r>
      <w:bookmarkEnd w:id="24"/>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Required, if applicable. If the funding opportunity is subject to Executive Order 12372, 'Intergovernmental Review of Federal Programs,' the notice must say so. In alerting applicants that they must contact their state's Single Point of Contact (SPOC) to find out about and comply with the state's process under Executive Order 12372, it may be useful to inform potential applicants that the names and addresses of the SPOCs are listed in the Office of Management and Budget's Web site. www.whitehouse.gov/omb/grants/spoc.html.</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Prior to application submission, U.S. state and local government applicants should visit the OMB Office of Federal Financial Management website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25" w:name="_Toc256000022"/>
      <w:r>
        <w:rPr>
          <w:rFonts w:ascii="Times New Roman" w:eastAsia="Times New Roman" w:hAnsi="Times New Roman" w:cs="Times New Roman"/>
          <w:b/>
          <w:bCs/>
          <w:color w:val="000000"/>
          <w:sz w:val="24"/>
          <w:szCs w:val="24"/>
        </w:rPr>
        <w:t>D6. Funding Restrictions</w:t>
      </w:r>
      <w:bookmarkEnd w:id="25"/>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Notices must include information on funding restrictions in order to allow an applicant to develop an application and budget consistent with program requirements. Examples are whether construction is an allowable activity, if there are any limitations on direct costs such as foreign travel or equipment purchases, and if there are any limits on indirect costs (or facilities and administrative costs). Applicants must be advised if Federal awards will not allow reimbursement of pre-Federal award costs.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Indirect Costs: Individuals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Indirect Costs: Organizations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IBC Email Submission Form. See the IBC Website for more information.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Required Indirect Cost Statement to be submitted with Application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All organizations must include the applicable statement from the following list in their application, and attach to their application any documentation identified in the applicable statement:</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We are: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Normal0"/>
        <w:keepLines w:val="0"/>
        <w:numPr>
          <w:ilvl w:val="0"/>
          <w:numId w:val="34"/>
        </w:numPr>
        <w:spacing w:before="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 U.S. state or local government entity receiving more than $35 million in direct Federal funding each year with an indirect cost rate of [insert rate]. We submit our indirect cost rate proposals to our cognizant agency. Attached is a copy of our most recently approved rate agreement/certification.</w:t>
      </w:r>
    </w:p>
    <w:p w:rsidP="00470374">
      <w:pPr>
        <w:pStyle w:val="Normal0"/>
        <w:keepLines w:val="0"/>
        <w:numPr>
          <w:ilvl w:val="0"/>
          <w:numId w:val="34"/>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 U.S. state or local government entity receiving less than $35 million in direct Federal funding with an indirect cost rate of [insert rate]. We have prepared and will retain for audit an indirect cost rate proposal and related documentation.</w:t>
      </w:r>
    </w:p>
    <w:p w:rsidP="00470374">
      <w:pPr>
        <w:pStyle w:val="Normal0"/>
        <w:keepLines w:val="0"/>
        <w:numPr>
          <w:ilvl w:val="0"/>
          <w:numId w:val="34"/>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A [insert your organization type; U.S. states and local governments, do not use this statement] that has previously negotiated or currently has an approved indirect cost rate with our cognizant agency. Our indirect cost rate is [insert rate]. [Insert either: “Attached is a copy of our most recently approved but expired rate agreement. In the event an award is made, we will submit an indirect cost rate proposal to our cognizant agency within 90 calendar days after the award is made.” </w:t>
      </w:r>
      <w:r>
        <w:rPr>
          <w:rFonts w:ascii="Times New Roman" w:eastAsia="Times New Roman" w:hAnsi="Times New Roman" w:cs="Times New Roman"/>
          <w:b w:val="0"/>
          <w:bCs w:val="0"/>
          <w:i/>
          <w:iCs/>
          <w:color w:val="000000"/>
          <w:sz w:val="24"/>
          <w:szCs w:val="24"/>
        </w:rPr>
        <w:t xml:space="preserve">or </w:t>
      </w:r>
      <w:r>
        <w:rPr>
          <w:rFonts w:ascii="Times New Roman" w:eastAsia="Times New Roman" w:hAnsi="Times New Roman" w:cs="Times New Roman"/>
          <w:b w:val="0"/>
          <w:bCs w:val="0"/>
          <w:color w:val="000000"/>
          <w:sz w:val="24"/>
          <w:szCs w:val="24"/>
        </w:rPr>
        <w:t>“Attached is a copy of our current negotiated indirect cost rate agreement.”]</w:t>
      </w:r>
    </w:p>
    <w:p w:rsidP="00470374">
      <w:pPr>
        <w:pStyle w:val="Normal0"/>
        <w:keepLines w:val="0"/>
        <w:numPr>
          <w:ilvl w:val="0"/>
          <w:numId w:val="34"/>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 [insert your organization type] that has never submitted an indirect cost rate proposal to our cognizant agency. Our indirect cost rate is [insert rate]. If we receive an award, we will submit an indirect cost rate proposal to our cognizant agency within 90 calendar days after the award date.</w:t>
      </w:r>
    </w:p>
    <w:p w:rsidP="00470374">
      <w:pPr>
        <w:pStyle w:val="Normal0"/>
        <w:keepLines w:val="0"/>
        <w:numPr>
          <w:ilvl w:val="0"/>
          <w:numId w:val="34"/>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 [insert your organization type] that has never submitted an indirect cost rate proposal to our cognizant agency and has an indirect cost rate that is lower than 10%. Our indirect cost rate is [insert rate; must be lower than 10%]. However, if we receive an award we will not be able to meet the requirement to submit an indirect cost rate proposal to our cognizant agency within 90 calendar days after award. We request as a condition of award to charge a flat indirect cost rate of [insert rate; must be lower than 10%] against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200.68]. We understand that we must notify the Service in writing if we establish an approved rate with our cognizant agency at any point during the award period.</w:t>
      </w:r>
    </w:p>
    <w:p w:rsidP="00470374">
      <w:pPr>
        <w:pStyle w:val="Normal0"/>
        <w:keepLines w:val="0"/>
        <w:numPr>
          <w:ilvl w:val="0"/>
          <w:numId w:val="34"/>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A [insert your organization type] that has never submitted an indirect cost rate proposal to our cognizant agency and has an indirect cost rate that is 10% or higher. Our indirect cost rate is [insert your organization’s indirect rate; must be 10% or higher]. However, if we receive an award we will not be able to meet the requirement to submit an indirect cost rate proposal to our cognizant agency within 90 calendar days after award. We request as a condition of award to charge a flat </w:t>
      </w:r>
      <w:r>
        <w:rPr>
          <w:rFonts w:ascii="Times New Roman" w:eastAsia="Times New Roman" w:hAnsi="Times New Roman" w:cs="Times New Roman"/>
          <w:b w:val="0"/>
          <w:bCs w:val="0"/>
          <w:i/>
          <w:iCs/>
          <w:color w:val="000000"/>
          <w:sz w:val="24"/>
          <w:szCs w:val="24"/>
        </w:rPr>
        <w:t xml:space="preserve">de minimis </w:t>
      </w:r>
      <w:r>
        <w:rPr>
          <w:rFonts w:ascii="Times New Roman" w:eastAsia="Times New Roman" w:hAnsi="Times New Roman" w:cs="Times New Roman"/>
          <w:b w:val="0"/>
          <w:bCs w:val="0"/>
          <w:color w:val="000000"/>
          <w:sz w:val="24"/>
          <w:szCs w:val="24"/>
        </w:rPr>
        <w:t>indirect cost rate of 10% to be charged against modified total direct project costs as defined in 2 CFR §200.68.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rsidP="00470374">
      <w:pPr>
        <w:pStyle w:val="Normal0"/>
        <w:keepLines w:val="0"/>
        <w:numPr>
          <w:ilvl w:val="0"/>
          <w:numId w:val="34"/>
        </w:numPr>
        <w:spacing w:before="20" w:after="2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A [insert your organization type] that is submitting this proposal for consideration under the [“Program Title”], which has a Department of the Interior-approve indirect cost rate cap of [insert program rate]. If we have an approved indirect cost rate with our cognizant agency, we understand that we must apply this reduced rate against the same direct cost base as identified in our approved indirect cost rate agreement per the Financial Assistance Interior Regulation (FAIR) 2 CFR §1402.414. If we do not have an approved indirect cost rate with our cognizant agency, we understand that must charge indirect costs against the modified total direct cost base defined in 2 CFR §200.68 “Modified Total Direct Cost (MTDC)”. We understand that we must request prior approval from </w:t>
      </w:r>
      <w:r>
        <w:rPr>
          <w:rFonts w:ascii="Times New Roman" w:eastAsia="Times New Roman" w:hAnsi="Times New Roman" w:cs="Times New Roman"/>
          <w:b/>
          <w:bCs/>
          <w:color w:val="000000"/>
          <w:sz w:val="24"/>
          <w:szCs w:val="24"/>
        </w:rPr>
        <w:t xml:space="preserve">[insert Bureau Here] </w:t>
      </w:r>
      <w:r>
        <w:rPr>
          <w:rFonts w:ascii="Times New Roman" w:eastAsia="Times New Roman" w:hAnsi="Times New Roman" w:cs="Times New Roman"/>
          <w:b w:val="0"/>
          <w:bCs w:val="0"/>
          <w:color w:val="000000"/>
          <w:sz w:val="24"/>
          <w:szCs w:val="24"/>
        </w:rPr>
        <w:t xml:space="preserve">to use the 2 CFR 200 MTDC base instead of the base identified in our approved indirect cost rate agreement. We understand that </w:t>
      </w:r>
      <w:r>
        <w:rPr>
          <w:rFonts w:ascii="Times New Roman" w:eastAsia="Times New Roman" w:hAnsi="Times New Roman" w:cs="Times New Roman"/>
          <w:b/>
          <w:bCs/>
          <w:color w:val="000000"/>
          <w:sz w:val="24"/>
          <w:szCs w:val="24"/>
        </w:rPr>
        <w:t xml:space="preserve">[Insert Bureau Here] </w:t>
      </w:r>
      <w:r>
        <w:rPr>
          <w:rFonts w:ascii="Times New Roman" w:eastAsia="Times New Roman" w:hAnsi="Times New Roman" w:cs="Times New Roman"/>
          <w:b w:val="0"/>
          <w:bCs w:val="0"/>
          <w:color w:val="000000"/>
          <w:sz w:val="24"/>
          <w:szCs w:val="24"/>
        </w:rPr>
        <w:t>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the indirect costs are not recovered due to a voluntary reduction to our federally negotiated rate are not allowable for recovery via any other means.</w:t>
      </w:r>
    </w:p>
    <w:p w:rsidP="00470374">
      <w:pPr>
        <w:pStyle w:val="Normal0"/>
        <w:keepLines w:val="0"/>
        <w:numPr>
          <w:ilvl w:val="0"/>
          <w:numId w:val="34"/>
        </w:numPr>
        <w:spacing w:before="2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 [insert your organization type] that will charge all costs directly.</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Prohibited Uses of Awards Funds</w:t>
      </w:r>
    </w:p>
    <w:p w:rsidP="00470374">
      <w:pPr>
        <w:keepLines w:val="0"/>
        <w:spacing w:before="6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Add any additional program restrictions here.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Reimbursement of Pre-Award Costs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26" w:name="_Toc256000023"/>
      <w:r>
        <w:rPr>
          <w:rFonts w:ascii="Times New Roman" w:eastAsia="Times New Roman" w:hAnsi="Times New Roman" w:cs="Times New Roman"/>
          <w:b/>
          <w:bCs/>
          <w:color w:val="000000"/>
          <w:sz w:val="24"/>
          <w:szCs w:val="24"/>
        </w:rPr>
        <w:t>D7. Other Submission Requirements</w:t>
      </w:r>
      <w:bookmarkEnd w:id="26"/>
      <w:r>
        <w:rPr>
          <w:rFonts w:ascii="Times New Roman" w:eastAsia="Times New Roman" w:hAnsi="Times New Roman" w:cs="Times New Roman"/>
          <w:b/>
          <w:bCs/>
          <w:color w:val="000000"/>
          <w:sz w:val="24"/>
          <w:szCs w:val="24"/>
        </w:rPr>
        <w:t xml:space="preserve"> </w:t>
      </w:r>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This section must address any other submission requirements not included in the other paragraphs of this section.</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 xml:space="preserve">Please be aware that the electronic submission process requires first time users to register using an e- 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xml:space="preserve">If you have any questions or problems with the registration process, or the completion of the application package, please contact the grants.gov help desk at 1-800-518-4726 or </w:t>
      </w:r>
      <w:hyperlink r:id="rId23" w:history="1">
        <w:r>
          <w:rPr>
            <w:rStyle w:val="a"/>
            <w:rFonts w:ascii="Times New Roman" w:eastAsia="Times New Roman" w:hAnsi="Times New Roman" w:cs="Times New Roman"/>
            <w:b w:val="0"/>
            <w:bCs w:val="0"/>
            <w:vanish w:val="0"/>
            <w:color w:val="0000FF"/>
            <w:sz w:val="24"/>
            <w:szCs w:val="24"/>
            <w:u w:val="single" w:color="0000FF"/>
          </w:rPr>
          <w:t>support@grants.gov</w:t>
        </w:r>
      </w:hyperlink>
      <w:r>
        <w:rPr>
          <w:rFonts w:ascii="Times New Roman" w:eastAsia="Times New Roman" w:hAnsi="Times New Roman" w:cs="Times New Roman"/>
          <w:b w:val="0"/>
          <w:bCs w:val="0"/>
          <w:vanish w:val="0"/>
          <w:color w:val="000000"/>
          <w:sz w:val="24"/>
          <w:szCs w:val="24"/>
        </w:rPr>
        <w:t>.</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Briefly, when you submit a grant application package to Grants.gov, you will receive a confirmation screen as well as three additional emails over two business days from Grants.gov informing you of your application processing status: 1. Confirmation screen</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2. Submission Receipt (with “Track My Application” link) 3. Submission Validation (or Rejection with Errors) 4. Agency Retrieval</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CONFIRMATION: Submission Confirmation Screen.</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After you submit your grant application package, a confirmation screen will appear on your computer screen. This screen confirms that you have submitted an application to Grants.gov.</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NOTIFICATION 1: Submission Receipt Email Within two business days after your application package has been received by the Grants.gov system, you will receive a submission receipt email which indicates that your submission has entered the Grants.gov system and is ready for validation. This email also contains a tracking number for use while tracking the status of the submission as well as a “Track My Application” link, to use to see the progress of your submission.</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 xml:space="preserve">NOTIFICATION 2: Submission Validation Receipt Email – This is the important one! </w:t>
      </w:r>
      <w:r>
        <w:rPr>
          <w:rFonts w:ascii="Times New Roman" w:eastAsia="Times New Roman" w:hAnsi="Times New Roman" w:cs="Times New Roman"/>
          <w:b w:val="0"/>
          <w:bCs w:val="0"/>
          <w:vanish w:val="0"/>
          <w:color w:val="000000"/>
          <w:sz w:val="24"/>
          <w:szCs w:val="24"/>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 Grants.gov will not post the application if there are errors. Failure to correct errors and submit by the date and time for closing may not be a reason for accepting a late application.</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xml:space="preserve">NOTIFICATION 3: Grantor Agency Retrieval Email Once your application package has passed validation it is delivered to the grantor for award determination and further approval. After the grantor has confirmed receipt of your application, you will be sent a </w:t>
      </w:r>
      <w:r>
        <w:rPr>
          <w:rFonts w:ascii="Times New Roman" w:eastAsia="Times New Roman" w:hAnsi="Times New Roman" w:cs="Times New Roman"/>
          <w:b/>
          <w:bCs/>
          <w:vanish w:val="0"/>
          <w:color w:val="000000"/>
          <w:sz w:val="24"/>
          <w:szCs w:val="24"/>
        </w:rPr>
        <w:t xml:space="preserve">third and final email </w:t>
      </w:r>
      <w:r>
        <w:rPr>
          <w:rFonts w:ascii="Times New Roman" w:eastAsia="Times New Roman" w:hAnsi="Times New Roman" w:cs="Times New Roman"/>
          <w:b w:val="0"/>
          <w:bCs w:val="0"/>
          <w:vanish w:val="0"/>
          <w:color w:val="000000"/>
          <w:sz w:val="24"/>
          <w:szCs w:val="24"/>
        </w:rPr>
        <w:t>from Grants.gov. The grantor may also assign your application package an agency specific tracking number for use within their internal system. IF YOU HAVE NOT RECEIVED THIS E- MAIL WITHIN FOUR DAYS OF THE CLOSING DATE, PLEASE CONTACT THE CONTRACTING OFFICER.</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xml:space="preserve">If you need help entering your proposal, you can reach the </w:t>
      </w:r>
      <w:r>
        <w:rPr>
          <w:rFonts w:ascii="Times New Roman" w:eastAsia="Times New Roman" w:hAnsi="Times New Roman" w:cs="Times New Roman"/>
          <w:b/>
          <w:bCs/>
          <w:vanish w:val="0"/>
          <w:color w:val="000000"/>
          <w:sz w:val="24"/>
          <w:szCs w:val="24"/>
        </w:rPr>
        <w:t xml:space="preserve">Grants.gov Contact Center at: </w:t>
      </w:r>
      <w:r>
        <w:rPr>
          <w:rFonts w:ascii="Times New Roman" w:eastAsia="Times New Roman" w:hAnsi="Times New Roman" w:cs="Times New Roman"/>
          <w:b w:val="0"/>
          <w:bCs w:val="0"/>
          <w:vanish w:val="0"/>
          <w:color w:val="000000"/>
          <w:sz w:val="24"/>
          <w:szCs w:val="24"/>
        </w:rPr>
        <w:t>1-800- 518- 4726. Their hours of operation are Monday-Friday, 7:00 a.m. to 9:00 p.m., Eastern Time, and they are closed on Federal Holidays.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During the application period an applicant may submit a revised or corrected proposal through grants.gov. Include a cover letter as the first page of the proposal stating that the proposal is revised and indicating that the previous submittal is to be withdrawn from consideration. See Section 11, Application Preparation Instructions, which describes requirements for the proposal and other application components.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Please allow sufficient time for the proposal to be submitted electronically through Grants.gov and allow time for possible computer delays. Applicants are strongly advised not to wait until the last minute for submission. A proposal received after the closing date and time will NOT be considered for award. If the USGS determines that a proposal will not be considered for award due to lateness, the applicant will be notified immediately.</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27" w:name="_Toc256000024"/>
      <w:r>
        <w:rPr>
          <w:rFonts w:ascii="Times New Roman" w:eastAsia="Times New Roman" w:hAnsi="Times New Roman" w:cs="Times New Roman"/>
          <w:b/>
          <w:bCs/>
          <w:color w:val="000000"/>
          <w:sz w:val="24"/>
          <w:szCs w:val="24"/>
        </w:rPr>
        <w:t>D8. Application Checklist</w:t>
      </w:r>
      <w:bookmarkEnd w:id="27"/>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SF-424, Application for Federal Assistance or Application for Federal Assistance-Individual</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SF-424B or D, Assurances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Project Narrative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SF-424A or C, Budget Information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Budget Narrative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Indirect Cost Statement and related documentation (when applicable)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SF-LLL, Disclosure of Lobbying Activites (when applicable)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Grants.gov Lobbying Form: Certification Regarding Lobbying</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t>Complete the optional SF-LLL Lobbying Form only if lobbying has occurred.</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1"/>
        <w:keepLines w:val="0"/>
        <w:pBdr>
          <w:top w:val="none" w:sz="0" w:space="2" w:color="auto"/>
          <w:left w:val="none" w:sz="0" w:space="2" w:color="auto"/>
          <w:bottom w:val="none" w:sz="0" w:space="2" w:color="auto"/>
          <w:right w:val="none" w:sz="0" w:space="2" w:color="auto"/>
        </w:pBdr>
        <w:shd w:val="clear" w:color="auto" w:fill="BCDFFB"/>
        <w:spacing w:before="20" w:after="20"/>
        <w:ind w:left="45" w:right="45"/>
        <w:jc w:val="left"/>
        <w:rPr>
          <w:rFonts w:ascii="Times New Roman" w:eastAsia="Times New Roman" w:hAnsi="Times New Roman" w:cs="Times New Roman"/>
          <w:b/>
          <w:bCs/>
          <w:color w:val="000000"/>
          <w:sz w:val="24"/>
          <w:szCs w:val="24"/>
        </w:rPr>
      </w:pPr>
      <w:bookmarkStart w:id="28" w:name="_Toc256000025"/>
      <w:r>
        <w:rPr>
          <w:rFonts w:ascii="Times New Roman" w:eastAsia="Times New Roman" w:hAnsi="Times New Roman" w:cs="Times New Roman"/>
          <w:b/>
          <w:bCs/>
          <w:color w:val="000000"/>
          <w:sz w:val="24"/>
          <w:szCs w:val="24"/>
        </w:rPr>
        <w:t>E. Application Review Information</w:t>
      </w:r>
      <w:bookmarkEnd w:id="28"/>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This section must address the criteria that the Federal awarding agency will use to evaluate applications. This includes the merit and other review criteria that evaluators will use to judge applications, including any statutory, regulatory, or other preferences (e.g., minority status or Native American tribal preferences) that will be applied in the review process.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29" w:name="_Toc256000026"/>
      <w:r>
        <w:rPr>
          <w:rFonts w:ascii="Times New Roman" w:eastAsia="Times New Roman" w:hAnsi="Times New Roman" w:cs="Times New Roman"/>
          <w:b/>
          <w:bCs/>
          <w:color w:val="000000"/>
          <w:sz w:val="24"/>
          <w:szCs w:val="24"/>
        </w:rPr>
        <w:t>E1. Criteria</w:t>
      </w:r>
      <w:bookmarkEnd w:id="29"/>
    </w:p>
    <w:tbl>
      <w:tblPr>
        <w:tblStyle w:val="criteria-linked-element"/>
        <w:tblW w:w="5000" w:type="pct"/>
        <w:tblCellSpacing w:w="15" w:type="dxa"/>
        <w:tblInd w:w="15" w:type="dxa"/>
        <w:tblCellMar>
          <w:top w:w="15" w:type="dxa"/>
          <w:left w:w="15" w:type="dxa"/>
          <w:bottom w:w="15" w:type="dxa"/>
          <w:right w:w="15" w:type="dxa"/>
        </w:tblCellMar>
        <w:tblLook w:val="05E0"/>
      </w:tblPr>
      <w:tblGrid>
        <w:gridCol w:w="6045"/>
        <w:gridCol w:w="3255"/>
      </w:tblGrid>
      <w:tr>
        <w:tblPrEx>
          <w:tblW w:w="5000" w:type="pct"/>
          <w:tblCellSpacing w:w="15" w:type="dxa"/>
          <w:tblInd w:w="15" w:type="dxa"/>
          <w:tblCellMar>
            <w:top w:w="15" w:type="dxa"/>
            <w:left w:w="15" w:type="dxa"/>
            <w:bottom w:w="15" w:type="dxa"/>
            <w:right w:w="15" w:type="dxa"/>
          </w:tblCellMar>
          <w:tblLook w:val="05E0"/>
        </w:tblPrEx>
        <w:trPr>
          <w:tblCellSpacing w:w="15"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Scientific Quality and Impact (20%):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Maximum Points: </w:t>
            </w:r>
            <w:r>
              <w:rPr>
                <w:rStyle w:val="criteria-linked-elementdata-modeexportcriteria-score"/>
                <w:rFonts w:ascii="Times New Roman" w:eastAsia="Times New Roman" w:hAnsi="Times New Roman" w:cs="Times New Roman"/>
                <w:b w:val="0"/>
                <w:bCs w:val="0"/>
                <w:color w:val="000000"/>
                <w:sz w:val="24"/>
                <w:szCs w:val="24"/>
                <w:bdr w:val="none" w:sz="0" w:space="0" w:color="auto"/>
              </w:rPr>
              <w:t>0</w:t>
            </w:r>
            <w:r>
              <w:rPr>
                <w:rStyle w:val="criteria-linked-elementdata-modeexportcriteria-score"/>
                <w:rFonts w:ascii="Times New Roman" w:eastAsia="Times New Roman" w:hAnsi="Times New Roman" w:cs="Times New Roman"/>
                <w:b w:val="0"/>
                <w:bCs w:val="0"/>
                <w:color w:val="000000"/>
                <w:sz w:val="24"/>
                <w:szCs w:val="24"/>
              </w:rPr>
              <w:t xml:space="preserve"> </w:t>
            </w:r>
          </w:p>
        </w:tc>
      </w:tr>
      <w:tr>
        <w:tblPrEx>
          <w:tblW w:w="5000" w:type="pct"/>
          <w:tblCellSpacing w:w="15" w:type="dxa"/>
          <w:tblInd w:w="15" w:type="dxa"/>
          <w:tblCellMar>
            <w:top w:w="15" w:type="dxa"/>
            <w:left w:w="15" w:type="dxa"/>
            <w:bottom w:w="15" w:type="dxa"/>
            <w:right w:w="15" w:type="dxa"/>
          </w:tblCellMar>
          <w:tblLook w:val="05E0"/>
        </w:tblPrEx>
        <w:trPr>
          <w:tblCellSpacing w:w="15" w:type="dxa"/>
        </w:trPr>
        <w:tc>
          <w:tcPr>
            <w:gridSpan w:val="2"/>
            <w:noWrap w:val="0"/>
            <w:tcMar>
              <w:top w:w="0" w:type="dxa"/>
              <w:left w:w="0" w:type="dxa"/>
              <w:bottom w:w="0" w:type="dxa"/>
              <w:right w:w="0" w:type="dxa"/>
            </w:tcMar>
            <w:vAlign w:val="center"/>
            <w:hideMark/>
          </w:tcPr>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Is the proposed study of high scientific quality with clear objectives? What is the relevance to BOEM mission?</w:t>
            </w:r>
          </w:p>
        </w:tc>
      </w:tr>
    </w:tbl>
    <w:p>
      <w:pPr>
        <w:rPr>
          <w:vanish/>
        </w:rPr>
      </w:pPr>
    </w:p>
    <w:tbl>
      <w:tblPr>
        <w:tblStyle w:val="criteria-linked-element"/>
        <w:tblW w:w="5000" w:type="pct"/>
        <w:tblCellSpacing w:w="15" w:type="dxa"/>
        <w:tblInd w:w="15" w:type="dxa"/>
        <w:tblCellMar>
          <w:top w:w="15" w:type="dxa"/>
          <w:left w:w="15" w:type="dxa"/>
          <w:bottom w:w="15" w:type="dxa"/>
          <w:right w:w="15" w:type="dxa"/>
        </w:tblCellMar>
        <w:tblLook w:val="05E0"/>
      </w:tblPr>
      <w:tblGrid>
        <w:gridCol w:w="6045"/>
        <w:gridCol w:w="3255"/>
      </w:tblGrid>
      <w:tr>
        <w:tblPrEx>
          <w:tblW w:w="5000" w:type="pct"/>
          <w:tblCellSpacing w:w="15" w:type="dxa"/>
          <w:tblInd w:w="15" w:type="dxa"/>
          <w:tblCellMar>
            <w:top w:w="15" w:type="dxa"/>
            <w:left w:w="15" w:type="dxa"/>
            <w:bottom w:w="15" w:type="dxa"/>
            <w:right w:w="15" w:type="dxa"/>
          </w:tblCellMar>
          <w:tblLook w:val="05E0"/>
        </w:tblPrEx>
        <w:trPr>
          <w:tblCellSpacing w:w="15"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2. Work Plan/Methodology (20%)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Maximum Points: </w:t>
            </w:r>
            <w:r>
              <w:rPr>
                <w:rStyle w:val="criteria-linked-elementdata-modeexportcriteria-score"/>
                <w:rFonts w:ascii="Times New Roman" w:eastAsia="Times New Roman" w:hAnsi="Times New Roman" w:cs="Times New Roman"/>
                <w:b w:val="0"/>
                <w:bCs w:val="0"/>
                <w:color w:val="000000"/>
                <w:sz w:val="24"/>
                <w:szCs w:val="24"/>
                <w:bdr w:val="none" w:sz="0" w:space="0" w:color="auto"/>
              </w:rPr>
              <w:t>0</w:t>
            </w:r>
            <w:r>
              <w:rPr>
                <w:rStyle w:val="criteria-linked-elementdata-modeexportcriteria-score"/>
                <w:rFonts w:ascii="Times New Roman" w:eastAsia="Times New Roman" w:hAnsi="Times New Roman" w:cs="Times New Roman"/>
                <w:b w:val="0"/>
                <w:bCs w:val="0"/>
                <w:color w:val="000000"/>
                <w:sz w:val="24"/>
                <w:szCs w:val="24"/>
              </w:rPr>
              <w:t xml:space="preserve"> </w:t>
            </w:r>
          </w:p>
        </w:tc>
      </w:tr>
      <w:tr>
        <w:tblPrEx>
          <w:tblW w:w="5000" w:type="pct"/>
          <w:tblCellSpacing w:w="15" w:type="dxa"/>
          <w:tblInd w:w="15" w:type="dxa"/>
          <w:tblCellMar>
            <w:top w:w="15" w:type="dxa"/>
            <w:left w:w="15" w:type="dxa"/>
            <w:bottom w:w="15" w:type="dxa"/>
            <w:right w:w="15" w:type="dxa"/>
          </w:tblCellMar>
          <w:tblLook w:val="05E0"/>
        </w:tblPrEx>
        <w:trPr>
          <w:tblCellSpacing w:w="15" w:type="dxa"/>
        </w:trPr>
        <w:tc>
          <w:tcPr>
            <w:gridSpan w:val="2"/>
            <w:noWrap w:val="0"/>
            <w:tcMar>
              <w:top w:w="0" w:type="dxa"/>
              <w:left w:w="0" w:type="dxa"/>
              <w:bottom w:w="0" w:type="dxa"/>
              <w:right w:w="0" w:type="dxa"/>
            </w:tcMar>
            <w:vAlign w:val="center"/>
            <w:hideMark/>
          </w:tcPr>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Is the strategy coherent and clear? Are the scientific objectives appropriate for the proposed time frame? Are the geographic areas selected for study appropriate? Are the proposed methods appropriate and adequate to meet the objectives? Are logistics adequately addressed? Does the proposal address contingency plans for missed field work, equipment failure, and other problems?</w:t>
            </w:r>
          </w:p>
        </w:tc>
      </w:tr>
    </w:tbl>
    <w:p>
      <w:pPr>
        <w:rPr>
          <w:vanish/>
        </w:rPr>
      </w:pPr>
    </w:p>
    <w:tbl>
      <w:tblPr>
        <w:tblStyle w:val="criteria-linked-element"/>
        <w:tblW w:w="5000" w:type="pct"/>
        <w:tblCellSpacing w:w="15" w:type="dxa"/>
        <w:tblInd w:w="15" w:type="dxa"/>
        <w:tblCellMar>
          <w:top w:w="15" w:type="dxa"/>
          <w:left w:w="15" w:type="dxa"/>
          <w:bottom w:w="15" w:type="dxa"/>
          <w:right w:w="15" w:type="dxa"/>
        </w:tblCellMar>
        <w:tblLook w:val="05E0"/>
      </w:tblPr>
      <w:tblGrid>
        <w:gridCol w:w="6045"/>
        <w:gridCol w:w="3255"/>
      </w:tblGrid>
      <w:tr>
        <w:tblPrEx>
          <w:tblW w:w="5000" w:type="pct"/>
          <w:tblCellSpacing w:w="15" w:type="dxa"/>
          <w:tblInd w:w="15" w:type="dxa"/>
          <w:tblCellMar>
            <w:top w:w="15" w:type="dxa"/>
            <w:left w:w="15" w:type="dxa"/>
            <w:bottom w:w="15" w:type="dxa"/>
            <w:right w:w="15" w:type="dxa"/>
          </w:tblCellMar>
          <w:tblLook w:val="05E0"/>
        </w:tblPrEx>
        <w:trPr>
          <w:tblCellSpacing w:w="15"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Experience/Competence of Research Personnel (20%):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Maximum Points: </w:t>
            </w:r>
            <w:r>
              <w:rPr>
                <w:rStyle w:val="criteria-linked-elementdata-modeexportcriteria-score"/>
                <w:rFonts w:ascii="Times New Roman" w:eastAsia="Times New Roman" w:hAnsi="Times New Roman" w:cs="Times New Roman"/>
                <w:b w:val="0"/>
                <w:bCs w:val="0"/>
                <w:color w:val="000000"/>
                <w:sz w:val="24"/>
                <w:szCs w:val="24"/>
                <w:bdr w:val="none" w:sz="0" w:space="0" w:color="auto"/>
              </w:rPr>
              <w:t>0</w:t>
            </w:r>
            <w:r>
              <w:rPr>
                <w:rStyle w:val="criteria-linked-elementdata-modeexportcriteria-score"/>
                <w:rFonts w:ascii="Times New Roman" w:eastAsia="Times New Roman" w:hAnsi="Times New Roman" w:cs="Times New Roman"/>
                <w:b w:val="0"/>
                <w:bCs w:val="0"/>
                <w:color w:val="000000"/>
                <w:sz w:val="24"/>
                <w:szCs w:val="24"/>
              </w:rPr>
              <w:t xml:space="preserve"> </w:t>
            </w:r>
          </w:p>
        </w:tc>
      </w:tr>
      <w:tr>
        <w:tblPrEx>
          <w:tblW w:w="5000" w:type="pct"/>
          <w:tblCellSpacing w:w="15" w:type="dxa"/>
          <w:tblInd w:w="15" w:type="dxa"/>
          <w:tblCellMar>
            <w:top w:w="15" w:type="dxa"/>
            <w:left w:w="15" w:type="dxa"/>
            <w:bottom w:w="15" w:type="dxa"/>
            <w:right w:w="15" w:type="dxa"/>
          </w:tblCellMar>
          <w:tblLook w:val="05E0"/>
        </w:tblPrEx>
        <w:trPr>
          <w:tblCellSpacing w:w="15" w:type="dxa"/>
        </w:trPr>
        <w:tc>
          <w:tcPr>
            <w:gridSpan w:val="2"/>
            <w:noWrap w:val="0"/>
            <w:tcMar>
              <w:top w:w="0" w:type="dxa"/>
              <w:left w:w="0" w:type="dxa"/>
              <w:bottom w:w="0" w:type="dxa"/>
              <w:right w:w="0" w:type="dxa"/>
            </w:tcMar>
            <w:vAlign w:val="center"/>
            <w:hideMark/>
          </w:tcPr>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Has the applicant demonstrated (through bibliographic references, relevant education, experience, awards, etc.) that they are capable of doing the proposed research? Has the applicant demonstrated a thorough knowledge of the scientific problem? Have products been on schedule and within budget?</w:t>
            </w:r>
          </w:p>
        </w:tc>
      </w:tr>
    </w:tbl>
    <w:p>
      <w:pPr>
        <w:rPr>
          <w:vanish/>
        </w:rPr>
      </w:pPr>
    </w:p>
    <w:tbl>
      <w:tblPr>
        <w:tblStyle w:val="criteria-linked-element"/>
        <w:tblW w:w="5000" w:type="pct"/>
        <w:tblCellSpacing w:w="15" w:type="dxa"/>
        <w:tblInd w:w="15" w:type="dxa"/>
        <w:tblCellMar>
          <w:top w:w="15" w:type="dxa"/>
          <w:left w:w="15" w:type="dxa"/>
          <w:bottom w:w="15" w:type="dxa"/>
          <w:right w:w="15" w:type="dxa"/>
        </w:tblCellMar>
        <w:tblLook w:val="05E0"/>
      </w:tblPr>
      <w:tblGrid>
        <w:gridCol w:w="6045"/>
        <w:gridCol w:w="3255"/>
      </w:tblGrid>
      <w:tr>
        <w:tblPrEx>
          <w:tblW w:w="5000" w:type="pct"/>
          <w:tblCellSpacing w:w="15" w:type="dxa"/>
          <w:tblInd w:w="15" w:type="dxa"/>
          <w:tblCellMar>
            <w:top w:w="15" w:type="dxa"/>
            <w:left w:w="15" w:type="dxa"/>
            <w:bottom w:w="15" w:type="dxa"/>
            <w:right w:w="15" w:type="dxa"/>
          </w:tblCellMar>
          <w:tblLook w:val="05E0"/>
        </w:tblPrEx>
        <w:trPr>
          <w:tblCellSpacing w:w="15"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Budget Justification and Clarity (20%)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Maximum Points: </w:t>
            </w:r>
            <w:r>
              <w:rPr>
                <w:rStyle w:val="criteria-linked-elementdata-modeexportcriteria-score"/>
                <w:rFonts w:ascii="Times New Roman" w:eastAsia="Times New Roman" w:hAnsi="Times New Roman" w:cs="Times New Roman"/>
                <w:b w:val="0"/>
                <w:bCs w:val="0"/>
                <w:color w:val="000000"/>
                <w:sz w:val="24"/>
                <w:szCs w:val="24"/>
                <w:bdr w:val="none" w:sz="0" w:space="0" w:color="auto"/>
              </w:rPr>
              <w:t>0</w:t>
            </w:r>
            <w:r>
              <w:rPr>
                <w:rStyle w:val="criteria-linked-elementdata-modeexportcriteria-score"/>
                <w:rFonts w:ascii="Times New Roman" w:eastAsia="Times New Roman" w:hAnsi="Times New Roman" w:cs="Times New Roman"/>
                <w:b w:val="0"/>
                <w:bCs w:val="0"/>
                <w:color w:val="000000"/>
                <w:sz w:val="24"/>
                <w:szCs w:val="24"/>
              </w:rPr>
              <w:t xml:space="preserve"> </w:t>
            </w:r>
          </w:p>
        </w:tc>
      </w:tr>
      <w:tr>
        <w:tblPrEx>
          <w:tblW w:w="5000" w:type="pct"/>
          <w:tblCellSpacing w:w="15" w:type="dxa"/>
          <w:tblInd w:w="15" w:type="dxa"/>
          <w:tblCellMar>
            <w:top w:w="15" w:type="dxa"/>
            <w:left w:w="15" w:type="dxa"/>
            <w:bottom w:w="15" w:type="dxa"/>
            <w:right w:w="15" w:type="dxa"/>
          </w:tblCellMar>
          <w:tblLook w:val="05E0"/>
        </w:tblPrEx>
        <w:trPr>
          <w:tblCellSpacing w:w="15" w:type="dxa"/>
        </w:trPr>
        <w:tc>
          <w:tcPr>
            <w:gridSpan w:val="2"/>
            <w:noWrap w:val="0"/>
            <w:tcMar>
              <w:top w:w="0" w:type="dxa"/>
              <w:left w:w="0" w:type="dxa"/>
              <w:bottom w:w="0" w:type="dxa"/>
              <w:right w:w="0" w:type="dxa"/>
            </w:tcMar>
            <w:vAlign w:val="center"/>
            <w:hideMark/>
          </w:tcPr>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Is project staffing sufficient (e.g., experience, knowledge and skills) to accomplish the proposed goals? Are field expenses, supplies, lab work, and other expenses appropriate? Are expenses adequately itemized?</w:t>
            </w:r>
          </w:p>
        </w:tc>
      </w:tr>
    </w:tbl>
    <w:p>
      <w:pPr>
        <w:rPr>
          <w:vanish/>
        </w:rPr>
      </w:pPr>
    </w:p>
    <w:tbl>
      <w:tblPr>
        <w:tblStyle w:val="criteria-linked-element"/>
        <w:tblW w:w="5000" w:type="pct"/>
        <w:tblCellSpacing w:w="15" w:type="dxa"/>
        <w:tblInd w:w="15" w:type="dxa"/>
        <w:tblCellMar>
          <w:top w:w="15" w:type="dxa"/>
          <w:left w:w="15" w:type="dxa"/>
          <w:bottom w:w="15" w:type="dxa"/>
          <w:right w:w="15" w:type="dxa"/>
        </w:tblCellMar>
        <w:tblLook w:val="05E0"/>
      </w:tblPr>
      <w:tblGrid>
        <w:gridCol w:w="6045"/>
        <w:gridCol w:w="3255"/>
      </w:tblGrid>
      <w:tr>
        <w:tblPrEx>
          <w:tblW w:w="5000" w:type="pct"/>
          <w:tblCellSpacing w:w="15" w:type="dxa"/>
          <w:tblInd w:w="15" w:type="dxa"/>
          <w:tblCellMar>
            <w:top w:w="15" w:type="dxa"/>
            <w:left w:w="15" w:type="dxa"/>
            <w:bottom w:w="15" w:type="dxa"/>
            <w:right w:w="15" w:type="dxa"/>
          </w:tblCellMar>
          <w:tblLook w:val="05E0"/>
        </w:tblPrEx>
        <w:trPr>
          <w:tblCellSpacing w:w="15"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5. Planned Products and Dissemination of Results (20%)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Maximum Points: </w:t>
            </w:r>
            <w:r>
              <w:rPr>
                <w:rStyle w:val="criteria-linked-elementdata-modeexportcriteria-score"/>
                <w:rFonts w:ascii="Times New Roman" w:eastAsia="Times New Roman" w:hAnsi="Times New Roman" w:cs="Times New Roman"/>
                <w:b w:val="0"/>
                <w:bCs w:val="0"/>
                <w:color w:val="000000"/>
                <w:sz w:val="24"/>
                <w:szCs w:val="24"/>
                <w:bdr w:val="none" w:sz="0" w:space="0" w:color="auto"/>
              </w:rPr>
              <w:t>0</w:t>
            </w:r>
            <w:r>
              <w:rPr>
                <w:rStyle w:val="criteria-linked-elementdata-modeexportcriteria-score"/>
                <w:rFonts w:ascii="Times New Roman" w:eastAsia="Times New Roman" w:hAnsi="Times New Roman" w:cs="Times New Roman"/>
                <w:b w:val="0"/>
                <w:bCs w:val="0"/>
                <w:color w:val="000000"/>
                <w:sz w:val="24"/>
                <w:szCs w:val="24"/>
              </w:rPr>
              <w:t xml:space="preserve"> </w:t>
            </w:r>
          </w:p>
        </w:tc>
      </w:tr>
      <w:tr>
        <w:tblPrEx>
          <w:tblW w:w="5000" w:type="pct"/>
          <w:tblCellSpacing w:w="15" w:type="dxa"/>
          <w:tblInd w:w="15" w:type="dxa"/>
          <w:tblCellMar>
            <w:top w:w="15" w:type="dxa"/>
            <w:left w:w="15" w:type="dxa"/>
            <w:bottom w:w="15" w:type="dxa"/>
            <w:right w:w="15" w:type="dxa"/>
          </w:tblCellMar>
          <w:tblLook w:val="05E0"/>
        </w:tblPrEx>
        <w:trPr>
          <w:tblCellSpacing w:w="15" w:type="dxa"/>
        </w:trPr>
        <w:tc>
          <w:tcPr>
            <w:gridSpan w:val="2"/>
            <w:noWrap w:val="0"/>
            <w:tcMar>
              <w:top w:w="0" w:type="dxa"/>
              <w:left w:w="0" w:type="dxa"/>
              <w:bottom w:w="0" w:type="dxa"/>
              <w:right w:w="0" w:type="dxa"/>
            </w:tcMar>
            <w:vAlign w:val="center"/>
            <w:hideMark/>
          </w:tcPr>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Are the products clearly defined? Will they be useful for offshore energy planning and decision-making? Will the results be published in a peer-reviewed form? Does the proposal indicate the Principal Investigator will provide data and metadata in a format that meets Federal data standards? Will the products be accessible and comprehensible to the public?</w:t>
            </w:r>
          </w:p>
        </w:tc>
      </w:tr>
    </w:tbl>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30" w:name="_Toc256000027"/>
      <w:r>
        <w:rPr>
          <w:rFonts w:ascii="Times New Roman" w:eastAsia="Times New Roman" w:hAnsi="Times New Roman" w:cs="Times New Roman"/>
          <w:b/>
          <w:bCs/>
          <w:color w:val="000000"/>
          <w:sz w:val="24"/>
          <w:szCs w:val="24"/>
        </w:rPr>
        <w:t>E2. Review and Selection Process</w:t>
      </w:r>
      <w:bookmarkEnd w:id="30"/>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The proposal will be reviewed by BOEM scientists and program managers, and possibly external peer reviewers. Reviewers have expertise in Federal offshore programs and/or the specific scientific discipline of the proposal.</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31" w:name="_Toc256000028"/>
      <w:r>
        <w:rPr>
          <w:rFonts w:ascii="Times New Roman" w:eastAsia="Times New Roman" w:hAnsi="Times New Roman" w:cs="Times New Roman"/>
          <w:b/>
          <w:bCs/>
          <w:color w:val="000000"/>
          <w:sz w:val="24"/>
          <w:szCs w:val="24"/>
        </w:rPr>
        <w:t>E3. CFR - Regulatory Information</w:t>
      </w:r>
      <w:bookmarkEnd w:id="31"/>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32" w:name="_Toc256000029"/>
      <w:r>
        <w:rPr>
          <w:rFonts w:ascii="Times New Roman" w:eastAsia="Times New Roman" w:hAnsi="Times New Roman" w:cs="Times New Roman"/>
          <w:b/>
          <w:bCs/>
          <w:color w:val="000000"/>
          <w:sz w:val="24"/>
          <w:szCs w:val="24"/>
        </w:rPr>
        <w:t>E4. Anticipated Announcement and Federal Award Dates</w:t>
      </w:r>
      <w:bookmarkEnd w:id="32"/>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Applications are due by 1:00 PM Alaska Standard Time on 6/14/2021.  All applications will be reviewed after that date. BOEM anticipates that award will be made in FY 2021.</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1"/>
        <w:keepLines w:val="0"/>
        <w:pBdr>
          <w:top w:val="none" w:sz="0" w:space="2" w:color="auto"/>
          <w:left w:val="none" w:sz="0" w:space="2" w:color="auto"/>
          <w:bottom w:val="none" w:sz="0" w:space="2" w:color="auto"/>
          <w:right w:val="none" w:sz="0" w:space="2" w:color="auto"/>
        </w:pBdr>
        <w:shd w:val="clear" w:color="auto" w:fill="BCDFFB"/>
        <w:spacing w:before="20" w:after="20"/>
        <w:ind w:left="45" w:right="45"/>
        <w:jc w:val="left"/>
        <w:rPr>
          <w:rFonts w:ascii="Times New Roman" w:eastAsia="Times New Roman" w:hAnsi="Times New Roman" w:cs="Times New Roman"/>
          <w:b/>
          <w:bCs/>
          <w:color w:val="000000"/>
          <w:sz w:val="24"/>
          <w:szCs w:val="24"/>
        </w:rPr>
      </w:pPr>
      <w:bookmarkStart w:id="33" w:name="_Toc256000030"/>
      <w:r>
        <w:rPr>
          <w:rFonts w:ascii="Times New Roman" w:eastAsia="Times New Roman" w:hAnsi="Times New Roman" w:cs="Times New Roman"/>
          <w:b/>
          <w:bCs/>
          <w:color w:val="000000"/>
          <w:sz w:val="24"/>
          <w:szCs w:val="24"/>
        </w:rPr>
        <w:t>F. Federal Award Administration Information</w:t>
      </w:r>
      <w:bookmarkEnd w:id="33"/>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34" w:name="_Toc256000031"/>
      <w:r>
        <w:rPr>
          <w:rFonts w:ascii="Times New Roman" w:eastAsia="Times New Roman" w:hAnsi="Times New Roman" w:cs="Times New Roman"/>
          <w:b/>
          <w:bCs/>
          <w:color w:val="000000"/>
          <w:sz w:val="24"/>
          <w:szCs w:val="24"/>
        </w:rPr>
        <w:t>F1. Federal Award Notices</w:t>
      </w:r>
      <w:bookmarkEnd w:id="34"/>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Awards are based on the application submitted to and approved by BOEM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Method of Payment: The BOEM uses the Automated Standard Application for Payments (ASAP) financial assistance payment system, management by the United States Department of the Treasury, to provide electronic invoicing and payment for funds under this award.  With the award of each cooperative agreement, an account will be set up from which the Recipient can draw down funds.  Recipients must be registered in the ASAP system and must be linked to BOEM's Agency Location Code prior to award in order to make the funds available.  Once an award decision has been made, if your organization has not received a financial assistance award from BOEM in the past, the Financial Assistance/Contracting Officer will initiate the process in ASAP for your organization.  The Financial Assistance/Contracting Officer will need the name of your organization's ASAP contact in order to do this.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35" w:name="_Toc256000032"/>
      <w:r>
        <w:rPr>
          <w:rFonts w:ascii="Times New Roman" w:eastAsia="Times New Roman" w:hAnsi="Times New Roman" w:cs="Times New Roman"/>
          <w:b/>
          <w:bCs/>
          <w:color w:val="000000"/>
          <w:sz w:val="24"/>
          <w:szCs w:val="24"/>
        </w:rPr>
        <w:t>F2. Administrative and National Policy Requirements</w:t>
      </w:r>
      <w:bookmarkEnd w:id="35"/>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See the “DOI Standard Terms and Conditions” for the administrative and national policy requirements applicable to DOI awards.</w:t>
      </w:r>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In the text field below include the link to DOI Standard Terms and Conditions and any program- or project-specific terms or conditions that will apply to recipients under the program.</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Award Administration Information</w:t>
      </w:r>
      <w:r>
        <w:rPr>
          <w:rFonts w:ascii="Times New Roman" w:eastAsia="Times New Roman" w:hAnsi="Times New Roman" w:cs="Times New Roman"/>
          <w:b/>
          <w:bCs/>
          <w:vanish w:val="0"/>
          <w:color w:val="000000"/>
          <w:sz w:val="24"/>
          <w:szCs w:val="24"/>
        </w:rPr>
        <w:br/>
      </w:r>
      <w:r>
        <w:rPr>
          <w:rFonts w:ascii="Times New Roman" w:eastAsia="Times New Roman" w:hAnsi="Times New Roman" w:cs="Times New Roman"/>
          <w:b w:val="0"/>
          <w:bCs w:val="0"/>
          <w:vanish w:val="0"/>
          <w:color w:val="000000"/>
          <w:sz w:val="24"/>
          <w:szCs w:val="24"/>
        </w:rPr>
        <w:t>The Awardee is responsible for managing the day-to-day operations of the cooperative agreement and sub-awards to ensure compliance with applicable Federal statutes, regulations, and policies. The Awardee is also responsible for meeting the performance goals identified in the Proposal Text. Awards based on the application submitted to, and as approved by, BOEM are subject to the terms and conditions incorporated either directly or by reference in the following section.</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bCs/>
          <w:vanish w:val="0"/>
          <w:color w:val="000000"/>
          <w:sz w:val="24"/>
          <w:szCs w:val="24"/>
        </w:rPr>
        <w:t>Terms and Conditions</w:t>
      </w:r>
      <w:r>
        <w:rPr>
          <w:rFonts w:ascii="Times New Roman" w:eastAsia="Times New Roman" w:hAnsi="Times New Roman" w:cs="Times New Roman"/>
          <w:b/>
          <w:bCs/>
          <w:vanish w:val="0"/>
          <w:color w:val="000000"/>
          <w:sz w:val="24"/>
          <w:szCs w:val="24"/>
        </w:rPr>
        <w:br/>
      </w:r>
      <w:r>
        <w:rPr>
          <w:rFonts w:ascii="Times New Roman" w:eastAsia="Times New Roman" w:hAnsi="Times New Roman" w:cs="Times New Roman"/>
          <w:b w:val="0"/>
          <w:bCs w:val="0"/>
          <w:vanish w:val="0"/>
          <w:color w:val="000000"/>
          <w:sz w:val="24"/>
          <w:szCs w:val="24"/>
        </w:rPr>
        <w:t>Acceptance of a Federal Financial Assistance award from the Department of the Interior (DOI) BOEM carries with it the responsibility to be aware of and comply with the terms and conditions of award. Acceptance is defined as the start of work, drawing down funds, or accepting the award via electronic means. Awards are based on the application submitted to, and as approved by, BOEM and are subject to the terms and conditions incorporated either directly or by reference in the following:</w:t>
      </w:r>
    </w:p>
    <w:p w:rsidP="00470374">
      <w:pPr>
        <w:pStyle w:val="Normal0"/>
        <w:keepLines w:val="0"/>
        <w:numPr>
          <w:ilvl w:val="0"/>
          <w:numId w:val="35"/>
        </w:numPr>
        <w:spacing w:before="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Program legislation\regulation.</w:t>
      </w:r>
    </w:p>
    <w:p w:rsidP="00470374">
      <w:pPr>
        <w:pStyle w:val="Normal0"/>
        <w:keepLines w:val="0"/>
        <w:numPr>
          <w:ilvl w:val="0"/>
          <w:numId w:val="35"/>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Special terms and conditions.</w:t>
      </w:r>
    </w:p>
    <w:p w:rsidP="00470374">
      <w:pPr>
        <w:pStyle w:val="Normal0"/>
        <w:keepLines w:val="0"/>
        <w:numPr>
          <w:ilvl w:val="0"/>
          <w:numId w:val="35"/>
        </w:numPr>
        <w:spacing w:before="20" w:after="15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Code of Federal Regulations/Regulatory Requirements, as applicable; Contact the Contracting Officer with any questions regarding the applicability of the following:</w:t>
      </w:r>
    </w:p>
    <w:p w:rsidP="00470374">
      <w:pPr>
        <w:pStyle w:val="Normal0"/>
        <w:keepLines w:val="0"/>
        <w:numPr>
          <w:ilvl w:val="0"/>
          <w:numId w:val="36"/>
        </w:numPr>
        <w:spacing w:before="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2 CFR Part 200, Uniform Administrative Requirements, Cost Principles, and Audit Requirements for Federal Awards</w:t>
      </w:r>
    </w:p>
    <w:p w:rsidP="00470374">
      <w:pPr>
        <w:pStyle w:val="Normal0"/>
        <w:keepLines w:val="0"/>
        <w:numPr>
          <w:ilvl w:val="0"/>
          <w:numId w:val="36"/>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2 CFR Part 25, Universal Identifier and System for Award Management</w:t>
      </w:r>
    </w:p>
    <w:p w:rsidP="00470374">
      <w:pPr>
        <w:pStyle w:val="Normal0"/>
        <w:keepLines w:val="0"/>
        <w:numPr>
          <w:ilvl w:val="0"/>
          <w:numId w:val="36"/>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2 CFR Part 170, Reporting Sub-award and Executive Compensation Information</w:t>
      </w:r>
    </w:p>
    <w:p w:rsidP="00470374">
      <w:pPr>
        <w:pStyle w:val="Normal0"/>
        <w:keepLines w:val="0"/>
        <w:numPr>
          <w:ilvl w:val="0"/>
          <w:numId w:val="36"/>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2 CFR Part 175, Award Term for Trafficking in Persons</w:t>
      </w:r>
    </w:p>
    <w:p w:rsidP="00470374">
      <w:pPr>
        <w:pStyle w:val="Normal0"/>
        <w:keepLines w:val="0"/>
        <w:numPr>
          <w:ilvl w:val="0"/>
          <w:numId w:val="36"/>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2 CFR Part 182, Governmentwide Requirements for Drug-Free Workplace</w:t>
      </w:r>
    </w:p>
    <w:p w:rsidP="00470374">
      <w:pPr>
        <w:pStyle w:val="Normal0"/>
        <w:keepLines w:val="0"/>
        <w:numPr>
          <w:ilvl w:val="0"/>
          <w:numId w:val="36"/>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2 CFR Part 1400, Non Procurement Debarment and Suspension</w:t>
      </w:r>
    </w:p>
    <w:p w:rsidP="00470374">
      <w:pPr>
        <w:pStyle w:val="Normal0"/>
        <w:keepLines w:val="0"/>
        <w:numPr>
          <w:ilvl w:val="0"/>
          <w:numId w:val="36"/>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2 CFR Part 1401, Requirements for Drug-Free Workplace</w:t>
      </w:r>
    </w:p>
    <w:p w:rsidP="00470374">
      <w:pPr>
        <w:pStyle w:val="Normal0"/>
        <w:keepLines w:val="0"/>
        <w:numPr>
          <w:ilvl w:val="0"/>
          <w:numId w:val="36"/>
        </w:numPr>
        <w:spacing w:before="20" w:after="2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2 CFR Part 1402, Uniform Administrative Requirements, Cost Principles, and Audit Requirements for Federal Awards</w:t>
      </w:r>
    </w:p>
    <w:p w:rsidP="00470374">
      <w:pPr>
        <w:pStyle w:val="Normal0"/>
        <w:keepLines w:val="0"/>
        <w:numPr>
          <w:ilvl w:val="0"/>
          <w:numId w:val="36"/>
        </w:numPr>
        <w:spacing w:before="20" w:after="150"/>
        <w:ind w:left="720" w:hanging="36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43 CFR Part 18, New Restrictions on Lobbying</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All cooperative agreements are subject to the DOI Standard Terms and Conditions</w:t>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at: https://</w:t>
      </w:r>
      <w:hyperlink r:id="rId24" w:history="1">
        <w:r>
          <w:rPr>
            <w:rStyle w:val="a"/>
            <w:rFonts w:ascii="Times New Roman" w:eastAsia="Times New Roman" w:hAnsi="Times New Roman" w:cs="Times New Roman"/>
            <w:b w:val="0"/>
            <w:bCs w:val="0"/>
            <w:vanish w:val="0"/>
            <w:color w:val="0000FF"/>
            <w:sz w:val="24"/>
            <w:szCs w:val="24"/>
            <w:u w:val="single" w:color="0000FF"/>
          </w:rPr>
          <w:t>www.doi.gov/sites/doi.gov/files/uploads/doi-standard-award-terms-and-conditions-</w:t>
        </w:r>
      </w:hyperlink>
      <w:r>
        <w:rPr>
          <w:rFonts w:ascii="Times New Roman" w:eastAsia="Times New Roman" w:hAnsi="Times New Roman" w:cs="Times New Roman"/>
          <w:b w:val="0"/>
          <w:bCs w:val="0"/>
          <w:vanish w:val="0"/>
          <w:color w:val="000000"/>
          <w:sz w:val="24"/>
          <w:szCs w:val="24"/>
        </w:rPr>
        <w:t> effective-december-2-2019-revised-june-19-2020.pdf.</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Data Availability</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Per the Financial Assistance Interior Regulation (FAIR), </w:t>
      </w:r>
      <w:hyperlink r:id="rId25" w:history="1">
        <w:r>
          <w:rPr>
            <w:rStyle w:val="a"/>
            <w:rFonts w:ascii="Times New Roman" w:eastAsia="Times New Roman" w:hAnsi="Times New Roman" w:cs="Times New Roman"/>
            <w:b w:val="0"/>
            <w:bCs w:val="0"/>
            <w:color w:val="0000FF"/>
            <w:sz w:val="24"/>
            <w:szCs w:val="24"/>
            <w:u w:val="single" w:color="0000FF"/>
          </w:rPr>
          <w:t>2 CFR §1402.315:</w:t>
        </w:r>
      </w:hyperlink>
      <w:r>
        <w:rPr>
          <w:rFonts w:ascii="Times New Roman" w:eastAsia="Times New Roman" w:hAnsi="Times New Roman" w:cs="Times New Roman"/>
          <w:b w:val="0"/>
          <w:bCs w:val="0"/>
          <w:color w:val="000000"/>
          <w:sz w:val="24"/>
          <w:szCs w:val="24"/>
        </w:rPr>
        <w:t xml:space="preserve"> (a)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(b) The Federal Government has the right to: (1) Obtain, reproduce, publish, or otherwise use the data, methodology, factual inputs, models, analyses, technical information, reports, conclusions, or other scientific assessments, produced under a Federal award; and (2)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See the Service’s General Award Terms and Conditions for the general administrative and national policy requirements applicable to Service awards. The Service will communicate any other program- or project-specific special terms and conditions to recipients in their notices of award.</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Applicability</w:t>
      </w:r>
      <w:r>
        <w:rPr>
          <w:rFonts w:ascii="Times New Roman" w:eastAsia="Times New Roman" w:hAnsi="Times New Roman" w:cs="Times New Roman"/>
          <w:b w:val="0"/>
          <w:bCs w:val="0"/>
          <w:color w:val="000000"/>
          <w:sz w:val="24"/>
          <w:szCs w:val="24"/>
        </w:rPr>
        <w:t xml:space="preserve">. DOI is committed to basing its decisions on the best available science and providing the American people with enough information to thoughtfully and substantively evaluate the data, methodology, and analysis used by the Department to inform its decisions. </w:t>
      </w:r>
      <w:r>
        <w:rPr>
          <w:rFonts w:ascii="Times New Roman" w:eastAsia="Times New Roman" w:hAnsi="Times New Roman" w:cs="Times New Roman"/>
          <w:b w:val="0"/>
          <w:bCs w:val="0"/>
          <w:color w:val="000000"/>
          <w:sz w:val="24"/>
          <w:szCs w:val="24"/>
          <w:u w:val="single"/>
        </w:rPr>
        <w:t>Use of Data</w:t>
      </w:r>
      <w:r>
        <w:rPr>
          <w:rFonts w:ascii="Times New Roman" w:eastAsia="Times New Roman" w:hAnsi="Times New Roman" w:cs="Times New Roman"/>
          <w:b w:val="0"/>
          <w:bCs w:val="0"/>
          <w:color w:val="000000"/>
          <w:sz w:val="24"/>
          <w:szCs w:val="24"/>
        </w:rPr>
        <w:t>.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u w:val="single"/>
        </w:rPr>
        <w:t>Availability of Data</w:t>
      </w:r>
      <w:r>
        <w:rPr>
          <w:rFonts w:ascii="Times New Roman" w:eastAsia="Times New Roman" w:hAnsi="Times New Roman" w:cs="Times New Roman"/>
          <w:b w:val="0"/>
          <w:bCs w:val="0"/>
          <w:color w:val="000000"/>
          <w:sz w:val="24"/>
          <w:szCs w:val="24"/>
        </w:rPr>
        <w:t>. The Awardee shall make the data produced under this award and any sub- award(s) available to the Government for public release, consistent with applicable law, to allow meaningful third-party evaluation and reproduction of the following:</w:t>
      </w:r>
    </w:p>
    <w:p w:rsidP="00470374">
      <w:pPr>
        <w:keepLines w:val="0"/>
        <w:numPr>
          <w:ilvl w:val="0"/>
          <w:numId w:val="37"/>
        </w:numPr>
        <w:spacing w:before="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The scientific data relied upon;</w:t>
      </w:r>
    </w:p>
    <w:p w:rsidP="00470374">
      <w:pPr>
        <w:keepLines w:val="0"/>
        <w:numPr>
          <w:ilvl w:val="0"/>
          <w:numId w:val="37"/>
        </w:numPr>
        <w:spacing w:before="20" w:after="2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The analysis relied upon; and</w:t>
      </w:r>
    </w:p>
    <w:p w:rsidP="00470374">
      <w:pPr>
        <w:keepLines w:val="0"/>
        <w:numPr>
          <w:ilvl w:val="0"/>
          <w:numId w:val="37"/>
        </w:numPr>
        <w:spacing w:before="20" w:after="150"/>
        <w:ind w:left="720" w:hanging="36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The methodology, including models, used to gather and analyze data.</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36" w:name="_Toc256000033"/>
      <w:r>
        <w:rPr>
          <w:rFonts w:ascii="Times New Roman" w:eastAsia="Times New Roman" w:hAnsi="Times New Roman" w:cs="Times New Roman"/>
          <w:b/>
          <w:bCs/>
          <w:color w:val="000000"/>
          <w:sz w:val="24"/>
          <w:szCs w:val="24"/>
        </w:rPr>
        <w:t>F3. Reporting</w:t>
      </w:r>
      <w:bookmarkEnd w:id="36"/>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Financial Reports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All recipients must use the SF-425, Federal Financial Report form for financial reporting. Final reports are due no later than 90 calendar days after the award period of performance end date or termination date. For awards with periods of performance longer than 12 months, recipients are required to submit </w:t>
      </w:r>
      <w:r>
        <w:rPr>
          <w:rFonts w:ascii="Times New Roman" w:eastAsia="Times New Roman" w:hAnsi="Times New Roman" w:cs="Times New Roman"/>
          <w:b/>
          <w:bCs/>
          <w:color w:val="000000"/>
          <w:sz w:val="24"/>
          <w:szCs w:val="24"/>
        </w:rPr>
        <w:t xml:space="preserve">interim </w:t>
      </w:r>
      <w:r>
        <w:rPr>
          <w:rFonts w:ascii="Times New Roman" w:eastAsia="Times New Roman" w:hAnsi="Times New Roman" w:cs="Times New Roman"/>
          <w:b w:val="0"/>
          <w:bCs w:val="0"/>
          <w:color w:val="000000"/>
          <w:sz w:val="24"/>
          <w:szCs w:val="24"/>
        </w:rPr>
        <w:t>financial reports on the frequency established in the Notice of Award.</w:t>
      </w:r>
    </w:p>
    <w:p w:rsidP="00470374">
      <w:pPr>
        <w:keepLines w:val="0"/>
        <w:spacing w:before="2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Recipient specific reporting requirements, including the required reports, reporting frequency, and report due dates will be included in all Notices of Award, as applicable. Only interim financial reporting on awards to ASAP-waived entities using the SF- 270/271 and requesting payment at least once annually throughout the entire award period of performance may be waived. In the text field below enter any program specific reporting requirements.</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br/>
      </w:r>
      <w:r>
        <w:rPr>
          <w:rFonts w:ascii="Times New Roman" w:eastAsia="Times New Roman" w:hAnsi="Times New Roman" w:cs="Times New Roman"/>
          <w:b w:val="0"/>
          <w:bCs w:val="0"/>
          <w:vanish w:val="0"/>
          <w:color w:val="000000"/>
          <w:sz w:val="24"/>
          <w:szCs w:val="24"/>
        </w:rPr>
        <w:t> </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Performance Reports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See Service policy 516 FW 1, Monitoring Financial and Performance Reporting for Financial Assistance for more information.</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BOEM will conduct oversight and monitoring of the work progress and financial status of each cooperative agreement by requiring the following information from the Awardee institution, at a minimum:</w:t>
      </w:r>
    </w:p>
    <w:p w:rsidP="00470374">
      <w:pPr>
        <w:pStyle w:val="Normal0"/>
        <w:keepLines w:val="0"/>
        <w:spacing w:before="0" w:after="140"/>
        <w:ind w:left="375"/>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a. </w:t>
      </w:r>
      <w:r>
        <w:rPr>
          <w:rFonts w:ascii="Times New Roman" w:eastAsia="Times New Roman" w:hAnsi="Times New Roman" w:cs="Times New Roman"/>
          <w:b w:val="0"/>
          <w:bCs w:val="0"/>
          <w:color w:val="000000"/>
          <w:sz w:val="24"/>
          <w:szCs w:val="24"/>
          <w:u w:val="single"/>
        </w:rPr>
        <w:t>Federal Cash Transactions Reports</w:t>
      </w:r>
      <w:r>
        <w:rPr>
          <w:rFonts w:ascii="Times New Roman" w:eastAsia="Times New Roman" w:hAnsi="Times New Roman" w:cs="Times New Roman"/>
          <w:b w:val="0"/>
          <w:bCs w:val="0"/>
          <w:color w:val="000000"/>
          <w:sz w:val="24"/>
          <w:szCs w:val="24"/>
        </w:rPr>
        <w:t>. The Awardee must submit the Standard Form 425, Federal Financial Report and, when necessary, its continuation form if funds are withdrawn in advance of expenditures. BOEM will use the form to monitor the cash advanced to the Awardee, and to obtain disbursement or outlay information for each cooperative agreement.</w:t>
      </w:r>
    </w:p>
    <w:p w:rsidP="00470374">
      <w:pPr>
        <w:pStyle w:val="Normal0"/>
        <w:keepLines w:val="0"/>
        <w:numPr>
          <w:ilvl w:val="0"/>
          <w:numId w:val="38"/>
        </w:numPr>
        <w:spacing w:before="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Performance and Financial Status Reporting Requirements</w:t>
      </w:r>
      <w:r>
        <w:rPr>
          <w:rFonts w:ascii="Times New Roman" w:eastAsia="Times New Roman" w:hAnsi="Times New Roman" w:cs="Times New Roman"/>
          <w:b w:val="0"/>
          <w:bCs w:val="0"/>
          <w:color w:val="000000"/>
          <w:sz w:val="24"/>
          <w:szCs w:val="24"/>
        </w:rPr>
        <w:t>. Reporting requirements for the projects are regulated by 2 CFR Part 200. These regulations specify basic cooperative agreement reporting requirements including performance and financial reports. BOEM will work closely with the Awardee to incorporate appropriate performance and financial reporting requirements into each cooperative agreement award, consistent with 2 CFR Part 200. These regulations provide some flexibility in determining the appropriate content and frequency of performance and financial reports. At a minimum, however, the reporting schedule will require the Awardee to report their progress at least quarterly through the established reporting process and annual submission of financial status reports.</w:t>
      </w:r>
    </w:p>
    <w:p w:rsidP="00470374">
      <w:pPr>
        <w:pStyle w:val="Normal0"/>
        <w:keepLines w:val="0"/>
        <w:numPr>
          <w:ilvl w:val="0"/>
          <w:numId w:val="39"/>
        </w:numPr>
        <w:spacing w:before="0" w:after="150"/>
        <w:ind w:left="720" w:hanging="36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u w:val="single"/>
        </w:rPr>
        <w:t xml:space="preserve">Single </w:t>
      </w:r>
      <w:r>
        <w:rPr>
          <w:rFonts w:ascii="Times New Roman" w:eastAsia="Times New Roman" w:hAnsi="Times New Roman" w:cs="Times New Roman"/>
          <w:b w:val="0"/>
          <w:bCs w:val="0"/>
          <w:color w:val="000000"/>
          <w:sz w:val="24"/>
          <w:szCs w:val="24"/>
          <w:u w:val="single"/>
        </w:rPr>
        <w:t xml:space="preserve">Audit </w:t>
      </w:r>
      <w:r>
        <w:rPr>
          <w:rFonts w:ascii="Times New Roman" w:eastAsia="Times New Roman" w:hAnsi="Times New Roman" w:cs="Times New Roman"/>
          <w:b w:val="0"/>
          <w:bCs w:val="0"/>
          <w:color w:val="000000"/>
          <w:sz w:val="24"/>
          <w:szCs w:val="24"/>
          <w:u w:val="single"/>
        </w:rPr>
        <w:t>Requirements</w:t>
      </w:r>
      <w:r>
        <w:rPr>
          <w:rFonts w:ascii="Times New Roman" w:eastAsia="Times New Roman" w:hAnsi="Times New Roman" w:cs="Times New Roman"/>
          <w:b w:val="0"/>
          <w:bCs w:val="0"/>
          <w:color w:val="000000"/>
          <w:sz w:val="24"/>
          <w:szCs w:val="24"/>
        </w:rPr>
        <w:t>. Non-Federal entities that expend financial assistance funds of</w:t>
      </w:r>
    </w:p>
    <w:p w:rsidP="00470374">
      <w:pPr>
        <w:pStyle w:val="Normal0"/>
        <w:keepLines w:val="0"/>
        <w:spacing w:before="0" w:after="140"/>
        <w:ind w:left="375"/>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d. </w:t>
      </w:r>
      <w:r>
        <w:rPr>
          <w:rFonts w:ascii="Times New Roman" w:eastAsia="Times New Roman" w:hAnsi="Times New Roman" w:cs="Times New Roman"/>
          <w:b w:val="0"/>
          <w:bCs w:val="0"/>
          <w:color w:val="000000"/>
          <w:sz w:val="24"/>
          <w:szCs w:val="24"/>
          <w:u w:val="single"/>
        </w:rPr>
        <w:t>Technical Reporting Requirements.</w:t>
      </w:r>
      <w:r>
        <w:rPr>
          <w:rFonts w:ascii="Times New Roman" w:eastAsia="Times New Roman" w:hAnsi="Times New Roman" w:cs="Times New Roman"/>
          <w:b w:val="0"/>
          <w:bCs w:val="0"/>
          <w:color w:val="000000"/>
          <w:sz w:val="24"/>
          <w:szCs w:val="24"/>
        </w:rPr>
        <w:t xml:space="preserve"> (to be submitted by project PI). Quarterly Reports, Annual Progress Reports, Draft and Final Reports, and Draft and Final Technical  Summaries are required. Details are available at: http://www.boem.gov/Environmental-Studies-Program-Report-Specifications/.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 Significant Development Reports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[Insert Bureau Here] in writing of any favorable developments that enable meeting time schedules and objectives sooner or at less cost than anticipated or producing more or different beneficial results than originally planned.</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[Insert Bureau Here] in writing of any favorable developments that enable meeting time schedules and objectives sooner or at less cost than anticipated or producing more or different beneficial results than originally planned.</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t>The recipient should also notify [Insert Bureau Here] in writing of any favorable developments that enable meeting time schedules and objectives sooner or at less cost than anticipated or producing more or different beneficial results than originally planned. The recipient should also notify BOEM in writing of any favorable developments that enable meeting time schedules and objectives sooner or at less cost than anticipated or producing more or different beneficial results than originally planned.</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t>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 Real Property Reports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Recipients and subrecipients are required to submit status reports on the status of real property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as applicable.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Recipients and subrecipients are required to submit status reports on the status of real property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as applicable.</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t>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Conflict of Internet Disclosures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Recipients must notify the program immediately in writing of any conflict of interest that arise during the life of their Federal award, including those reported to them by any subrecipient under the award. Recipients must notify the program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for more information on these restrictions. The [Insert Bureau Here]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2 CFR 200.338 Remedies for Noncompliance, including termination of the award.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Other Mandatory Disclosures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w:t>
      </w:r>
      <w:r>
        <w:rPr>
          <w:rFonts w:ascii="Times New Roman" w:eastAsia="Times New Roman" w:hAnsi="Times New Roman" w:cs="Times New Roman"/>
          <w:b w:val="0"/>
          <w:bCs w:val="0"/>
          <w:color w:val="000000"/>
          <w:sz w:val="24"/>
          <w:szCs w:val="24"/>
        </w:rPr>
        <w:br/>
      </w:r>
      <w:r>
        <w:rPr>
          <w:rFonts w:ascii="Times New Roman" w:eastAsia="Times New Roman" w:hAnsi="Times New Roman" w:cs="Times New Roman"/>
          <w:b w:val="0"/>
          <w:bCs w:val="0"/>
          <w:color w:val="000000"/>
          <w:sz w:val="24"/>
          <w:szCs w:val="24"/>
        </w:rPr>
        <w:t>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Reporting Matters Related to Recipient Integrity and Performance</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 in accordance with Appendix XII to 2 CFR 200.</w:t>
      </w:r>
    </w:p>
    <w:p w:rsidP="00470374">
      <w:pPr>
        <w:keepLines w:val="0"/>
        <w:spacing w:before="120" w:after="6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w:t>
      </w:r>
    </w:p>
    <w:p w:rsidP="00470374">
      <w:pPr>
        <w:pStyle w:val="Normal0"/>
        <w:keepLines w:val="0"/>
        <w:spacing w:before="0" w:after="140"/>
        <w:ind w:left="0"/>
        <w:jc w:val="left"/>
        <w:rPr>
          <w:rFonts w:ascii="Times New Roman" w:eastAsia="Times New Roman" w:hAnsi="Times New Roman" w:cs="Times New Roman"/>
          <w:b w:val="0"/>
          <w:bCs w:val="0"/>
          <w:vanish w:val="0"/>
          <w:color w:val="000000"/>
          <w:sz w:val="24"/>
          <w:szCs w:val="24"/>
        </w:rPr>
      </w:pPr>
      <w:r>
        <w:rPr>
          <w:rFonts w:ascii="Times New Roman" w:eastAsia="Times New Roman" w:hAnsi="Times New Roman" w:cs="Times New Roman"/>
          <w:b w:val="0"/>
          <w:bCs w:val="0"/>
          <w:vanish w:val="0"/>
          <w:color w:val="000000"/>
          <w:sz w:val="24"/>
          <w:szCs w:val="24"/>
        </w:rPr>
        <w:t> </w:t>
      </w:r>
    </w:p>
    <w:p w:rsidP="00470374">
      <w:pPr>
        <w:pStyle w:val="Heading1"/>
        <w:keepLines w:val="0"/>
        <w:pBdr>
          <w:top w:val="none" w:sz="0" w:space="2" w:color="auto"/>
          <w:left w:val="none" w:sz="0" w:space="2" w:color="auto"/>
          <w:bottom w:val="none" w:sz="0" w:space="2" w:color="auto"/>
          <w:right w:val="none" w:sz="0" w:space="2" w:color="auto"/>
        </w:pBdr>
        <w:shd w:val="clear" w:color="auto" w:fill="BCDFFB"/>
        <w:spacing w:before="20" w:after="20"/>
        <w:ind w:left="45" w:right="45"/>
        <w:jc w:val="left"/>
        <w:rPr>
          <w:rFonts w:ascii="Times New Roman" w:eastAsia="Times New Roman" w:hAnsi="Times New Roman" w:cs="Times New Roman"/>
          <w:b/>
          <w:bCs/>
          <w:color w:val="000000"/>
          <w:sz w:val="24"/>
          <w:szCs w:val="24"/>
        </w:rPr>
      </w:pPr>
      <w:bookmarkStart w:id="37" w:name="_Toc256000034"/>
      <w:r>
        <w:rPr>
          <w:rFonts w:ascii="Times New Roman" w:eastAsia="Times New Roman" w:hAnsi="Times New Roman" w:cs="Times New Roman"/>
          <w:b/>
          <w:bCs/>
          <w:color w:val="000000"/>
          <w:sz w:val="24"/>
          <w:szCs w:val="24"/>
        </w:rPr>
        <w:t>G. Federal Awarding Agency Contact(s)</w:t>
      </w:r>
      <w:bookmarkEnd w:id="37"/>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First Name</w:t>
      </w:r>
    </w:p>
    <w:p w:rsidP="00470374">
      <w:pPr>
        <w:keepLines w:val="0"/>
        <w:spacing w:before="6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The Notice of Funding Opportunity must give potential applicants a point(s) of contact for answering questions or helping with problems while the funding opportunity is open.</w:t>
      </w:r>
    </w:p>
    <w:p w:rsidP="00470374">
      <w:pPr>
        <w:keepLines w:val="0"/>
        <w:spacing w:before="20" w:after="20"/>
        <w:ind w:left="0"/>
        <w:jc w:val="left"/>
        <w:rPr>
          <w:rFonts w:ascii="Times New Roman" w:eastAsia="Times New Roman" w:hAnsi="Times New Roman" w:cs="Times New Roman"/>
          <w:b w:val="0"/>
          <w:vanish w:val="0"/>
          <w:color w:val="000000"/>
          <w:sz w:val="24"/>
        </w:rPr>
      </w:pPr>
      <w:r>
        <w:rPr>
          <w:rFonts w:ascii="Times New Roman" w:eastAsia="Times New Roman" w:hAnsi="Times New Roman" w:cs="Times New Roman"/>
          <w:b w:val="0"/>
          <w:vanish w:val="0"/>
          <w:color w:val="000000"/>
          <w:sz w:val="24"/>
        </w:rPr>
        <w:t>Dominique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Last Name</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Bruce-Mort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Address</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 xml:space="preserve">45600 Woodland Road, VAE-AMD, Sterling, VA 20166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Telephone</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(703) 787-1342</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dominique.bruce-morton@bs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38" w:name="_Toc256000035"/>
      <w:r>
        <w:rPr>
          <w:rFonts w:ascii="Times New Roman" w:eastAsia="Times New Roman" w:hAnsi="Times New Roman" w:cs="Times New Roman"/>
          <w:b/>
          <w:bCs/>
          <w:color w:val="000000"/>
          <w:sz w:val="24"/>
          <w:szCs w:val="24"/>
        </w:rPr>
        <w:t>G2. Administrative/Budget Questions Program Office Contact</w:t>
      </w:r>
      <w:bookmarkEnd w:id="38"/>
      <w:r>
        <w:rPr>
          <w:rFonts w:ascii="Times New Roman" w:eastAsia="Times New Roman" w:hAnsi="Times New Roman" w:cs="Times New Roman"/>
          <w:b/>
          <w:bCs/>
          <w:color w:val="000000"/>
          <w:sz w:val="24"/>
          <w:szCs w:val="24"/>
        </w:rPr>
        <w:t xml:space="preserve">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bCs/>
          <w:color w:val="000000"/>
          <w:sz w:val="24"/>
          <w:szCs w:val="24"/>
        </w:rPr>
        <w:t>For programmatic technical assistance, please contact: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First Name</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Rick</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Last Name</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Raymond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Address</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3801 Centerpoint Dr. Ste 500, Anchorage, AK 99503-5820</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Telephone</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907-334-5209</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richard.raymond@boem.gov</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39" w:name="_Toc256000036"/>
      <w:r>
        <w:rPr>
          <w:rFonts w:ascii="Times New Roman" w:eastAsia="Times New Roman" w:hAnsi="Times New Roman" w:cs="Times New Roman"/>
          <w:b/>
          <w:bCs/>
          <w:color w:val="000000"/>
          <w:sz w:val="24"/>
          <w:szCs w:val="24"/>
        </w:rPr>
        <w:t>G3. Grants Staff Contact</w:t>
      </w:r>
      <w:bookmarkEnd w:id="39"/>
      <w:r>
        <w:rPr>
          <w:rFonts w:ascii="Times New Roman" w:eastAsia="Times New Roman" w:hAnsi="Times New Roman" w:cs="Times New Roman"/>
          <w:b/>
          <w:bCs/>
          <w:color w:val="000000"/>
          <w:sz w:val="24"/>
          <w:szCs w:val="24"/>
        </w:rPr>
        <w:t xml:space="preserve">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bCs/>
          <w:color w:val="000000"/>
          <w:sz w:val="24"/>
          <w:szCs w:val="24"/>
        </w:rPr>
        <w:t>For financial, awards management, or budget assistance, contact: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First Name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Last Name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Address</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dominique.bruce-morton@bsee.gov</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Telephone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dominique.bruce-morton@bs</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2"/>
        <w:keepLines w:val="0"/>
        <w:pBdr>
          <w:top w:val="none" w:sz="0" w:space="2" w:color="auto"/>
          <w:left w:val="none" w:sz="0" w:space="2" w:color="auto"/>
          <w:bottom w:val="none" w:sz="0" w:space="2" w:color="auto"/>
          <w:right w:val="none" w:sz="0" w:space="2" w:color="auto"/>
        </w:pBdr>
        <w:shd w:val="clear" w:color="auto" w:fill="E0E0E0"/>
        <w:spacing w:before="20" w:after="20"/>
        <w:ind w:left="45" w:right="45"/>
        <w:jc w:val="left"/>
        <w:rPr>
          <w:rFonts w:ascii="Times New Roman" w:eastAsia="Times New Roman" w:hAnsi="Times New Roman" w:cs="Times New Roman"/>
          <w:b/>
          <w:bCs/>
          <w:color w:val="000000"/>
          <w:sz w:val="24"/>
          <w:szCs w:val="24"/>
        </w:rPr>
      </w:pPr>
      <w:bookmarkStart w:id="40" w:name="_Toc256000037"/>
      <w:r>
        <w:rPr>
          <w:rFonts w:ascii="Times New Roman" w:eastAsia="Times New Roman" w:hAnsi="Times New Roman" w:cs="Times New Roman"/>
          <w:b/>
          <w:bCs/>
          <w:color w:val="000000"/>
          <w:sz w:val="24"/>
          <w:szCs w:val="24"/>
        </w:rPr>
        <w:t>G4. Technical Support</w:t>
      </w:r>
      <w:bookmarkEnd w:id="40"/>
      <w:r>
        <w:rPr>
          <w:rFonts w:ascii="Times New Roman" w:eastAsia="Times New Roman" w:hAnsi="Times New Roman" w:cs="Times New Roman"/>
          <w:b/>
          <w:bCs/>
          <w:color w:val="000000"/>
          <w:sz w:val="24"/>
          <w:szCs w:val="24"/>
        </w:rPr>
        <w:t xml:space="preserve"> </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bCs/>
          <w:color w:val="000000"/>
          <w:sz w:val="24"/>
          <w:szCs w:val="24"/>
        </w:rPr>
        <w:t>For Grants.gov technical registration and submission, downloading forms and application packages, contact: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Name</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Grants.gov Customer Support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Telephone</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1-800-518-4726</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rsidP="00470374">
      <w:pPr>
        <w:keepLines w:val="0"/>
        <w:spacing w:before="20" w:after="20"/>
        <w:ind w:left="0"/>
        <w:jc w:val="left"/>
        <w:rPr>
          <w:rFonts w:ascii="Times New Roman" w:eastAsia="Times New Roman" w:hAnsi="Times New Roman" w:cs="Times New Roman"/>
          <w:b w:val="0"/>
          <w:color w:val="000000"/>
          <w:sz w:val="24"/>
        </w:rPr>
      </w:pPr>
      <w:r>
        <w:rPr>
          <w:rFonts w:ascii="Times New Roman" w:eastAsia="Times New Roman" w:hAnsi="Times New Roman" w:cs="Times New Roman"/>
          <w:b w:val="0"/>
          <w:color w:val="000000"/>
          <w:sz w:val="24"/>
        </w:rPr>
        <w:t>Support@grants.gov</w:t>
      </w:r>
    </w:p>
    <w:p w:rsidP="00470374">
      <w:pPr>
        <w:pStyle w:val="Normal0"/>
        <w:keepLines w:val="0"/>
        <w:spacing w:before="0" w:after="140"/>
        <w:ind w:left="0"/>
        <w:jc w:val="left"/>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w:t>
      </w:r>
    </w:p>
    <w:p w:rsidP="00470374">
      <w:pPr>
        <w:pStyle w:val="Heading1"/>
        <w:keepLines w:val="0"/>
        <w:pBdr>
          <w:top w:val="none" w:sz="0" w:space="2" w:color="auto"/>
          <w:left w:val="none" w:sz="0" w:space="2" w:color="auto"/>
          <w:bottom w:val="none" w:sz="0" w:space="2" w:color="auto"/>
          <w:right w:val="none" w:sz="0" w:space="2" w:color="auto"/>
        </w:pBdr>
        <w:shd w:val="clear" w:color="auto" w:fill="BCDFFB"/>
        <w:spacing w:before="20" w:after="20"/>
        <w:ind w:left="45" w:right="45"/>
        <w:jc w:val="left"/>
        <w:rPr>
          <w:rFonts w:ascii="Times New Roman" w:eastAsia="Times New Roman" w:hAnsi="Times New Roman" w:cs="Times New Roman"/>
          <w:b/>
          <w:bCs/>
          <w:color w:val="000000"/>
          <w:sz w:val="24"/>
          <w:szCs w:val="24"/>
        </w:rPr>
      </w:pPr>
      <w:bookmarkStart w:id="41" w:name="_Toc256000038"/>
      <w:r>
        <w:rPr>
          <w:rFonts w:ascii="Times New Roman" w:eastAsia="Times New Roman" w:hAnsi="Times New Roman" w:cs="Times New Roman"/>
          <w:b/>
          <w:bCs/>
          <w:color w:val="000000"/>
          <w:sz w:val="24"/>
          <w:szCs w:val="24"/>
        </w:rPr>
        <w:t>H. Other Information</w:t>
      </w:r>
      <w:bookmarkEnd w:id="41"/>
    </w:p>
    <w:p w:rsidP="00470374">
      <w:pPr>
        <w:pStyle w:val="Hidden"/>
        <w:keepLines w:val="0"/>
        <w:spacing w:before="20" w:after="20"/>
        <w:ind w:left="0"/>
        <w:jc w:val="left"/>
        <w:rPr>
          <w:rFonts w:ascii="Times New Roman" w:eastAsia="Times New Roman" w:hAnsi="Times New Roman" w:cs="Times New Roman"/>
          <w:vanish/>
          <w:color w:val="009745"/>
          <w:sz w:val="24"/>
        </w:rPr>
      </w:pPr>
      <w:r>
        <w:rPr>
          <w:rFonts w:ascii="Times New Roman" w:eastAsia="Times New Roman" w:hAnsi="Times New Roman" w:cs="Times New Roman"/>
          <w:vanish/>
          <w:color w:val="009745"/>
          <w:sz w:val="24"/>
        </w:rPr>
        <w:t xml:space="preserve">This section may include any additional information that will assist a potential applicant. For example, the section might: </w:t>
      </w:r>
    </w:p>
    <w:p w:rsidP="00470374">
      <w:pPr>
        <w:pStyle w:val="p0"/>
        <w:keepLines w:val="0"/>
        <w:spacing w:before="0" w:after="140"/>
        <w:ind w:left="0"/>
        <w:jc w:val="left"/>
        <w:rPr>
          <w:rFonts w:ascii="Times New Roman" w:eastAsia="Times New Roman" w:hAnsi="Times New Roman" w:cs="Times New Roman"/>
          <w:vanish/>
          <w:color w:val="009745"/>
          <w:sz w:val="24"/>
          <w:szCs w:val="24"/>
        </w:rPr>
      </w:pPr>
      <w:r>
        <w:rPr>
          <w:rFonts w:ascii="Times New Roman" w:eastAsia="Times New Roman" w:hAnsi="Times New Roman" w:cs="Times New Roman"/>
          <w:vanish/>
          <w:color w:val="009745"/>
          <w:sz w:val="24"/>
          <w:szCs w:val="24"/>
        </w:rPr>
        <w:t>i. Indicate whether this is a new program or a one-time initiative.</w:t>
      </w:r>
    </w:p>
    <w:p w:rsidP="00470374">
      <w:pPr>
        <w:pStyle w:val="p0"/>
        <w:keepLines w:val="0"/>
        <w:spacing w:before="0" w:after="140"/>
        <w:ind w:left="0"/>
        <w:jc w:val="left"/>
        <w:rPr>
          <w:rFonts w:ascii="Times New Roman" w:eastAsia="Times New Roman" w:hAnsi="Times New Roman" w:cs="Times New Roman"/>
          <w:vanish/>
          <w:color w:val="009745"/>
          <w:sz w:val="24"/>
          <w:szCs w:val="24"/>
        </w:rPr>
      </w:pPr>
      <w:r>
        <w:rPr>
          <w:rFonts w:ascii="Times New Roman" w:eastAsia="Times New Roman" w:hAnsi="Times New Roman" w:cs="Times New Roman"/>
          <w:vanish/>
          <w:color w:val="009745"/>
          <w:sz w:val="24"/>
          <w:szCs w:val="24"/>
        </w:rPr>
        <w:t>ii. Mention related programs or other upcoming or ongoing Federal awarding agency funding opportunities for similar activities.</w:t>
      </w:r>
    </w:p>
    <w:p w:rsidP="00470374">
      <w:pPr>
        <w:pStyle w:val="p0"/>
        <w:keepLines w:val="0"/>
        <w:spacing w:before="0" w:after="140"/>
        <w:ind w:left="0"/>
        <w:jc w:val="left"/>
        <w:rPr>
          <w:rFonts w:ascii="Times New Roman" w:eastAsia="Times New Roman" w:hAnsi="Times New Roman" w:cs="Times New Roman"/>
          <w:vanish/>
          <w:color w:val="009745"/>
          <w:sz w:val="24"/>
          <w:szCs w:val="24"/>
        </w:rPr>
      </w:pPr>
      <w:r>
        <w:rPr>
          <w:rFonts w:ascii="Times New Roman" w:eastAsia="Times New Roman" w:hAnsi="Times New Roman" w:cs="Times New Roman"/>
          <w:vanish/>
          <w:color w:val="009745"/>
          <w:sz w:val="24"/>
          <w:szCs w:val="24"/>
        </w:rPr>
        <w:t>iii. Include current Internet addresses for Federal awarding agency web sites that may be useful to an applicant in understanding the program.</w:t>
      </w:r>
    </w:p>
    <w:p w:rsidP="00470374">
      <w:pPr>
        <w:pStyle w:val="p0"/>
        <w:keepLines w:val="0"/>
        <w:spacing w:before="0" w:after="140"/>
        <w:ind w:left="0"/>
        <w:jc w:val="left"/>
        <w:rPr>
          <w:rFonts w:ascii="Times New Roman" w:eastAsia="Times New Roman" w:hAnsi="Times New Roman" w:cs="Times New Roman"/>
          <w:vanish/>
          <w:color w:val="009745"/>
          <w:sz w:val="24"/>
          <w:szCs w:val="24"/>
        </w:rPr>
      </w:pPr>
      <w:r>
        <w:rPr>
          <w:rFonts w:ascii="Times New Roman" w:eastAsia="Times New Roman" w:hAnsi="Times New Roman" w:cs="Times New Roman"/>
          <w:vanish/>
          <w:color w:val="009745"/>
          <w:sz w:val="24"/>
          <w:szCs w:val="24"/>
        </w:rPr>
        <w:t>iv. Alert applicants to the need to identify proprietary information and inform them about the way the Federal awarding agency will handle it.</w:t>
      </w:r>
    </w:p>
    <w:p w:rsidP="00470374">
      <w:pPr>
        <w:pStyle w:val="p0"/>
        <w:keepLines w:val="0"/>
        <w:spacing w:before="0" w:after="140"/>
        <w:ind w:left="0"/>
        <w:jc w:val="left"/>
        <w:rPr>
          <w:rFonts w:ascii="Times New Roman" w:eastAsia="Times New Roman" w:hAnsi="Times New Roman" w:cs="Times New Roman"/>
          <w:vanish/>
          <w:color w:val="009745"/>
          <w:sz w:val="24"/>
          <w:szCs w:val="24"/>
        </w:rPr>
      </w:pPr>
      <w:r>
        <w:rPr>
          <w:rFonts w:ascii="Times New Roman" w:eastAsia="Times New Roman" w:hAnsi="Times New Roman" w:cs="Times New Roman"/>
          <w:vanish/>
          <w:color w:val="009745"/>
          <w:sz w:val="24"/>
          <w:szCs w:val="24"/>
        </w:rPr>
        <w:t>v. Include certain routine notices to applicants (e.g., that the Federal Government is not obligated to make any Federal award as a result of the announcement or that only grants officers can bind the Federal Government to the expenditure of funds).</w:t>
      </w:r>
    </w:p>
    <w:p w:rsidP="00470374">
      <w:pPr>
        <w:keepLines w:val="0"/>
        <w:spacing w:before="20" w:after="20"/>
        <w:ind w:left="0"/>
        <w:jc w:val="left"/>
        <w:rPr>
          <w:rFonts w:ascii="Times New Roman" w:eastAsia="Times New Roman" w:hAnsi="Times New Roman" w:cs="Times New Roman"/>
          <w:vanish/>
          <w:color w:val="000000"/>
          <w:sz w:val="24"/>
        </w:rPr>
      </w:pP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Paperwork Reduction Act Statement</w:t>
      </w:r>
    </w:p>
    <w:p w:rsidP="00470374">
      <w:pPr>
        <w:keepLines w:val="0"/>
        <w:spacing w:before="60" w:after="20"/>
        <w:ind w:left="0"/>
        <w:jc w:val="left"/>
        <w:rPr>
          <w:rFonts w:ascii="Times New Roman" w:eastAsia="Times New Roman" w:hAnsi="Times New Roman" w:cs="Times New Roman"/>
          <w:vanish/>
          <w:color w:val="000000"/>
          <w:sz w:val="24"/>
        </w:rPr>
      </w:pPr>
      <w:r>
        <w:rPr>
          <w:rFonts w:ascii="Times New Roman" w:eastAsia="Times New Roman" w:hAnsi="Times New Roman" w:cs="Times New Roman"/>
          <w:vanish/>
          <w:color w:val="009745"/>
          <w:sz w:val="24"/>
        </w:rPr>
        <w:t>The following statement is the Bureau’s standard PRA Statement that programs must enter in the field below. The statement includes average burden estimates. If these estimates are significantly different from the average completion times for your program, update them as needed and add this burden statement in the text field. Please do not change or remove any other language in the standard PRA Statement.</w:t>
      </w:r>
    </w:p>
    <w:p w:rsidP="00470374">
      <w:pPr>
        <w:keepLines w:val="0"/>
        <w:spacing w:before="60" w:after="20"/>
        <w:ind w:left="0"/>
        <w:jc w:val="left"/>
        <w:rPr>
          <w:rFonts w:ascii="Times New Roman" w:eastAsia="Times New Roman" w:hAnsi="Times New Roman" w:cs="Times New Roman"/>
          <w:vanish w:val="0"/>
          <w:color w:val="000000"/>
          <w:sz w:val="24"/>
        </w:rPr>
      </w:pPr>
    </w:p>
    <w:sectPr w:rsidSect="00F51971">
      <w:footerReference w:type="default" r:id="rId26"/>
      <w:type w:val="nextPage"/>
      <w:pgSz w:w="12240" w:h="15840"/>
      <w:pgMar w:top="1440" w:right="1440" w:bottom="1440" w:left="1440" w:header="720" w:footer="720" w:gutter="0"/>
      <w:pgNumType w:start="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DD934ED7-C98B-4D27-9635-A4567C9527E9}"/>
  </w:font>
  <w:font w:name="Times New Roman">
    <w:panose1 w:val="02020603050405020304"/>
    <w:charset w:val="00"/>
    <w:family w:val="roman"/>
    <w:pitch w:val="variable"/>
    <w:sig w:usb0="E0002AFF" w:usb1="C0007841" w:usb2="00000009" w:usb3="00000000" w:csb0="000001FF" w:csb1="00000000"/>
    <w:embedRegular r:id="rId2" w:fontKey="{0DFD96BE-22C4-49DE-9348-C59311AC2486}"/>
    <w:embedBold r:id="rId3" w:fontKey="{93E39996-CE93-48D9-828D-E6027B09702A}"/>
    <w:embedItalic r:id="rId4" w:fontKey="{FDF99674-FCE3-4EB7-BAA1-E4EEBF84E0AC}"/>
  </w:font>
  <w:font w:name="Courier New">
    <w:panose1 w:val="02070309020205020404"/>
    <w:charset w:val="00"/>
    <w:family w:val="modern"/>
    <w:pitch w:val="fixed"/>
    <w:sig w:usb0="E0002AFF" w:usb1="C0007843" w:usb2="00000009" w:usb3="00000000" w:csb0="000001FF" w:csb1="00000000"/>
    <w:embedRegular r:id="rId5" w:fontKey="{892A9F3F-5346-43D1-9E68-F2C1EC32F784}"/>
  </w:font>
  <w:font w:name="Wingdings">
    <w:panose1 w:val="05000000000000000000"/>
    <w:charset w:val="02"/>
    <w:family w:val="auto"/>
    <w:pitch w:val="variable"/>
    <w:sig w:usb0="00000000" w:usb1="10000000" w:usb2="00000000" w:usb3="00000000" w:csb0="80000000" w:csb1="00000000"/>
    <w:embedRegular r:id="rId6" w:fontKey="{C376F7AA-0590-4961-B73D-26F668507B52}"/>
  </w:font>
  <w:font w:name="Arial">
    <w:panose1 w:val="020B0604020202020204"/>
    <w:charset w:val="00"/>
    <w:family w:val="swiss"/>
    <w:pitch w:val="variable"/>
    <w:sig w:usb0="E0002AFF" w:usb1="C0007843" w:usb2="00000009" w:usb3="00000000" w:csb0="000001FF" w:csb1="00000000"/>
    <w:embedRegular r:id="rId7" w:fontKey="{A3941F18-D9AA-44B1-8F11-E0BD471F64F0}"/>
    <w:embedBold r:id="rId8" w:fontKey="{1FC12096-4BE5-438D-844A-DD8333D4E4E3}"/>
    <w:embedBoldItalic r:id="rId9" w:fontKey="{58D5912A-A32B-4E7B-8D18-DD76495C7124}"/>
  </w:font>
  <w:font w:name="+mn-ea">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embedRegular r:id="rId10" w:fontKey="{D0F9AB73-DACD-4CB3-A754-F57C947A44B6}"/>
    <w:embedItalic r:id="rId11" w:fontKey="{86E6C558-77E3-4E72-8B32-F8AD2F7807CB}"/>
  </w:font>
  <w:font w:name="Verdana">
    <w:panose1 w:val="020B0604030504040204"/>
    <w:charset w:val="00"/>
    <w:family w:val="swiss"/>
    <w:pitch w:val="variable"/>
    <w:sig w:usb0="A10006FF" w:usb1="4000205B" w:usb2="00000010" w:usb3="00000000" w:csb0="0000019F" w:csb1="00000000"/>
    <w:embedRegular r:id="rId12" w:fontKey="{EA412467-E652-42A7-960F-B1A7A581066A}"/>
    <w:embedBold r:id="rId13" w:fontKey="{F8D136DF-39ED-4324-9B03-F392CCC98E10}"/>
    <w:embedItalic r:id="rId14" w:fontKey="{4604CCFD-540F-4AD0-9425-8699F47963CD}"/>
    <w:embedBoldItalic r:id="rId15" w:fontKey="{8F1456B5-B441-44F5-AC08-35C9C06A83B9}"/>
  </w:font>
  <w:font w:name="Cambria">
    <w:panose1 w:val="02040503050406030204"/>
    <w:charset w:val="00"/>
    <w:family w:val="roman"/>
    <w:pitch w:val="variable"/>
    <w:sig w:usb0="E00002FF" w:usb1="400004FF" w:usb2="00000000" w:usb3="00000000" w:csb0="0000019F" w:csb1="00000000"/>
    <w:embedRegular r:id="rId16" w:fontKey="{FA4F8730-002D-409D-8B68-C0AF852DD7F5}"/>
    <w:embedBold r:id="rId17" w:fontKey="{160644EA-6E95-449B-A30B-932FF5CE4BB2}"/>
  </w:font>
  <w:font w:name="Garamond">
    <w:panose1 w:val="02020404030301010803"/>
    <w:charset w:val="00"/>
    <w:family w:val="roman"/>
    <w:pitch w:val="variable"/>
    <w:sig w:usb0="00000287" w:usb1="00000000" w:usb2="00000000" w:usb3="00000000" w:csb0="0000009F" w:csb1="00000000"/>
    <w:embedRegular r:id="rId18" w:fontKey="{2CADA22E-4EE5-4758-A1AC-BD9A71F1FEC6}"/>
    <w:embedBold r:id="rId19" w:fontKey="{1EB861DB-E134-4178-B414-EB292B474FE9}"/>
  </w:font>
  <w:font w:name="Tahoma">
    <w:panose1 w:val="020B0604030504040204"/>
    <w:charset w:val="00"/>
    <w:family w:val="swiss"/>
    <w:pitch w:val="variable"/>
    <w:sig w:usb0="E1002EFF" w:usb1="C000605B" w:usb2="00000029" w:usb3="00000000" w:csb0="000101FF" w:csb1="00000000"/>
    <w:embedRegular r:id="rId20" w:fontKey="{9117FB25-B6A1-4F25-8564-ED6F73D062FA}"/>
  </w:font>
  <w:font w:name="Calibri Light">
    <w:panose1 w:val="020F0302020204030204"/>
    <w:charset w:val="00"/>
    <w:family w:val="swiss"/>
    <w:pitch w:val="variable"/>
    <w:sig w:usb0="A00002EF" w:usb1="4000207B" w:usb2="00000000" w:usb3="00000000" w:csb0="0000019F" w:csb1="00000000"/>
    <w:embedRegular r:id="rId21" w:fontKey="{F619CED5-E261-4E40-BD2C-C8D1B3911E07}"/>
  </w:font>
  <w:font w:name="Helvetica">
    <w:charset w:val="00"/>
    <w:family w:val="auto"/>
    <w:pitch w:val="default"/>
  </w:font>
  <w:font w:name="Time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6BC5749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4D4" w:rsidRPr="008A694C" w:rsidP="008A694C" w14:paraId="06F02D5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5FDCBADF" w14:textId="77777777">
    <w:pPr>
      <w:pStyle w:val="Footer"/>
    </w:pPr>
  </w:p>
  <w:p w:rsidR="008A694C">
    <w:pPr>
      <w:pStyle w:val="Footer"/>
    </w:pPr>
    <w:r>
      <w:pict>
        <v:line id="_x0000_s2049" style="position:absolute;z-index:251658240" from="0,0" to="280pt,0" strokeweight="1pt"/>
      </w:pict>
    </w:r>
    <w:r>
      <w:pict>
        <v:line id="_x0000_s2050" style="position:absolute;z-index:251659264" from="300pt,0" to="440pt,0" strokeweight="1pt"/>
      </w:pict>
    </w:r>
    <w:r>
      <w:t>Signature                                                                                     Date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113"/>
      <w:gridCol w:w="3113"/>
      <w:gridCol w:w="3113"/>
    </w:tblGrid>
    <w:tr>
      <w:tblPrEx>
        <w:tblW w:w="5000" w:type="pct"/>
        <w:tblCellMar>
          <w:left w:w="108" w:type="dxa"/>
          <w:right w:w="108" w:type="dxa"/>
        </w:tblCellMar>
      </w:tblPrEx>
      <w:tc>
        <w:tcPr>
          <w:tcW w:w="1650" w:type="pct"/>
        </w:tcPr>
        <w:p>
          <w:pPr>
            <w:jc w:val="center"/>
          </w:pPr>
        </w:p>
      </w:tc>
      <w:tc>
        <w:tcPr>
          <w:tcW w:w="1650" w:type="pct"/>
        </w:tcPr>
        <w:p>
          <w:pPr>
            <w:jc w:val="center"/>
          </w:pPr>
        </w:p>
      </w:tc>
      <w:tc>
        <w:tcPr>
          <w:tcW w:w="1650" w:type="pct"/>
        </w:tcPr>
        <w:p>
          <w:pPr>
            <w:jc w:val="center"/>
          </w:pPr>
          <w:r>
            <w:t xml:space="preserve">Page </w:t>
          </w:r>
          <w:r>
            <w:fldChar w:fldCharType="begin"/>
          </w:r>
          <w:r>
            <w:instrText xml:space="preserve"> PAGE </w:instrText>
          </w:r>
          <w:r>
            <w:fldChar w:fldCharType="separate"/>
          </w:r>
          <w:r>
            <w:t>29</w:t>
          </w:r>
          <w:r>
            <w:fldChar w:fldCharType="end"/>
          </w:r>
          <w:r>
            <w:t xml:space="preserve"> of </w:t>
          </w:r>
          <w:r>
            <w:fldChar w:fldCharType="begin"/>
          </w:r>
          <w:r>
            <w:instrText xml:space="preserve"> </w:instrText>
          </w:r>
          <w:r>
            <w:instrText>=</w:instrText>
          </w:r>
          <w:r>
            <w:instrText xml:space="preserve"> </w:instrText>
          </w:r>
          <w:r>
            <w:fldChar w:fldCharType="begin"/>
          </w:r>
          <w:r>
            <w:instrText xml:space="preserve"> </w:instrText>
          </w:r>
          <w:r>
            <w:instrText>NUMPAGES</w:instrText>
          </w:r>
          <w:r>
            <w:instrText xml:space="preserve"> </w:instrText>
          </w:r>
          <w:r>
            <w:fldChar w:fldCharType="separate"/>
          </w:r>
          <w:r>
            <w:instrText>30</w:instrText>
          </w:r>
          <w:r>
            <w:fldChar w:fldCharType="end"/>
          </w:r>
          <w:r>
            <w:instrText xml:space="preserve"> </w:instrText>
          </w:r>
          <w:r>
            <w:instrText>-</w:instrText>
          </w:r>
          <w:r>
            <w:instrText xml:space="preserve"> </w:instrText>
          </w:r>
          <w:r>
            <w:instrText>1</w:instrText>
          </w:r>
          <w:r>
            <w:instrText xml:space="preserve"> </w:instrText>
          </w:r>
          <w:r>
            <w:fldChar w:fldCharType="separate"/>
          </w:r>
          <w:r>
            <w:t>29</w:t>
          </w:r>
          <w:r>
            <w:fldChar w:fldCharType="end"/>
          </w:r>
        </w:p>
      </w:tc>
    </w:tr>
  </w:tbl>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2F2F4F0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0CE0A1E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069B0E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0C56CB"/>
    <w:multiLevelType w:val="hybridMultilevel"/>
    <w:tmpl w:val="DEAE6F06"/>
    <w:lvl w:ilvl="0">
      <w:start w:val="1"/>
      <w:numFmt w:val="bullet"/>
      <w:lvlText w:val=""/>
      <w:lvlJc w:val="left"/>
      <w:pPr>
        <w:ind w:left="783" w:hanging="360"/>
      </w:pPr>
      <w:rPr>
        <w:rFonts w:ascii="Symbol" w:hAnsi="Symbol" w:hint="default"/>
      </w:rPr>
    </w:lvl>
    <w:lvl w:ilvl="1" w:tentative="1">
      <w:start w:val="1"/>
      <w:numFmt w:val="bullet"/>
      <w:lvlText w:val="o"/>
      <w:lvlJc w:val="left"/>
      <w:pPr>
        <w:ind w:left="1503" w:hanging="360"/>
      </w:pPr>
      <w:rPr>
        <w:rFonts w:ascii="Courier New" w:hAnsi="Courier New" w:cs="Courier New" w:hint="default"/>
      </w:rPr>
    </w:lvl>
    <w:lvl w:ilvl="2" w:tentative="1">
      <w:start w:val="1"/>
      <w:numFmt w:val="bullet"/>
      <w:lvlText w:val=""/>
      <w:lvlJc w:val="left"/>
      <w:pPr>
        <w:ind w:left="2223" w:hanging="360"/>
      </w:pPr>
      <w:rPr>
        <w:rFonts w:ascii="Wingdings" w:hAnsi="Wingdings" w:hint="default"/>
      </w:rPr>
    </w:lvl>
    <w:lvl w:ilvl="3" w:tentative="1">
      <w:start w:val="1"/>
      <w:numFmt w:val="bullet"/>
      <w:lvlText w:val=""/>
      <w:lvlJc w:val="left"/>
      <w:pPr>
        <w:ind w:left="2943" w:hanging="360"/>
      </w:pPr>
      <w:rPr>
        <w:rFonts w:ascii="Symbol" w:hAnsi="Symbol" w:hint="default"/>
      </w:rPr>
    </w:lvl>
    <w:lvl w:ilvl="4" w:tentative="1">
      <w:start w:val="1"/>
      <w:numFmt w:val="bullet"/>
      <w:lvlText w:val="o"/>
      <w:lvlJc w:val="left"/>
      <w:pPr>
        <w:ind w:left="3663" w:hanging="360"/>
      </w:pPr>
      <w:rPr>
        <w:rFonts w:ascii="Courier New" w:hAnsi="Courier New" w:cs="Courier New" w:hint="default"/>
      </w:rPr>
    </w:lvl>
    <w:lvl w:ilvl="5" w:tentative="1">
      <w:start w:val="1"/>
      <w:numFmt w:val="bullet"/>
      <w:lvlText w:val=""/>
      <w:lvlJc w:val="left"/>
      <w:pPr>
        <w:ind w:left="4383" w:hanging="360"/>
      </w:pPr>
      <w:rPr>
        <w:rFonts w:ascii="Wingdings" w:hAnsi="Wingdings" w:hint="default"/>
      </w:rPr>
    </w:lvl>
    <w:lvl w:ilvl="6" w:tentative="1">
      <w:start w:val="1"/>
      <w:numFmt w:val="bullet"/>
      <w:lvlText w:val=""/>
      <w:lvlJc w:val="left"/>
      <w:pPr>
        <w:ind w:left="5103" w:hanging="360"/>
      </w:pPr>
      <w:rPr>
        <w:rFonts w:ascii="Symbol" w:hAnsi="Symbol" w:hint="default"/>
      </w:rPr>
    </w:lvl>
    <w:lvl w:ilvl="7" w:tentative="1">
      <w:start w:val="1"/>
      <w:numFmt w:val="bullet"/>
      <w:lvlText w:val="o"/>
      <w:lvlJc w:val="left"/>
      <w:pPr>
        <w:ind w:left="5823" w:hanging="360"/>
      </w:pPr>
      <w:rPr>
        <w:rFonts w:ascii="Courier New" w:hAnsi="Courier New" w:cs="Courier New" w:hint="default"/>
      </w:rPr>
    </w:lvl>
    <w:lvl w:ilvl="8" w:tentative="1">
      <w:start w:val="1"/>
      <w:numFmt w:val="bullet"/>
      <w:lvlText w:val=""/>
      <w:lvlJc w:val="left"/>
      <w:pPr>
        <w:ind w:left="6543" w:hanging="360"/>
      </w:pPr>
      <w:rPr>
        <w:rFonts w:ascii="Wingdings" w:hAnsi="Wingdings" w:hint="default"/>
      </w:rPr>
    </w:lvl>
  </w:abstractNum>
  <w:abstractNum w:abstractNumId="1">
    <w:nsid w:val="08025E21"/>
    <w:multiLevelType w:val="hybridMultilevel"/>
    <w:tmpl w:val="37E836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DFB6BF4"/>
    <w:multiLevelType w:val="hybridMultilevel"/>
    <w:tmpl w:val="D780DCE2"/>
    <w:lvl w:ilvl="0">
      <w:start w:val="1"/>
      <w:numFmt w:val="bullet"/>
      <w:pStyle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3">
    <w:nsid w:val="22E84D12"/>
    <w:multiLevelType w:val="hybridMultilevel"/>
    <w:tmpl w:val="1686870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23105D2C"/>
    <w:multiLevelType w:val="hybridMultilevel"/>
    <w:tmpl w:val="5010F3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AFD5771"/>
    <w:multiLevelType w:val="hybridMultilevel"/>
    <w:tmpl w:val="AE64D2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BAC7556"/>
    <w:multiLevelType w:val="hybridMultilevel"/>
    <w:tmpl w:val="624ECE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4FCC1E5B"/>
    <w:multiLevelType w:val="hybridMultilevel"/>
    <w:tmpl w:val="66FAFD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9B0054B"/>
    <w:multiLevelType w:val="hybridMultilevel"/>
    <w:tmpl w:val="9BE67068"/>
    <w:lvl w:ilvl="0">
      <w:start w:val="1"/>
      <w:numFmt w:val="bullet"/>
      <w:pStyle w:val="DoubleIndentedBullet"/>
      <w:lvlText w:val=""/>
      <w:lvlJc w:val="left"/>
      <w:pPr>
        <w:ind w:left="1584" w:hanging="360"/>
      </w:pPr>
      <w:rPr>
        <w:rFonts w:ascii="Symbol" w:hAnsi="Symbol" w:hint="default"/>
      </w:rPr>
    </w:lvl>
    <w:lvl w:ilvl="1" w:tentative="1">
      <w:start w:val="1"/>
      <w:numFmt w:val="bullet"/>
      <w:lvlText w:val="o"/>
      <w:lvlJc w:val="left"/>
      <w:pPr>
        <w:ind w:left="2304" w:hanging="360"/>
      </w:pPr>
      <w:rPr>
        <w:rFonts w:ascii="Courier New" w:hAnsi="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hint="default"/>
      </w:rPr>
    </w:lvl>
    <w:lvl w:ilvl="8" w:tentative="1">
      <w:start w:val="1"/>
      <w:numFmt w:val="bullet"/>
      <w:lvlText w:val=""/>
      <w:lvlJc w:val="left"/>
      <w:pPr>
        <w:ind w:left="7344" w:hanging="360"/>
      </w:pPr>
      <w:rPr>
        <w:rFonts w:ascii="Wingdings" w:hAnsi="Wingdings" w:hint="default"/>
      </w:rPr>
    </w:lvl>
  </w:abstractNum>
  <w:abstractNum w:abstractNumId="11">
    <w:nsid w:val="5B5D4D46"/>
    <w:multiLevelType w:val="hybridMultilevel"/>
    <w:tmpl w:val="C3A651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6093E66"/>
    <w:multiLevelType w:val="hybridMultilevel"/>
    <w:tmpl w:val="37DA2D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AD71B05"/>
    <w:multiLevelType w:val="hybridMultilevel"/>
    <w:tmpl w:val="6B1EC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76823451"/>
    <w:multiLevelType w:val="hybridMultilevel"/>
    <w:tmpl w:val="A92817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9CF54E8"/>
    <w:multiLevelType w:val="hybridMultilevel"/>
    <w:tmpl w:val="01E4CE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9CF54E9"/>
    <w:multiLevelType w:val="multilevel"/>
    <w:tmpl w:val="79CF54E9"/>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9CF54EA"/>
    <w:multiLevelType w:val="multilevel"/>
    <w:tmpl w:val="79CF54E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79CF54EB"/>
    <w:multiLevelType w:val="multilevel"/>
    <w:tmpl w:val="79CF54E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9CF54EC"/>
    <w:multiLevelType w:val="hybridMultilevel"/>
    <w:tmpl w:val="79CF54E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9CF54ED"/>
    <w:multiLevelType w:val="multilevel"/>
    <w:tmpl w:val="79CF54E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79CF54EE"/>
    <w:multiLevelType w:val="multilevel"/>
    <w:tmpl w:val="79CF54EE"/>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79CF54EF"/>
    <w:multiLevelType w:val="multilevel"/>
    <w:tmpl w:val="79CF54EF"/>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79CF54F0"/>
    <w:multiLevelType w:val="multilevel"/>
    <w:tmpl w:val="79CF54F0"/>
    <w:lvl w:ilvl="0">
      <w:start w:val="1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79CF54F1"/>
    <w:multiLevelType w:val="multilevel"/>
    <w:tmpl w:val="79CF54F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79CF54F2"/>
    <w:multiLevelType w:val="multilevel"/>
    <w:tmpl w:val="79CF54F2"/>
    <w:lvl w:ilvl="0">
      <w:start w:val="1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79CF54F3"/>
    <w:multiLevelType w:val="multilevel"/>
    <w:tmpl w:val="79CF54F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79CF54F4"/>
    <w:multiLevelType w:val="multilevel"/>
    <w:tmpl w:val="79CF54F4"/>
    <w:lvl w:ilvl="0">
      <w:start w:val="6"/>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79CF54F5"/>
    <w:multiLevelType w:val="multilevel"/>
    <w:tmpl w:val="79CF54F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79CF54F6"/>
    <w:multiLevelType w:val="multilevel"/>
    <w:tmpl w:val="79CF54F6"/>
    <w:lvl w:ilvl="0">
      <w:start w:val="6"/>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79CF54F7"/>
    <w:multiLevelType w:val="hybridMultilevel"/>
    <w:tmpl w:val="79CF54F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79CF54F8"/>
    <w:multiLevelType w:val="hybridMultilevel"/>
    <w:tmpl w:val="79CF54F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79CF54F9"/>
    <w:multiLevelType w:val="hybridMultilevel"/>
    <w:tmpl w:val="79CF54F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79CF54FA"/>
    <w:multiLevelType w:val="multilevel"/>
    <w:tmpl w:val="79CF54FA"/>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79CF54FB"/>
    <w:multiLevelType w:val="multilevel"/>
    <w:tmpl w:val="79CF54FB"/>
    <w:lvl w:ilvl="0">
      <w:start w:val="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79CF54FC"/>
    <w:multiLevelType w:val="multilevel"/>
    <w:tmpl w:val="79CF54FC"/>
    <w:lvl w:ilvl="0">
      <w:start w:val="3"/>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3"/>
  </w:num>
  <w:num w:numId="4">
    <w:abstractNumId w:val="4"/>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10"/>
  </w:num>
  <w:num w:numId="9">
    <w:abstractNumId w:val="11"/>
  </w:num>
  <w:num w:numId="10">
    <w:abstractNumId w:val="13"/>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num>
  <w:num w:numId="15">
    <w:abstractNumId w:val="1"/>
  </w:num>
  <w:num w:numId="16">
    <w:abstractNumId w:val="7"/>
  </w:num>
  <w:num w:numId="17">
    <w:abstractNumId w:val="12"/>
  </w:num>
  <w:num w:numId="18">
    <w:abstractNumId w:val="9"/>
  </w:num>
  <w:num w:numId="19">
    <w:abstractNumId w:val="0"/>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3"/>
  </w:num>
  <w:num w:numId="28">
    <w:abstractNumId w:val="24"/>
  </w:num>
  <w:num w:numId="29">
    <w:abstractNumId w:val="25"/>
  </w:num>
  <w:num w:numId="30">
    <w:abstractNumId w:val="26"/>
  </w:num>
  <w:num w:numId="31">
    <w:abstractNumId w:val="27"/>
  </w:num>
  <w:num w:numId="32">
    <w:abstractNumId w:val="28"/>
  </w:num>
  <w:num w:numId="33">
    <w:abstractNumId w:val="29"/>
  </w:num>
  <w:num w:numId="34">
    <w:abstractNumId w:val="30"/>
  </w:num>
  <w:num w:numId="35">
    <w:abstractNumId w:val="31"/>
  </w:num>
  <w:num w:numId="36">
    <w:abstractNumId w:val="32"/>
  </w:num>
  <w:num w:numId="37">
    <w:abstractNumId w:val="33"/>
  </w:num>
  <w:num w:numId="38">
    <w:abstractNumId w:val="34"/>
  </w:num>
  <w:num w:numId="39">
    <w:abstractNumId w:val="3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TrueTypeFonts/>
  <w:embedSystemFonts/>
  <w:proofState w:spelling="clean" w:grammar="clean"/>
  <w:doNotTrackFormatting/>
  <w:documentProtection w:edit="comments" w:formatting="1" w:enforcement="0"/>
  <w:defaultTabStop w:val="720"/>
  <w:defaultTableStyle w:val="TableGrid"/>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GridTable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0">
    <w:name w:val="Normal_0"/>
    <w:basedOn w:val="Normal"/>
    <w:rPr>
      <w:rFonts w:ascii="Helvetica" w:eastAsia="Helvetica" w:hAnsi="Helvetica" w:cs="Helvetica"/>
      <w:sz w:val="20"/>
      <w:szCs w:val="20"/>
    </w:rPr>
  </w:style>
  <w:style w:type="character" w:customStyle="1" w:styleId="a">
    <w:name w:val="a"/>
    <w:basedOn w:val="DefaultParagraphFont"/>
    <w:rPr>
      <w:color w:val="0000FF"/>
    </w:rPr>
  </w:style>
  <w:style w:type="paragraph" w:customStyle="1" w:styleId="p">
    <w:name w:val="p"/>
    <w:basedOn w:val="Normal"/>
    <w:rPr>
      <w:rFonts w:ascii="Helvetica" w:eastAsia="Helvetica" w:hAnsi="Helvetica" w:cs="Helvetica"/>
      <w:sz w:val="20"/>
      <w:szCs w:val="20"/>
    </w:rPr>
  </w:style>
  <w:style w:type="character" w:customStyle="1" w:styleId="criteria-linked-elementdata-modeexportcriteria-score">
    <w:name w:val="criteria-linked-element_|data-mode=export_criteria-score"/>
    <w:basedOn w:val="DefaultParagraphFont"/>
    <w:rPr>
      <w:bdr w:val="none" w:sz="0" w:space="0" w:color="auto"/>
    </w:rPr>
  </w:style>
  <w:style w:type="table" w:customStyle="1" w:styleId="criteria-linked-element">
    <w:name w:val="criteria-linked-element"/>
    <w:basedOn w:val="TableNormal"/>
    <w:tblPr/>
  </w:style>
  <w:style w:type="paragraph" w:customStyle="1" w:styleId="p0">
    <w:name w:val="p_0"/>
    <w:basedOn w:val="Hidden"/>
    <w:rPr>
      <w:rFonts w:ascii="Helvetica" w:eastAsia="Helvetica" w:hAnsi="Helvetica" w:cs="Helvetica"/>
      <w:sz w:val="20"/>
      <w:szCs w:val="20"/>
    </w:r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yperlink" Target="http://www.boem.gov/esp-data-and-information-specifications" TargetMode="External" /><Relationship Id="rId16" Type="http://schemas.openxmlformats.org/officeDocument/2006/relationships/hyperlink" Target="https://www.doi.gov/grants/doi-standard-terms-and-conditions" TargetMode="External" /><Relationship Id="rId17" Type="http://schemas.openxmlformats.org/officeDocument/2006/relationships/hyperlink" Target="https://www.ecfr.gov/cgi-bin/text-idx?SID=2cb9f6d1c1c131ed576a5e65845ef3fa&amp;mc=true&amp;node=se2.1.1402_1112&amp;rgn=div8" TargetMode="External" /><Relationship Id="rId18" Type="http://schemas.openxmlformats.org/officeDocument/2006/relationships/hyperlink" Target="https://www.doi.gov/pam/programs/acquisition/fair-activities-inventory-reform-act" TargetMode="External" /><Relationship Id="rId19" Type="http://schemas.openxmlformats.org/officeDocument/2006/relationships/hyperlink" Target="https://harvester.census.gov/facides/Account/Login.aspx" TargetMode="External" /><Relationship Id="rId2" Type="http://schemas.openxmlformats.org/officeDocument/2006/relationships/webSettings" Target="webSettings.xml" /><Relationship Id="rId20" Type="http://schemas.openxmlformats.org/officeDocument/2006/relationships/hyperlink" Target="https://harvester.census.gov/facdissem/Main.aspx" TargetMode="External" /><Relationship Id="rId21" Type="http://schemas.openxmlformats.org/officeDocument/2006/relationships/hyperlink" Target="http://www.ecfr.gov/cgi-bin/text-idx?SID=683823273fc0da6a1060883eda593fb8&amp;mc=true&amp;node=pt43.1.18&amp;rgn=div5" TargetMode="External" /><Relationship Id="rId22" Type="http://schemas.openxmlformats.org/officeDocument/2006/relationships/hyperlink" Target="mailto:SAMHelp@dnb.com" TargetMode="External" /><Relationship Id="rId23" Type="http://schemas.openxmlformats.org/officeDocument/2006/relationships/hyperlink" Target="mailto:support@grants.gov" TargetMode="External" /><Relationship Id="rId24" Type="http://schemas.openxmlformats.org/officeDocument/2006/relationships/hyperlink" Target="http://www.doi.gov/sites/doi.gov/files/uploads/doi-standard-award-terms-and-conditions-" TargetMode="External" /><Relationship Id="rId25" Type="http://schemas.openxmlformats.org/officeDocument/2006/relationships/hyperlink" Target="https://www.ecfr.gov/cgi-bin/text-idx?SID=2cb9f6d1c1c131ed576a5e65845ef3fa&amp;mc=true&amp;node=se2.1.1402_1315&amp;rgn=div8" TargetMode="External" /><Relationship Id="rId26" Type="http://schemas.openxmlformats.org/officeDocument/2006/relationships/footer" Target="footer4.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13" Type="http://schemas.openxmlformats.org/officeDocument/2006/relationships/font" Target="fonts/font13.odttf" /><Relationship Id="rId14" Type="http://schemas.openxmlformats.org/officeDocument/2006/relationships/font" Target="fonts/font14.odttf" /><Relationship Id="rId15" Type="http://schemas.openxmlformats.org/officeDocument/2006/relationships/font" Target="fonts/font15.odttf" /><Relationship Id="rId16" Type="http://schemas.openxmlformats.org/officeDocument/2006/relationships/font" Target="fonts/font16.odttf" /><Relationship Id="rId17" Type="http://schemas.openxmlformats.org/officeDocument/2006/relationships/font" Target="fonts/font17.odttf" /><Relationship Id="rId18" Type="http://schemas.openxmlformats.org/officeDocument/2006/relationships/font" Target="fonts/font18.odttf" /><Relationship Id="rId19" Type="http://schemas.openxmlformats.org/officeDocument/2006/relationships/font" Target="fonts/font19.odttf" /><Relationship Id="rId2" Type="http://schemas.openxmlformats.org/officeDocument/2006/relationships/font" Target="fonts/font2.odttf" /><Relationship Id="rId20" Type="http://schemas.openxmlformats.org/officeDocument/2006/relationships/font" Target="fonts/font20.odttf" /><Relationship Id="rId21" Type="http://schemas.openxmlformats.org/officeDocument/2006/relationships/font" Target="fonts/font21.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4.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3.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5.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Silverman, Joshua (NIH/OD) [C]</cp:lastModifiedBy>
  <cp:revision>27</cp:revision>
  <cp:lastPrinted>2015-12-22T13:15:00Z</cp:lastPrinted>
  <dcterms:created xsi:type="dcterms:W3CDTF">2016-12-20T14:59:00Z</dcterms:created>
  <dcterms:modified xsi:type="dcterms:W3CDTF">2018-08-24T19:00:00Z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