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6BA" w:rsidRPr="00FF16BA" w:rsidRDefault="00FF16BA" w:rsidP="00FF16BA">
      <w:pPr>
        <w:rPr>
          <w:rFonts w:ascii="Times New Roman" w:hAnsi="Times New Roman"/>
          <w:b/>
          <w:sz w:val="24"/>
          <w:szCs w:val="24"/>
        </w:rPr>
      </w:pPr>
      <w:r w:rsidRPr="00FF16BA">
        <w:rPr>
          <w:rFonts w:ascii="Times New Roman" w:hAnsi="Times New Roman"/>
          <w:b/>
          <w:sz w:val="24"/>
          <w:szCs w:val="24"/>
        </w:rPr>
        <w:t xml:space="preserve">The submission date for this round of proposal submissions for Funding Opportunity (NOFO) Number, INL-15-GR-0041-WHPMexico-ROLAPS-08032015 is </w:t>
      </w:r>
      <w:r w:rsidRPr="00FF16BA">
        <w:rPr>
          <w:rFonts w:ascii="Times New Roman" w:hAnsi="Times New Roman"/>
          <w:b/>
          <w:sz w:val="24"/>
          <w:szCs w:val="24"/>
          <w:u w:val="single"/>
        </w:rPr>
        <w:t>May 1 which is this coming Sunday</w:t>
      </w:r>
      <w:r w:rsidRPr="00FF16BA">
        <w:rPr>
          <w:rFonts w:ascii="Times New Roman" w:hAnsi="Times New Roman"/>
          <w:b/>
          <w:sz w:val="24"/>
          <w:szCs w:val="24"/>
        </w:rPr>
        <w:t>.</w:t>
      </w:r>
      <w:r w:rsidRPr="00FF16BA">
        <w:rPr>
          <w:rFonts w:ascii="Times New Roman" w:hAnsi="Times New Roman"/>
          <w:b/>
          <w:sz w:val="24"/>
          <w:szCs w:val="24"/>
        </w:rPr>
        <w:t xml:space="preserve"> </w:t>
      </w:r>
      <w:r w:rsidRPr="00FF16BA">
        <w:rPr>
          <w:rFonts w:ascii="Times New Roman" w:hAnsi="Times New Roman"/>
          <w:b/>
          <w:sz w:val="24"/>
          <w:szCs w:val="24"/>
        </w:rPr>
        <w:t xml:space="preserve">Will the submission date be moved to </w:t>
      </w:r>
      <w:r w:rsidRPr="00FF16BA">
        <w:rPr>
          <w:rFonts w:ascii="Times New Roman" w:hAnsi="Times New Roman"/>
          <w:b/>
          <w:sz w:val="24"/>
          <w:szCs w:val="24"/>
          <w:u w:val="single"/>
        </w:rPr>
        <w:t>May 2, Monday</w:t>
      </w:r>
      <w:r w:rsidRPr="00FF16BA">
        <w:rPr>
          <w:rFonts w:ascii="Times New Roman" w:hAnsi="Times New Roman"/>
          <w:b/>
          <w:sz w:val="24"/>
          <w:szCs w:val="24"/>
        </w:rPr>
        <w:t>?</w:t>
      </w:r>
    </w:p>
    <w:p w:rsidR="00082ABF" w:rsidRDefault="00082ABF"/>
    <w:p w:rsidR="00FF16BA" w:rsidRPr="00FF16BA" w:rsidRDefault="00FF16BA" w:rsidP="00FF16BA">
      <w:pPr>
        <w:rPr>
          <w:rFonts w:ascii="Times New Roman" w:hAnsi="Times New Roman"/>
          <w:sz w:val="24"/>
          <w:szCs w:val="24"/>
        </w:rPr>
      </w:pPr>
      <w:r w:rsidRPr="00FF16BA">
        <w:rPr>
          <w:rFonts w:ascii="Times New Roman" w:hAnsi="Times New Roman"/>
          <w:sz w:val="24"/>
          <w:szCs w:val="24"/>
        </w:rPr>
        <w:t>Unfortunately, at this point the submission date cannot be moved. Please note that there will be further opportunity to submit proposals after this deadline. The final due date for this year will be July 31st.</w:t>
      </w:r>
    </w:p>
    <w:p w:rsidR="00FF16BA" w:rsidRDefault="00FF16BA"/>
    <w:p w:rsidR="00FF16BA" w:rsidRPr="00FF16BA" w:rsidRDefault="00FF16BA" w:rsidP="00FF16BA">
      <w:pPr>
        <w:rPr>
          <w:rFonts w:ascii="Times New Roman" w:hAnsi="Times New Roman"/>
          <w:b/>
          <w:sz w:val="24"/>
          <w:szCs w:val="24"/>
        </w:rPr>
      </w:pPr>
      <w:r w:rsidRPr="00FF16BA">
        <w:rPr>
          <w:rFonts w:ascii="Times New Roman" w:hAnsi="Times New Roman"/>
          <w:b/>
          <w:sz w:val="24"/>
          <w:szCs w:val="24"/>
        </w:rPr>
        <w:t xml:space="preserve">Where may we attach the </w:t>
      </w:r>
      <w:r w:rsidRPr="00FF16BA">
        <w:rPr>
          <w:rFonts w:ascii="Times New Roman" w:hAnsi="Times New Roman"/>
          <w:b/>
          <w:sz w:val="24"/>
          <w:szCs w:val="24"/>
        </w:rPr>
        <w:t>INL Risk Assessment Form</w:t>
      </w:r>
      <w:r w:rsidRPr="00FF16BA">
        <w:rPr>
          <w:rFonts w:ascii="Times New Roman" w:hAnsi="Times New Roman"/>
          <w:b/>
          <w:sz w:val="24"/>
          <w:szCs w:val="24"/>
        </w:rPr>
        <w:t xml:space="preserve"> if the limit for attachments is 15 pages?  The 15-page limit is stated on page 14 of the NOFO.</w:t>
      </w:r>
    </w:p>
    <w:p w:rsidR="00FF16BA" w:rsidRDefault="00FF16BA">
      <w:pPr>
        <w:rPr>
          <w:rFonts w:ascii="Times New Roman" w:hAnsi="Times New Roman"/>
          <w:sz w:val="24"/>
          <w:szCs w:val="24"/>
        </w:rPr>
      </w:pPr>
    </w:p>
    <w:p w:rsidR="00FF16BA" w:rsidRPr="00FF16BA" w:rsidRDefault="00FF16BA" w:rsidP="00FF16BA">
      <w:pPr>
        <w:rPr>
          <w:rFonts w:ascii="Times New Roman" w:hAnsi="Times New Roman"/>
          <w:sz w:val="24"/>
          <w:szCs w:val="24"/>
        </w:rPr>
      </w:pPr>
      <w:r w:rsidRPr="00FF16BA">
        <w:rPr>
          <w:rFonts w:ascii="Times New Roman" w:hAnsi="Times New Roman"/>
          <w:sz w:val="24"/>
          <w:szCs w:val="24"/>
        </w:rPr>
        <w:t xml:space="preserve">The 15 page limit is on the proposal narrative, which does not include the attachments. </w:t>
      </w:r>
    </w:p>
    <w:p w:rsidR="00FF16BA" w:rsidRPr="00FF16BA" w:rsidRDefault="00FF16BA" w:rsidP="00FF16BA">
      <w:pPr>
        <w:rPr>
          <w:rFonts w:ascii="Times New Roman" w:hAnsi="Times New Roman"/>
          <w:sz w:val="24"/>
          <w:szCs w:val="24"/>
        </w:rPr>
      </w:pPr>
    </w:p>
    <w:p w:rsidR="00FF16BA" w:rsidRPr="00FF16BA" w:rsidRDefault="00FF16BA" w:rsidP="00FF16BA">
      <w:pPr>
        <w:rPr>
          <w:rFonts w:ascii="Times New Roman" w:hAnsi="Times New Roman"/>
          <w:sz w:val="24"/>
          <w:szCs w:val="24"/>
        </w:rPr>
      </w:pPr>
      <w:r w:rsidRPr="00FF16BA">
        <w:rPr>
          <w:rFonts w:ascii="Times New Roman" w:hAnsi="Times New Roman"/>
          <w:sz w:val="24"/>
          <w:szCs w:val="24"/>
        </w:rPr>
        <w:t xml:space="preserve">There is also a distinction between the risk analysis and the INL risk assessment form. These are two separate documents: </w:t>
      </w:r>
    </w:p>
    <w:p w:rsidR="00FF16BA" w:rsidRPr="00FF16BA" w:rsidRDefault="00FF16BA" w:rsidP="00FF16BA">
      <w:pPr>
        <w:rPr>
          <w:rFonts w:ascii="Times New Roman" w:hAnsi="Times New Roman"/>
          <w:sz w:val="24"/>
          <w:szCs w:val="24"/>
        </w:rPr>
      </w:pPr>
    </w:p>
    <w:p w:rsidR="00FF16BA" w:rsidRPr="00FF16BA" w:rsidRDefault="00FF16BA" w:rsidP="00FF16BA">
      <w:pPr>
        <w:pStyle w:val="ListParagraph"/>
        <w:ind w:hanging="360"/>
        <w:rPr>
          <w:rFonts w:ascii="Times New Roman" w:hAnsi="Times New Roman"/>
          <w:sz w:val="24"/>
          <w:szCs w:val="24"/>
        </w:rPr>
      </w:pPr>
      <w:r w:rsidRPr="00FF16BA">
        <w:rPr>
          <w:rFonts w:ascii="Times New Roman" w:hAnsi="Times New Roman"/>
          <w:sz w:val="24"/>
          <w:szCs w:val="24"/>
        </w:rPr>
        <w:t xml:space="preserve">·        </w:t>
      </w:r>
      <w:proofErr w:type="gramStart"/>
      <w:r w:rsidRPr="00FF16BA">
        <w:rPr>
          <w:rFonts w:ascii="Times New Roman" w:hAnsi="Times New Roman"/>
          <w:sz w:val="24"/>
          <w:szCs w:val="24"/>
        </w:rPr>
        <w:t>The</w:t>
      </w:r>
      <w:proofErr w:type="gramEnd"/>
      <w:r w:rsidRPr="00FF16BA">
        <w:rPr>
          <w:rFonts w:ascii="Times New Roman" w:hAnsi="Times New Roman"/>
          <w:sz w:val="24"/>
          <w:szCs w:val="24"/>
        </w:rPr>
        <w:t xml:space="preserve"> risk assessment form, which is meant to gather information about applicants’ financial management and internal controls, helps INL determine the risk applicants may be at for misuse or mismanagement of gr</w:t>
      </w:r>
      <w:bookmarkStart w:id="0" w:name="_GoBack"/>
      <w:bookmarkEnd w:id="0"/>
      <w:r w:rsidRPr="00FF16BA">
        <w:rPr>
          <w:rFonts w:ascii="Times New Roman" w:hAnsi="Times New Roman"/>
          <w:sz w:val="24"/>
          <w:szCs w:val="24"/>
        </w:rPr>
        <w:t>ant funds. Since this form is provided by INL, it is not considered against the application’s page limits.</w:t>
      </w:r>
    </w:p>
    <w:p w:rsidR="00FF16BA" w:rsidRPr="00FF16BA" w:rsidRDefault="00FF16BA" w:rsidP="00FF16BA">
      <w:pPr>
        <w:rPr>
          <w:rFonts w:ascii="Times New Roman" w:hAnsi="Times New Roman"/>
          <w:sz w:val="24"/>
          <w:szCs w:val="24"/>
        </w:rPr>
      </w:pPr>
    </w:p>
    <w:p w:rsidR="00FF16BA" w:rsidRPr="00FF16BA" w:rsidRDefault="00FF16BA" w:rsidP="00FF16BA">
      <w:pPr>
        <w:pStyle w:val="ListParagraph"/>
        <w:ind w:hanging="360"/>
        <w:rPr>
          <w:rFonts w:ascii="Times New Roman" w:hAnsi="Times New Roman"/>
          <w:sz w:val="24"/>
          <w:szCs w:val="24"/>
        </w:rPr>
      </w:pPr>
      <w:r w:rsidRPr="00FF16BA">
        <w:rPr>
          <w:rFonts w:ascii="Times New Roman" w:hAnsi="Times New Roman"/>
          <w:sz w:val="24"/>
          <w:szCs w:val="24"/>
        </w:rPr>
        <w:t xml:space="preserve">·        </w:t>
      </w:r>
      <w:proofErr w:type="gramStart"/>
      <w:r w:rsidRPr="00FF16BA">
        <w:rPr>
          <w:rFonts w:ascii="Times New Roman" w:hAnsi="Times New Roman"/>
          <w:sz w:val="24"/>
          <w:szCs w:val="24"/>
        </w:rPr>
        <w:t>The</w:t>
      </w:r>
      <w:proofErr w:type="gramEnd"/>
      <w:r w:rsidRPr="00FF16BA">
        <w:rPr>
          <w:rFonts w:ascii="Times New Roman" w:hAnsi="Times New Roman"/>
          <w:sz w:val="24"/>
          <w:szCs w:val="24"/>
        </w:rPr>
        <w:t xml:space="preserve"> risk analysis is generated by the applicant, and is not to exceed two pages, and is part of the 12 page limit on attachments. It is meant to include risks which may affect the implementation of the project but which may not be related to financial management. These may include the risks of low participation by beneficiaries, obstruction or non-cooperation by other stakeholders, exogenous economic or political factors, or anything else which the applicant reasonably believes may impact its achievement of the project’s goals and objectives. Please see Tab B: Program Monitoring and Evaluation Plan and Risk Analysis on pages 22-23 of the NOFO for further instructions.</w:t>
      </w:r>
    </w:p>
    <w:p w:rsidR="00FF16BA" w:rsidRDefault="00FF16BA"/>
    <w:sectPr w:rsidR="00FF1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53211"/>
    <w:multiLevelType w:val="hybridMultilevel"/>
    <w:tmpl w:val="F62EE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6BA"/>
    <w:rsid w:val="00082ABF"/>
    <w:rsid w:val="00FF1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6B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6B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6B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6B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430263">
      <w:bodyDiv w:val="1"/>
      <w:marLeft w:val="0"/>
      <w:marRight w:val="0"/>
      <w:marTop w:val="0"/>
      <w:marBottom w:val="0"/>
      <w:divBdr>
        <w:top w:val="none" w:sz="0" w:space="0" w:color="auto"/>
        <w:left w:val="none" w:sz="0" w:space="0" w:color="auto"/>
        <w:bottom w:val="none" w:sz="0" w:space="0" w:color="auto"/>
        <w:right w:val="none" w:sz="0" w:space="0" w:color="auto"/>
      </w:divBdr>
    </w:div>
    <w:div w:id="1238827037">
      <w:bodyDiv w:val="1"/>
      <w:marLeft w:val="0"/>
      <w:marRight w:val="0"/>
      <w:marTop w:val="0"/>
      <w:marBottom w:val="0"/>
      <w:divBdr>
        <w:top w:val="none" w:sz="0" w:space="0" w:color="auto"/>
        <w:left w:val="none" w:sz="0" w:space="0" w:color="auto"/>
        <w:bottom w:val="none" w:sz="0" w:space="0" w:color="auto"/>
        <w:right w:val="none" w:sz="0" w:space="0" w:color="auto"/>
      </w:divBdr>
    </w:div>
    <w:div w:id="194349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1</cp:revision>
  <dcterms:created xsi:type="dcterms:W3CDTF">2016-04-29T20:21:00Z</dcterms:created>
  <dcterms:modified xsi:type="dcterms:W3CDTF">2016-04-29T20:28:00Z</dcterms:modified>
</cp:coreProperties>
</file>