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DDAEC70" w:rsidP="02AEB6AB" w:rsidRDefault="4DDAEC70" w14:paraId="352A07E8" w14:textId="7D2B3434">
      <w:pPr>
        <w:jc w:val="left"/>
        <w:rPr>
          <w:rFonts w:ascii="Calibri" w:hAnsi="Calibri" w:eastAsia="Calibri" w:cs="Calibri" w:asciiTheme="minorAscii" w:hAnsiTheme="minorAscii" w:eastAsiaTheme="minorAscii" w:cstheme="minorAscii"/>
          <w:b w:val="1"/>
          <w:bCs w:val="1"/>
          <w:color w:val="auto"/>
          <w:sz w:val="30"/>
          <w:szCs w:val="30"/>
        </w:rPr>
      </w:pPr>
      <w:r w:rsidRPr="02AEB6AB" w:rsidR="5A320838">
        <w:rPr>
          <w:rFonts w:ascii="Calibri" w:hAnsi="Calibri" w:eastAsia="Calibri" w:cs="Calibri" w:asciiTheme="minorAscii" w:hAnsiTheme="minorAscii" w:eastAsiaTheme="minorAscii" w:cstheme="minorAscii"/>
          <w:b w:val="1"/>
          <w:bCs w:val="1"/>
          <w:color w:val="auto"/>
          <w:sz w:val="30"/>
          <w:szCs w:val="30"/>
        </w:rPr>
        <w:t>CONSOLIDATED NOFO QUESTIONS AS OF 19-JULY-2024</w:t>
      </w:r>
    </w:p>
    <w:p w:rsidR="4DDAEC70" w:rsidP="02AEB6AB" w:rsidRDefault="4DDAEC70" w14:paraId="093A207B" w14:textId="47DD4527">
      <w:pPr>
        <w:pStyle w:val="ListParagraph"/>
        <w:numPr>
          <w:ilvl w:val="0"/>
          <w:numId w:val="1"/>
        </w:numPr>
        <w:shd w:val="clear" w:color="auto" w:fill="FFFFFF" w:themeFill="background1"/>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auto" w:themeColor="text1" w:themeTint="FF" w:themeShade="FF"/>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Could PRM provide further clarification on the expectations for the role of the technical secretariat when managed by NGOs, considering that international multilateral organizations and for-profit organizations, which may have stronger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capacities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for high-level government coordination, are also eligible applicants? Specifically, what unique advantages or approaches does PRM foresee NGOs bringing to this role compared to these other types of organizations?</w:t>
      </w:r>
    </w:p>
    <w:p w:rsidR="0A8C07F5" w:rsidP="02AEB6AB" w:rsidRDefault="0A8C07F5" w14:paraId="54910630" w14:textId="0E076CD2">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5BB29F4A" w14:textId="5BE2EA75">
      <w:pPr>
        <w:pStyle w:val="Normal"/>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FA061DC">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Response: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We would encourage you to review the attached</w:t>
      </w:r>
      <w:r w:rsidRPr="02AEB6AB" w:rsidR="21D096BF">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full</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262FF5EE">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Notice of Funding Opportunity</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in the announcement for clarification on the duties and roles we hope the technical secretariat to play</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We are encouraging applicants from all interested parties, including NGOs, IOs, for-profits, and otherwise to apply due to their unique perspectives on migration and protection issues in the region</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One key role of the Secretariat will be to ensure adequate stakeholder engagement throughout all meetings and other implementation measures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PRM believes NGOs play a unique role in Civil Society and can act as a convener of local and national civil society organizations who wish to be involved in the Los Angeles Declaration. </w:t>
      </w:r>
    </w:p>
    <w:p w:rsidR="0A8C07F5" w:rsidP="02AEB6AB" w:rsidRDefault="0A8C07F5" w14:paraId="65EBC939" w14:textId="748D1F1B">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2F2969F7" w14:textId="15729CCD">
      <w:pPr>
        <w:pStyle w:val="ListParagraph"/>
        <w:numPr>
          <w:ilvl w:val="0"/>
          <w:numId w:val="1"/>
        </w:numPr>
        <w:shd w:val="clear" w:color="auto" w:fill="FFFFFF" w:themeFill="background1"/>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auto" w:themeColor="text1" w:themeTint="FF" w:themeShade="FF"/>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In line with the above, what specific considerations will PRM use to assess proposals from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different types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of eligible organizations (nonprofits, for-profits, international organizations)? Are there any distinct considerations or weighting factors that will be applied differently based on the applicant type?</w:t>
      </w:r>
    </w:p>
    <w:p w:rsidR="02AEB6AB" w:rsidP="02AEB6AB" w:rsidRDefault="02AEB6AB" w14:paraId="0DB26E45" w14:textId="49B26A1C">
      <w:pPr>
        <w:pStyle w:val="Normal"/>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p>
    <w:p w:rsidR="4DDAEC70" w:rsidP="02AEB6AB" w:rsidRDefault="4DDAEC70" w14:paraId="6A64605A" w14:textId="7D3CACCA">
      <w:pPr>
        <w:pStyle w:val="Normal"/>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6F2B11CB">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Response: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As detailed in the NOFO, PRM will use the following criteria to assess proposals, no matter which different organization applies:</w:t>
      </w:r>
    </w:p>
    <w:p w:rsidR="0A8C07F5" w:rsidP="02AEB6AB" w:rsidRDefault="0A8C07F5" w14:paraId="2910F37B" w14:textId="4E6A0541">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p>
    <w:p w:rsidR="4DDAEC70" w:rsidP="02AEB6AB" w:rsidRDefault="4DDAEC70" w14:paraId="0172AB08" w14:textId="7AD2040E">
      <w:pPr>
        <w:shd w:val="clear" w:color="auto" w:fill="FFFFFF" w:themeFill="background1"/>
        <w:spacing w:before="0" w:beforeAutospacing="off" w:after="0" w:afterAutospacing="off"/>
        <w:ind w:left="0" w:firstLine="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PRM is committed to ensuring a competitive and standardized process for awarding funding. Applications will be screened initially in a Technical Eligibility Review stage to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determine</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whether applicants meet the eligibility requirements and have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submitted</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all required documents. Applications that do not meet these requirements will not advance beyond the Technical Eligibility Review stage and will be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deemed</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ineligible for funding under this NOFO.</w:t>
      </w:r>
    </w:p>
    <w:p w:rsidR="0A8C07F5" w:rsidP="02AEB6AB" w:rsidRDefault="0A8C07F5" w14:paraId="20F772E5" w14:textId="788A4FF2">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24521F85" w14:textId="4AA40F68">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Eligible submissions will be those that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comply with</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the criteria and requirements included in this announcement. In addition, the review panel will evaluate the proposals based on the following criteria:</w:t>
      </w:r>
    </w:p>
    <w:p w:rsidR="0A8C07F5" w:rsidP="02AEB6AB" w:rsidRDefault="0A8C07F5" w14:paraId="03BA2937" w14:textId="02682FAE">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146C4B75" w14:textId="6C08AF50">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Program Narrative (30)</w:t>
      </w:r>
    </w:p>
    <w:p w:rsidR="4DDAEC70" w:rsidP="02AEB6AB" w:rsidRDefault="4DDAEC70" w14:paraId="6CA89A1F" w14:textId="2C052FDC">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Objectives &amp; Adherence to Principals of the Los Angeles Declaration (15)</w:t>
      </w:r>
    </w:p>
    <w:p w:rsidR="4DDAEC70" w:rsidP="02AEB6AB" w:rsidRDefault="4DDAEC70" w14:paraId="5BDE8635" w14:textId="4664B224">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Monitoring &amp; Evaluation Plan (10)</w:t>
      </w:r>
    </w:p>
    <w:p w:rsidR="4DDAEC70" w:rsidP="02AEB6AB" w:rsidRDefault="4DDAEC70" w14:paraId="3747F9AC" w14:textId="1C287F60">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Coordination Among Key Stakeholders and Other Regional Fora (15)</w:t>
      </w:r>
    </w:p>
    <w:p w:rsidR="4DDAEC70" w:rsidP="02AEB6AB" w:rsidRDefault="4DDAEC70" w14:paraId="2463D842" w14:textId="14451537">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Sustainability (5)</w:t>
      </w:r>
    </w:p>
    <w:p w:rsidR="4DDAEC70" w:rsidP="02AEB6AB" w:rsidRDefault="4DDAEC70" w14:paraId="498EC6C1" w14:textId="2F2172E7">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Management and Past Performance (5)</w:t>
      </w:r>
    </w:p>
    <w:p w:rsidR="4DDAEC70" w:rsidP="02AEB6AB" w:rsidRDefault="4DDAEC70" w14:paraId="05243CFF" w14:textId="5B213CC7">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Risk Management (5)</w:t>
      </w:r>
    </w:p>
    <w:p w:rsidR="4DDAEC70" w:rsidP="02AEB6AB" w:rsidRDefault="4DDAEC70" w14:paraId="0498F1B5" w14:textId="13CE2529">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Budget/Budget Narrative (15)</w:t>
      </w:r>
    </w:p>
    <w:p w:rsidR="0A8C07F5" w:rsidP="02AEB6AB" w:rsidRDefault="0A8C07F5" w14:paraId="40C7B3C9" w14:textId="1DC84B40">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026E4A53" w14:textId="32F0E7D5">
      <w:pPr>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PRM will conduct a formal competitive review of all proposals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submitted</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in response to this funding announcement. A review panel of at least three people will evaluate submissions based on the above-referenced programmatic criteria and PRM priorities in the context of available funding.</w:t>
      </w:r>
      <w:r w:rsidRPr="02AEB6AB" w:rsidR="57CFECAF">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rsidR="0A8C07F5" w:rsidP="02AEB6AB" w:rsidRDefault="0A8C07F5" w14:paraId="3BBB7636" w14:textId="12B94970">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4722C0A7" w14:textId="5ED93F06">
      <w:pPr>
        <w:pStyle w:val="ListParagraph"/>
        <w:numPr>
          <w:ilvl w:val="0"/>
          <w:numId w:val="1"/>
        </w:numPr>
        <w:shd w:val="clear" w:color="auto" w:fill="FFFFFF" w:themeFill="background1"/>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auto" w:themeColor="text1" w:themeTint="FF" w:themeShade="FF"/>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Who would cover the costs associated with the in-person meetings? Additionally, would PRM provide space for such convenings?</w:t>
      </w:r>
    </w:p>
    <w:p w:rsidR="0A8C07F5" w:rsidP="02AEB6AB" w:rsidRDefault="0A8C07F5" w14:paraId="269C1C27" w14:textId="598865CF">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4DB719A5" w14:textId="0E076CD2">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noProof w:val="0"/>
          <w:color w:val="auto"/>
          <w:sz w:val="30"/>
          <w:szCs w:val="30"/>
          <w:lang w:val="en-US"/>
        </w:rPr>
      </w:pPr>
    </w:p>
    <w:p w:rsidR="4DDAEC70" w:rsidP="02AEB6AB" w:rsidRDefault="4DDAEC70" w14:paraId="5BAA3761" w14:textId="414BAFB6">
      <w:pPr>
        <w:pStyle w:val="Normal"/>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15CC0F15">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Response: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We expect the rotating country chair to assume all costs of in-person meetings, both ministerial level and special coordinator level</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The rotating country chair will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be responsible for</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providing space to hold such meetings.</w:t>
      </w:r>
    </w:p>
    <w:p w:rsidR="0A8C07F5" w:rsidP="02AEB6AB" w:rsidRDefault="0A8C07F5" w14:paraId="4EA1B3E0" w14:textId="346B6444">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2D052D0F" w14:textId="38FB30B9">
      <w:pPr>
        <w:pStyle w:val="ListParagraph"/>
        <w:numPr>
          <w:ilvl w:val="0"/>
          <w:numId w:val="1"/>
        </w:numPr>
        <w:shd w:val="clear" w:color="auto" w:fill="FFFFFF" w:themeFill="background1"/>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auto" w:themeColor="text1" w:themeTint="FF" w:themeShade="FF"/>
          <w:sz w:val="30"/>
          <w:szCs w:val="30"/>
          <w:lang w:val="en-US"/>
        </w:rPr>
      </w:pP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The NOFO excludes funding for certain efforts such as “coordination on aligning visa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requirements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and travel standards among countries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and “promoting coherence on information sharing and cooperation</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Can PRM provide clarification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regarding</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these, and the rationale behind these exclusions to better guide us in the proposal preparation?</w:t>
      </w:r>
    </w:p>
    <w:p w:rsidR="0A8C07F5" w:rsidP="02AEB6AB" w:rsidRDefault="0A8C07F5" w14:paraId="2AB9DF1E" w14:textId="128A3003">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color w:val="auto"/>
          <w:sz w:val="30"/>
          <w:szCs w:val="30"/>
        </w:rPr>
      </w:pPr>
    </w:p>
    <w:p w:rsidR="4DDAEC70" w:rsidP="02AEB6AB" w:rsidRDefault="4DDAEC70" w14:paraId="070FCB78" w14:textId="0E076CD2">
      <w:pPr>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b w:val="0"/>
          <w:bCs w:val="0"/>
          <w:noProof w:val="0"/>
          <w:color w:val="auto"/>
          <w:sz w:val="30"/>
          <w:szCs w:val="30"/>
          <w:lang w:val="en-US"/>
        </w:rPr>
      </w:pPr>
    </w:p>
    <w:p w:rsidR="4DDAEC70" w:rsidP="02AEB6AB" w:rsidRDefault="4DDAEC70" w14:paraId="25C73047" w14:textId="78631E46">
      <w:pPr>
        <w:pStyle w:val="Normal"/>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pPr>
      <w:r w:rsidRPr="02AEB6AB" w:rsidR="3CA523CC">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Response: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Given the nature of PRM funding, grants provided to implementing partners must have a direct impact on refugees and vulnerable migrants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The Los Angeles Declaration Secretariat is part of PRM's efforts to push humanitarian diplomacy in the name of protecting refugees, asylum seekers, and vulnerable migrants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Activities that fall out of the scope of PRM's mandate, such as visa requirements and law enforcement cooperation and information sharing may not be supported using funding from this announcement</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We require applicants to outline their plans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on securing</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further funding to support secretariat functions dedicated to efforts under law enforcement,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deportations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or repatriations</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Given the international nature of the Los Angeles Declaration forum, we encourage applicants to provide plans on how they will engage with other endorsing countries, IOs, private sector entities, philanthropy, and other foreign governments to secure </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additional</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donations/funding for the work of the secretariat</w:t>
      </w:r>
      <w:r w:rsidRPr="02AEB6AB" w:rsidR="4DDAEC70">
        <w:rPr>
          <w:rFonts w:ascii="Calibri" w:hAnsi="Calibri" w:eastAsia="Calibri" w:cs="Calibri" w:asciiTheme="minorAscii" w:hAnsiTheme="minorAscii" w:eastAsiaTheme="minorAscii" w:cstheme="minorAscii"/>
          <w:b w:val="0"/>
          <w:bCs w:val="0"/>
          <w:i w:val="0"/>
          <w:iCs w:val="0"/>
          <w:caps w:val="0"/>
          <w:smallCaps w:val="0"/>
          <w:noProof w:val="0"/>
          <w:color w:val="auto"/>
          <w:sz w:val="30"/>
          <w:szCs w:val="30"/>
          <w:lang w:val="en-US"/>
        </w:rPr>
        <w:t xml:space="preserve">.  </w:t>
      </w:r>
    </w:p>
    <w:p w:rsidR="0A8C07F5" w:rsidP="02AEB6AB" w:rsidRDefault="0A8C07F5" w14:paraId="37611F8E" w14:textId="397D7A98">
      <w:pPr>
        <w:pStyle w:val="Normal"/>
        <w:rPr>
          <w:rFonts w:ascii="Calibri" w:hAnsi="Calibri" w:eastAsia="Calibri" w:cs="Calibri" w:asciiTheme="minorAscii" w:hAnsiTheme="minorAscii" w:eastAsiaTheme="minorAscii" w:cstheme="minorAscii"/>
          <w:b w:val="0"/>
          <w:bCs w:val="0"/>
          <w:color w:val="auto"/>
          <w:sz w:val="30"/>
          <w:szCs w:val="30"/>
        </w:rPr>
      </w:pPr>
    </w:p>
    <w:sectPr w:rsidR="008363C7">
      <w:pgSz w:w="12240" w:h="15840" w:orient="portrait"/>
      <w:pgMar w:top="1440" w:right="1440" w:bottom="1440" w:left="1440" w:header="720" w:footer="720" w:gutter="0"/>
      <w:cols w:space="720"/>
      <w:docGrid w:linePitch="360"/>
      <w:headerReference w:type="default" r:id="Rcff072195b52414f"/>
      <w:footerReference w:type="default" r:id="Re212c915607a48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2AEB6AB" w:rsidTr="02AEB6AB" w14:paraId="702134BB">
      <w:trPr>
        <w:trHeight w:val="300"/>
      </w:trPr>
      <w:tc>
        <w:tcPr>
          <w:tcW w:w="3120" w:type="dxa"/>
          <w:tcMar/>
        </w:tcPr>
        <w:p w:rsidR="02AEB6AB" w:rsidP="02AEB6AB" w:rsidRDefault="02AEB6AB" w14:paraId="13ADA74A" w14:textId="11B053E5">
          <w:pPr>
            <w:pStyle w:val="Header"/>
            <w:bidi w:val="0"/>
            <w:ind w:left="-115"/>
            <w:jc w:val="left"/>
          </w:pPr>
        </w:p>
      </w:tc>
      <w:tc>
        <w:tcPr>
          <w:tcW w:w="3120" w:type="dxa"/>
          <w:tcMar/>
        </w:tcPr>
        <w:p w:rsidR="02AEB6AB" w:rsidP="02AEB6AB" w:rsidRDefault="02AEB6AB" w14:paraId="749BB483" w14:textId="72D76245">
          <w:pPr>
            <w:pStyle w:val="Header"/>
            <w:bidi w:val="0"/>
            <w:jc w:val="center"/>
          </w:pPr>
        </w:p>
      </w:tc>
      <w:tc>
        <w:tcPr>
          <w:tcW w:w="3120" w:type="dxa"/>
          <w:tcMar/>
        </w:tcPr>
        <w:p w:rsidR="02AEB6AB" w:rsidP="02AEB6AB" w:rsidRDefault="02AEB6AB" w14:paraId="6D81CCA2" w14:textId="1B877571">
          <w:pPr>
            <w:pStyle w:val="Header"/>
            <w:bidi w:val="0"/>
            <w:ind w:right="-115"/>
            <w:jc w:val="right"/>
          </w:pPr>
        </w:p>
      </w:tc>
    </w:tr>
  </w:tbl>
  <w:p w:rsidR="02AEB6AB" w:rsidP="02AEB6AB" w:rsidRDefault="02AEB6AB" w14:paraId="5334F152" w14:textId="030FE76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2AEB6AB" w:rsidTr="02AEB6AB" w14:paraId="14082D06">
      <w:trPr>
        <w:trHeight w:val="300"/>
      </w:trPr>
      <w:tc>
        <w:tcPr>
          <w:tcW w:w="3120" w:type="dxa"/>
          <w:tcMar/>
        </w:tcPr>
        <w:p w:rsidR="02AEB6AB" w:rsidP="02AEB6AB" w:rsidRDefault="02AEB6AB" w14:paraId="3CBD2746" w14:textId="01727754">
          <w:pPr>
            <w:pStyle w:val="Header"/>
            <w:bidi w:val="0"/>
            <w:ind w:left="-115"/>
            <w:jc w:val="left"/>
          </w:pPr>
        </w:p>
      </w:tc>
      <w:tc>
        <w:tcPr>
          <w:tcW w:w="3120" w:type="dxa"/>
          <w:tcMar/>
        </w:tcPr>
        <w:p w:rsidR="02AEB6AB" w:rsidP="02AEB6AB" w:rsidRDefault="02AEB6AB" w14:paraId="4D8F8311" w14:textId="25DF605A">
          <w:pPr>
            <w:pStyle w:val="Header"/>
            <w:bidi w:val="0"/>
            <w:jc w:val="center"/>
          </w:pPr>
        </w:p>
      </w:tc>
      <w:tc>
        <w:tcPr>
          <w:tcW w:w="3120" w:type="dxa"/>
          <w:tcMar/>
        </w:tcPr>
        <w:p w:rsidR="02AEB6AB" w:rsidP="02AEB6AB" w:rsidRDefault="02AEB6AB" w14:paraId="4148F81E" w14:textId="58D289E8">
          <w:pPr>
            <w:pStyle w:val="Header"/>
            <w:bidi w:val="0"/>
            <w:ind w:right="-115"/>
            <w:jc w:val="right"/>
          </w:pPr>
        </w:p>
      </w:tc>
    </w:tr>
  </w:tbl>
  <w:p w:rsidR="02AEB6AB" w:rsidP="02AEB6AB" w:rsidRDefault="02AEB6AB" w14:paraId="47890EAB" w14:textId="37F0CD75">
    <w:pPr>
      <w:pStyle w:val="Header"/>
      <w:bidi w:val="0"/>
    </w:pPr>
  </w:p>
</w:hdr>
</file>

<file path=word/numbering.xml><?xml version="1.0" encoding="utf-8"?>
<w:numbering xmlns:w="http://schemas.openxmlformats.org/wordprocessingml/2006/main">
  <w:abstractNum xmlns:w="http://schemas.openxmlformats.org/wordprocessingml/2006/main" w:abstractNumId="2">
    <w:nsid w:val="6285d1b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33094d65"/>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C65420"/>
    <w:rsid w:val="0000690F"/>
    <w:rsid w:val="008363C7"/>
    <w:rsid w:val="02AEB6AB"/>
    <w:rsid w:val="07599174"/>
    <w:rsid w:val="0A8C07F5"/>
    <w:rsid w:val="13C3BF05"/>
    <w:rsid w:val="15CC0F15"/>
    <w:rsid w:val="21D096BF"/>
    <w:rsid w:val="262FF5EE"/>
    <w:rsid w:val="31021339"/>
    <w:rsid w:val="33AAD526"/>
    <w:rsid w:val="3839C937"/>
    <w:rsid w:val="3CA523CC"/>
    <w:rsid w:val="4DDAEC70"/>
    <w:rsid w:val="4FA061DC"/>
    <w:rsid w:val="57CFECAF"/>
    <w:rsid w:val="5A320838"/>
    <w:rsid w:val="6BC65420"/>
    <w:rsid w:val="6D6F1923"/>
    <w:rsid w:val="6F2B11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5420"/>
  <w15:chartTrackingRefBased/>
  <w15:docId w15:val="{B99E4CEC-F1FB-4CE0-BF0B-DBE5D9C3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numbering" Target="numbering.xml" Id="R5bd22796a8704fa2" /><Relationship Type="http://schemas.openxmlformats.org/officeDocument/2006/relationships/header" Target="header.xml" Id="Rcff072195b52414f" /><Relationship Type="http://schemas.openxmlformats.org/officeDocument/2006/relationships/footer" Target="footer.xml" Id="Re212c915607a48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E0D7FE3A18C469F66AC2D9744C6B4" ma:contentTypeVersion="21" ma:contentTypeDescription="Create a new document." ma:contentTypeScope="" ma:versionID="5c82c6396fe4e1d16fa54cdd34dfc352">
  <xsd:schema xmlns:xsd="http://www.w3.org/2001/XMLSchema" xmlns:xs="http://www.w3.org/2001/XMLSchema" xmlns:p="http://schemas.microsoft.com/office/2006/metadata/properties" xmlns:ns2="2dbdea5f-11bc-4d14-9034-5207254292ae" xmlns:ns3="c2330e2a-a710-4aeb-9573-4e23bc6b8e58" targetNamespace="http://schemas.microsoft.com/office/2006/metadata/properties" ma:root="true" ma:fieldsID="f1d31645094029a62ca8101ae25fc6ae" ns2:_="" ns3:_="">
    <xsd:import namespace="2dbdea5f-11bc-4d14-9034-5207254292ae"/>
    <xsd:import namespace="c2330e2a-a710-4aeb-9573-4e23bc6b8e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ReadyforPrinting_x003f_" minOccurs="0"/>
                <xsd:element ref="ns3:Printed_x002d_onJSDesk" minOccurs="0"/>
                <xsd:element ref="ns3:MediaServiceObjectDetectorVersions" minOccurs="0"/>
                <xsd:element ref="ns3:Missingbio" minOccurs="0"/>
                <xsd:element ref="ns3:MediaServiceSearchProperties" minOccurs="0"/>
                <xsd:element ref="ns3:Q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ea5f-11bc-4d14-9034-520725429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f2c9add-3d19-4cb2-bbb7-b4f4441af675}" ma:internalName="TaxCatchAll" ma:showField="CatchAllData" ma:web="2dbdea5f-11bc-4d14-9034-520725429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330e2a-a710-4aeb-9573-4e23bc6b8e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ReadyforPrinting_x003f_" ma:index="22" nillable="true" ma:displayName="Ready for Printing?" ma:default="0" ma:format="Dropdown" ma:internalName="ReadyforPrinting_x003f_">
      <xsd:simpleType>
        <xsd:restriction base="dms:Boolean"/>
      </xsd:simpleType>
    </xsd:element>
    <xsd:element name="Printed_x002d_onJSDesk" ma:index="23" nillable="true" ma:displayName="Printed - on KB Desk" ma:default="0" ma:format="Dropdown" ma:internalName="Printed_x002d_onJSDesk">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issingbio" ma:index="25" nillable="true" ma:displayName="Missing bio" ma:format="Dropdown" ma:internalName="Missingbio">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QC" ma:index="27" nillable="true" ma:displayName="QC" ma:format="Dropdown" ma:internalName="Q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nted_x002d_onJSDesk xmlns="c2330e2a-a710-4aeb-9573-4e23bc6b8e58">false</Printed_x002d_onJSDesk>
    <ReadyforPrinting_x003f_ xmlns="c2330e2a-a710-4aeb-9573-4e23bc6b8e58">false</ReadyforPrinting_x003f_>
    <TaxCatchAll xmlns="2dbdea5f-11bc-4d14-9034-5207254292ae" xsi:nil="true"/>
    <lcf76f155ced4ddcb4097134ff3c332f xmlns="c2330e2a-a710-4aeb-9573-4e23bc6b8e58">
      <Terms xmlns="http://schemas.microsoft.com/office/infopath/2007/PartnerControls"/>
    </lcf76f155ced4ddcb4097134ff3c332f>
    <Missingbio xmlns="c2330e2a-a710-4aeb-9573-4e23bc6b8e58" xsi:nil="true"/>
    <QC xmlns="c2330e2a-a710-4aeb-9573-4e23bc6b8e58" xsi:nil="true"/>
  </documentManagement>
</p:properties>
</file>

<file path=customXml/itemProps1.xml><?xml version="1.0" encoding="utf-8"?>
<ds:datastoreItem xmlns:ds="http://schemas.openxmlformats.org/officeDocument/2006/customXml" ds:itemID="{2D40CB4B-4936-4DE1-A1F3-ACDFCA9C8BFE}">
  <ds:schemaRefs>
    <ds:schemaRef ds:uri="http://schemas.microsoft.com/sharepoint/v3/contenttype/forms"/>
  </ds:schemaRefs>
</ds:datastoreItem>
</file>

<file path=customXml/itemProps2.xml><?xml version="1.0" encoding="utf-8"?>
<ds:datastoreItem xmlns:ds="http://schemas.openxmlformats.org/officeDocument/2006/customXml" ds:itemID="{2D60584A-3A0E-4355-89FF-678F0D148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dea5f-11bc-4d14-9034-5207254292ae"/>
    <ds:schemaRef ds:uri="c2330e2a-a710-4aeb-9573-4e23bc6b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627C9-F79D-4D3E-B878-63CA6DF252A9}">
  <ds:schemaRefs>
    <ds:schemaRef ds:uri="http://schemas.microsoft.com/office/2006/metadata/properties"/>
    <ds:schemaRef ds:uri="http://schemas.microsoft.com/office/infopath/2007/PartnerControls"/>
    <ds:schemaRef ds:uri="c2330e2a-a710-4aeb-9573-4e23bc6b8e58"/>
    <ds:schemaRef ds:uri="2dbdea5f-11bc-4d14-9034-5207254292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Rose, Neal M</dc:creator>
  <keywords/>
  <dc:description/>
  <lastModifiedBy>Rose, Neal M</lastModifiedBy>
  <revision>3</revision>
  <dcterms:created xsi:type="dcterms:W3CDTF">2024-07-19T17:48:00.0000000Z</dcterms:created>
  <dcterms:modified xsi:type="dcterms:W3CDTF">2024-07-19T17:52:07.7709681Z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0x010100AF2E0D7FE3A18C469F66AC2D9744C6B4</vt:lpwstr>
  </property>
  <property fmtid="{D5CDD505-2E9C-101B-9397-08002B2CF9AE}" pid="3" name="MSIP_Label_1665d9ee-429a-4d5f-97cc-cfb56e044a6e_Enabled">
    <vt:lpwstr>true</vt:lpwstr>
  </property>
  <property fmtid="{D5CDD505-2E9C-101B-9397-08002B2CF9AE}" pid="4" name="MSIP_Label_1665d9ee-429a-4d5f-97cc-cfb56e044a6e_SetDate">
    <vt:lpwstr>2024-07-19T17:48:10Z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8dae35fd-4220-4d60-8aa3-7c29df79ca61</vt:lpwstr>
  </property>
  <property fmtid="{D5CDD505-2E9C-101B-9397-08002B2CF9AE}" pid="9" name="MSIP_Label_1665d9ee-429a-4d5f-97cc-cfb56e044a6e_ContentBits">
    <vt:lpwstr>0</vt:lpwstr>
  </property>
  <property fmtid="{D5CDD505-2E9C-101B-9397-08002B2CF9AE}" pid="10" name="MediaServiceImageTags">
    <vt:lpwstr/>
  </property>
</Properties>
</file>