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A3B6DE" w14:textId="71C5BFC3" w:rsidR="30E95971" w:rsidRDefault="30E95971"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U.S. Department of State</w:t>
      </w:r>
    </w:p>
    <w:p w14:paraId="757A7969" w14:textId="17B50067" w:rsidR="30E95971" w:rsidRDefault="30E95971"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Bureau of Western Hemisphere Affairs (WHA)</w:t>
      </w:r>
    </w:p>
    <w:p w14:paraId="3F09FC29" w14:textId="139327AC" w:rsidR="66747202" w:rsidRDefault="66747202" w:rsidP="360D5D79">
      <w:pPr>
        <w:spacing w:after="0" w:line="240" w:lineRule="auto"/>
        <w:rPr>
          <w:rFonts w:ascii="Times New Roman" w:eastAsia="Times New Roman" w:hAnsi="Times New Roman" w:cs="Times New Roman"/>
          <w:b/>
          <w:bCs/>
          <w:sz w:val="24"/>
          <w:szCs w:val="24"/>
        </w:rPr>
      </w:pPr>
      <w:r w:rsidRPr="360D5D79">
        <w:rPr>
          <w:rFonts w:ascii="Times New Roman" w:eastAsia="Times New Roman" w:hAnsi="Times New Roman" w:cs="Times New Roman"/>
          <w:b/>
          <w:bCs/>
          <w:sz w:val="24"/>
          <w:szCs w:val="24"/>
        </w:rPr>
        <w:t>Gender-Based Violence Prevention for Ecuador’s Education System</w:t>
      </w:r>
    </w:p>
    <w:p w14:paraId="5A7FE5CB" w14:textId="34AE361F" w:rsidR="30E95971" w:rsidRDefault="30E95971"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SFOP000694</w:t>
      </w:r>
      <w:r w:rsidR="43A4BA92" w:rsidRPr="360D5D79">
        <w:rPr>
          <w:rFonts w:ascii="Times New Roman" w:eastAsia="Times New Roman" w:hAnsi="Times New Roman" w:cs="Times New Roman"/>
          <w:b/>
          <w:bCs/>
          <w:sz w:val="24"/>
          <w:szCs w:val="24"/>
        </w:rPr>
        <w:t>3</w:t>
      </w:r>
    </w:p>
    <w:p w14:paraId="4705761F" w14:textId="23BCAD64" w:rsidR="1716AC9D" w:rsidRDefault="1716AC9D" w:rsidP="360D5D79">
      <w:pPr>
        <w:spacing w:after="0" w:line="240" w:lineRule="auto"/>
        <w:rPr>
          <w:rFonts w:ascii="Times New Roman" w:eastAsia="Times New Roman" w:hAnsi="Times New Roman" w:cs="Times New Roman"/>
          <w:sz w:val="24"/>
          <w:szCs w:val="24"/>
        </w:rPr>
      </w:pPr>
    </w:p>
    <w:p w14:paraId="389683C0" w14:textId="2F824EDC" w:rsidR="30E95971" w:rsidRDefault="30E95971" w:rsidP="360D5D79">
      <w:pPr>
        <w:spacing w:after="0" w:line="240" w:lineRule="auto"/>
        <w:jc w:val="center"/>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 xml:space="preserve">Questions and Answers for Notice of Funding Opportunity </w:t>
      </w:r>
    </w:p>
    <w:p w14:paraId="176482D0" w14:textId="61EF0E50" w:rsidR="30E95971" w:rsidRDefault="30E95971" w:rsidP="360D5D79">
      <w:pPr>
        <w:spacing w:after="0" w:line="240" w:lineRule="auto"/>
        <w:jc w:val="center"/>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 xml:space="preserve">June </w:t>
      </w:r>
      <w:r w:rsidR="0C62AC34" w:rsidRPr="360D5D79">
        <w:rPr>
          <w:rFonts w:ascii="Times New Roman" w:eastAsia="Times New Roman" w:hAnsi="Times New Roman" w:cs="Times New Roman"/>
          <w:b/>
          <w:bCs/>
          <w:sz w:val="24"/>
          <w:szCs w:val="24"/>
        </w:rPr>
        <w:t>25</w:t>
      </w:r>
      <w:r w:rsidRPr="360D5D79">
        <w:rPr>
          <w:rFonts w:ascii="Times New Roman" w:eastAsia="Times New Roman" w:hAnsi="Times New Roman" w:cs="Times New Roman"/>
          <w:b/>
          <w:bCs/>
          <w:sz w:val="24"/>
          <w:szCs w:val="24"/>
        </w:rPr>
        <w:t xml:space="preserve">, 2020 </w:t>
      </w:r>
    </w:p>
    <w:p w14:paraId="2D9AB8D0" w14:textId="41311B6E" w:rsidR="1716AC9D" w:rsidRDefault="1716AC9D" w:rsidP="360D5D79">
      <w:pPr>
        <w:spacing w:after="0" w:line="240" w:lineRule="auto"/>
        <w:rPr>
          <w:rFonts w:ascii="Times New Roman" w:eastAsia="Times New Roman" w:hAnsi="Times New Roman" w:cs="Times New Roman"/>
          <w:b/>
          <w:bCs/>
          <w:sz w:val="24"/>
          <w:szCs w:val="24"/>
        </w:rPr>
      </w:pPr>
    </w:p>
    <w:p w14:paraId="7A1179AC" w14:textId="5670FCD6" w:rsidR="78FEB379" w:rsidRDefault="78FEB379"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Q1.</w:t>
      </w:r>
      <w:r w:rsidRPr="360D5D79">
        <w:rPr>
          <w:rFonts w:ascii="Times New Roman" w:eastAsia="Times New Roman" w:hAnsi="Times New Roman" w:cs="Times New Roman"/>
          <w:sz w:val="24"/>
          <w:szCs w:val="24"/>
        </w:rPr>
        <w:t xml:space="preserve">  On page 6 and page 10, the NOFO references a “Tab C” on the Proposal Submission Instructions (PSI) document as guidance for the mandatory Gender Analysis. However, there is no Tab C on the PSI document uploaded to Grants.gov. Could WHA provide further guidance as to where to locate Tab C?</w:t>
      </w:r>
      <w:r w:rsidR="10AD03BA" w:rsidRPr="360D5D79">
        <w:rPr>
          <w:rFonts w:ascii="Times New Roman" w:eastAsia="Times New Roman" w:hAnsi="Times New Roman" w:cs="Times New Roman"/>
          <w:sz w:val="24"/>
          <w:szCs w:val="24"/>
        </w:rPr>
        <w:t xml:space="preserve"> </w:t>
      </w:r>
    </w:p>
    <w:p w14:paraId="416A6F76" w14:textId="2C0B3957" w:rsidR="360D5D79" w:rsidRDefault="360D5D79" w:rsidP="360D5D79">
      <w:pPr>
        <w:spacing w:after="0" w:line="240" w:lineRule="auto"/>
        <w:rPr>
          <w:rFonts w:ascii="Times New Roman" w:eastAsia="Times New Roman" w:hAnsi="Times New Roman" w:cs="Times New Roman"/>
          <w:b/>
          <w:bCs/>
          <w:color w:val="0070C0"/>
          <w:sz w:val="24"/>
          <w:szCs w:val="24"/>
        </w:rPr>
      </w:pPr>
    </w:p>
    <w:p w14:paraId="2AFB6FB0" w14:textId="44E02035" w:rsidR="78FEB379" w:rsidRDefault="10AD03BA"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w:t>
      </w:r>
      <w:r w:rsidRPr="360D5D79">
        <w:rPr>
          <w:rFonts w:ascii="Times New Roman" w:eastAsia="Times New Roman" w:hAnsi="Times New Roman" w:cs="Times New Roman"/>
          <w:sz w:val="24"/>
          <w:szCs w:val="24"/>
        </w:rPr>
        <w:t xml:space="preserve"> </w:t>
      </w:r>
      <w:r w:rsidR="35FE326E" w:rsidRPr="360D5D79">
        <w:rPr>
          <w:rFonts w:ascii="Times New Roman" w:eastAsia="Times New Roman" w:hAnsi="Times New Roman" w:cs="Times New Roman"/>
          <w:color w:val="0070C0"/>
          <w:sz w:val="24"/>
          <w:szCs w:val="24"/>
        </w:rPr>
        <w:t xml:space="preserve">The updated PSI </w:t>
      </w:r>
      <w:r w:rsidR="25AF3EDD" w:rsidRPr="360D5D79">
        <w:rPr>
          <w:rFonts w:ascii="Times New Roman" w:eastAsia="Times New Roman" w:hAnsi="Times New Roman" w:cs="Times New Roman"/>
          <w:color w:val="0070C0"/>
          <w:sz w:val="24"/>
          <w:szCs w:val="24"/>
        </w:rPr>
        <w:t xml:space="preserve">document including Tab C is </w:t>
      </w:r>
      <w:r w:rsidR="35FE326E" w:rsidRPr="360D5D79">
        <w:rPr>
          <w:rFonts w:ascii="Times New Roman" w:eastAsia="Times New Roman" w:hAnsi="Times New Roman" w:cs="Times New Roman"/>
          <w:color w:val="0070C0"/>
          <w:sz w:val="24"/>
          <w:szCs w:val="24"/>
        </w:rPr>
        <w:t xml:space="preserve">now active on grants.gov. The PSI document </w:t>
      </w:r>
      <w:proofErr w:type="gramStart"/>
      <w:r w:rsidR="42065AB9" w:rsidRPr="360D5D79">
        <w:rPr>
          <w:rFonts w:ascii="Times New Roman" w:eastAsia="Times New Roman" w:hAnsi="Times New Roman" w:cs="Times New Roman"/>
          <w:color w:val="0070C0"/>
          <w:sz w:val="24"/>
          <w:szCs w:val="24"/>
        </w:rPr>
        <w:t xml:space="preserve">can also </w:t>
      </w:r>
      <w:r w:rsidR="7A4536B0" w:rsidRPr="360D5D79">
        <w:rPr>
          <w:rFonts w:ascii="Times New Roman" w:eastAsia="Times New Roman" w:hAnsi="Times New Roman" w:cs="Times New Roman"/>
          <w:color w:val="0070C0"/>
          <w:sz w:val="24"/>
          <w:szCs w:val="24"/>
        </w:rPr>
        <w:t>be found</w:t>
      </w:r>
      <w:proofErr w:type="gramEnd"/>
      <w:r w:rsidR="7A4536B0" w:rsidRPr="360D5D79">
        <w:rPr>
          <w:rFonts w:ascii="Times New Roman" w:eastAsia="Times New Roman" w:hAnsi="Times New Roman" w:cs="Times New Roman"/>
          <w:color w:val="0070C0"/>
          <w:sz w:val="24"/>
          <w:szCs w:val="24"/>
        </w:rPr>
        <w:t xml:space="preserve"> in the link to additional information in SAMS Domestic</w:t>
      </w:r>
      <w:r w:rsidR="608DF897" w:rsidRPr="360D5D79">
        <w:rPr>
          <w:rFonts w:ascii="Times New Roman" w:eastAsia="Times New Roman" w:hAnsi="Times New Roman" w:cs="Times New Roman"/>
          <w:color w:val="0070C0"/>
          <w:sz w:val="24"/>
          <w:szCs w:val="24"/>
        </w:rPr>
        <w:t>.</w:t>
      </w:r>
    </w:p>
    <w:tbl>
      <w:tblPr>
        <w:tblStyle w:val="TableGrid"/>
        <w:tblW w:w="0" w:type="auto"/>
        <w:tblLayout w:type="fixed"/>
        <w:tblLook w:val="06A0" w:firstRow="1" w:lastRow="0" w:firstColumn="1" w:lastColumn="0" w:noHBand="1" w:noVBand="1"/>
      </w:tblPr>
      <w:tblGrid>
        <w:gridCol w:w="4680"/>
        <w:gridCol w:w="4680"/>
      </w:tblGrid>
      <w:tr w:rsidR="360D5D79" w14:paraId="14ED639E" w14:textId="77777777" w:rsidTr="360D5D79">
        <w:tc>
          <w:tcPr>
            <w:tcW w:w="4680" w:type="dxa"/>
          </w:tcPr>
          <w:p w14:paraId="54D31981" w14:textId="43BECC01" w:rsidR="360D5D79" w:rsidRDefault="360D5D79" w:rsidP="360D5D79">
            <w:pPr>
              <w:jc w:val="right"/>
            </w:pPr>
            <w:r w:rsidRPr="360D5D79">
              <w:rPr>
                <w:rFonts w:ascii="Arial" w:eastAsia="Arial" w:hAnsi="Arial" w:cs="Arial"/>
                <w:b/>
                <w:bCs/>
                <w:color w:val="333333"/>
              </w:rPr>
              <w:t>Link to Additional Information:</w:t>
            </w:r>
          </w:p>
        </w:tc>
        <w:tc>
          <w:tcPr>
            <w:tcW w:w="4680" w:type="dxa"/>
          </w:tcPr>
          <w:p w14:paraId="584A508B" w14:textId="15C5F870" w:rsidR="360D5D79" w:rsidRDefault="00C93903" w:rsidP="360D5D79">
            <w:pPr>
              <w:rPr>
                <w:rFonts w:ascii="Arial" w:eastAsia="Arial" w:hAnsi="Arial" w:cs="Arial"/>
                <w:color w:val="363636"/>
              </w:rPr>
            </w:pPr>
            <w:hyperlink r:id="rId7">
              <w:r w:rsidR="360D5D79" w:rsidRPr="360D5D79">
                <w:rPr>
                  <w:rStyle w:val="Hyperlink"/>
                  <w:rFonts w:ascii="Arial" w:eastAsia="Arial" w:hAnsi="Arial" w:cs="Arial"/>
                  <w:color w:val="0000CC"/>
                </w:rPr>
                <w:t>Link to Opportunity in SAMS Domestic</w:t>
              </w:r>
            </w:hyperlink>
          </w:p>
        </w:tc>
      </w:tr>
    </w:tbl>
    <w:p w14:paraId="0E8CD165" w14:textId="0C8904C3" w:rsidR="78FEB379" w:rsidRDefault="78FEB379" w:rsidP="360D5D79">
      <w:pPr>
        <w:spacing w:after="0" w:line="240" w:lineRule="auto"/>
        <w:rPr>
          <w:rFonts w:ascii="Times New Roman" w:eastAsia="Times New Roman" w:hAnsi="Times New Roman" w:cs="Times New Roman"/>
          <w:b/>
          <w:bCs/>
          <w:sz w:val="24"/>
          <w:szCs w:val="24"/>
        </w:rPr>
      </w:pPr>
    </w:p>
    <w:p w14:paraId="27815E2E" w14:textId="540111F9" w:rsidR="78FEB379" w:rsidRDefault="78FEB379"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Q2.</w:t>
      </w:r>
      <w:r w:rsidRPr="360D5D79">
        <w:rPr>
          <w:rFonts w:ascii="Times New Roman" w:eastAsia="Times New Roman" w:hAnsi="Times New Roman" w:cs="Times New Roman"/>
          <w:sz w:val="24"/>
          <w:szCs w:val="24"/>
        </w:rPr>
        <w:t xml:space="preserve">  Relevant to objective 2, “Build the capacity of education and health professionals to respond to GBV issues and implement awareness-raising at the municipal level”, does WHA already have existing relationships with education/health professionals, or is it expected the performing organization will carry out this outreach to secure education/health participants?</w:t>
      </w:r>
    </w:p>
    <w:p w14:paraId="60772B42" w14:textId="6CA6CC60" w:rsidR="360D5D79" w:rsidRDefault="360D5D79" w:rsidP="360D5D79">
      <w:pPr>
        <w:spacing w:after="0" w:line="240" w:lineRule="auto"/>
        <w:rPr>
          <w:rFonts w:ascii="Times New Roman" w:eastAsia="Times New Roman" w:hAnsi="Times New Roman" w:cs="Times New Roman"/>
          <w:b/>
          <w:bCs/>
          <w:color w:val="0070C0"/>
          <w:sz w:val="24"/>
          <w:szCs w:val="24"/>
        </w:rPr>
      </w:pPr>
    </w:p>
    <w:p w14:paraId="599CC47C" w14:textId="07AAE1EE" w:rsidR="0ED4883A" w:rsidRDefault="0ED4883A" w:rsidP="360D5D79">
      <w:pPr>
        <w:spacing w:after="0" w:line="240" w:lineRule="auto"/>
        <w:rPr>
          <w:rFonts w:ascii="Times New Roman" w:eastAsia="Times New Roman" w:hAnsi="Times New Roman" w:cs="Times New Roman"/>
          <w:b/>
          <w:bCs/>
          <w:sz w:val="24"/>
          <w:szCs w:val="24"/>
        </w:rPr>
      </w:pPr>
      <w:r w:rsidRPr="360D5D79">
        <w:rPr>
          <w:rFonts w:ascii="Times New Roman" w:eastAsia="Times New Roman" w:hAnsi="Times New Roman" w:cs="Times New Roman"/>
          <w:b/>
          <w:bCs/>
          <w:color w:val="0070C0"/>
          <w:sz w:val="24"/>
          <w:szCs w:val="24"/>
        </w:rPr>
        <w:t>A2.</w:t>
      </w:r>
      <w:r w:rsidRPr="360D5D79">
        <w:rPr>
          <w:rFonts w:ascii="Times New Roman" w:eastAsia="Times New Roman" w:hAnsi="Times New Roman" w:cs="Times New Roman"/>
          <w:b/>
          <w:bCs/>
          <w:sz w:val="24"/>
          <w:szCs w:val="24"/>
        </w:rPr>
        <w:t xml:space="preserve"> </w:t>
      </w:r>
      <w:r w:rsidRPr="360D5D79">
        <w:rPr>
          <w:rFonts w:ascii="Times New Roman" w:eastAsia="Times New Roman" w:hAnsi="Times New Roman" w:cs="Times New Roman"/>
          <w:color w:val="0070C0"/>
          <w:sz w:val="24"/>
          <w:szCs w:val="24"/>
        </w:rPr>
        <w:t xml:space="preserve">The organization </w:t>
      </w:r>
      <w:proofErr w:type="gramStart"/>
      <w:r w:rsidRPr="360D5D79">
        <w:rPr>
          <w:rFonts w:ascii="Times New Roman" w:eastAsia="Times New Roman" w:hAnsi="Times New Roman" w:cs="Times New Roman"/>
          <w:color w:val="0070C0"/>
          <w:sz w:val="24"/>
          <w:szCs w:val="24"/>
        </w:rPr>
        <w:t>is expected</w:t>
      </w:r>
      <w:proofErr w:type="gramEnd"/>
      <w:r w:rsidRPr="360D5D79">
        <w:rPr>
          <w:rFonts w:ascii="Times New Roman" w:eastAsia="Times New Roman" w:hAnsi="Times New Roman" w:cs="Times New Roman"/>
          <w:color w:val="0070C0"/>
          <w:sz w:val="24"/>
          <w:szCs w:val="24"/>
        </w:rPr>
        <w:t xml:space="preserve"> to carry out this outreach. The U.S. embassy may </w:t>
      </w:r>
      <w:r w:rsidR="221291B1" w:rsidRPr="360D5D79">
        <w:rPr>
          <w:rFonts w:ascii="Times New Roman" w:eastAsia="Times New Roman" w:hAnsi="Times New Roman" w:cs="Times New Roman"/>
          <w:color w:val="0070C0"/>
          <w:sz w:val="24"/>
          <w:szCs w:val="24"/>
        </w:rPr>
        <w:t>provide</w:t>
      </w:r>
      <w:r w:rsidRPr="360D5D79">
        <w:rPr>
          <w:rFonts w:ascii="Times New Roman" w:eastAsia="Times New Roman" w:hAnsi="Times New Roman" w:cs="Times New Roman"/>
          <w:color w:val="0070C0"/>
          <w:sz w:val="24"/>
          <w:szCs w:val="24"/>
        </w:rPr>
        <w:t xml:space="preserve"> support</w:t>
      </w:r>
      <w:r w:rsidR="2010A39C" w:rsidRPr="360D5D79">
        <w:rPr>
          <w:rFonts w:ascii="Times New Roman" w:eastAsia="Times New Roman" w:hAnsi="Times New Roman" w:cs="Times New Roman"/>
          <w:sz w:val="24"/>
          <w:szCs w:val="24"/>
        </w:rPr>
        <w:t>.</w:t>
      </w:r>
    </w:p>
    <w:p w14:paraId="53DA9B44" w14:textId="1F86370B" w:rsidR="360D5D79" w:rsidRDefault="360D5D79" w:rsidP="360D5D79">
      <w:pPr>
        <w:spacing w:after="0" w:line="240" w:lineRule="auto"/>
        <w:rPr>
          <w:rFonts w:ascii="Times New Roman" w:eastAsia="Times New Roman" w:hAnsi="Times New Roman" w:cs="Times New Roman"/>
          <w:b/>
          <w:bCs/>
          <w:sz w:val="24"/>
          <w:szCs w:val="24"/>
        </w:rPr>
      </w:pPr>
    </w:p>
    <w:p w14:paraId="0769F08F" w14:textId="01B36056" w:rsidR="78FEB379" w:rsidRDefault="78FEB379"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Q3.</w:t>
      </w:r>
      <w:r w:rsidRPr="360D5D79">
        <w:rPr>
          <w:rFonts w:ascii="Times New Roman" w:eastAsia="Times New Roman" w:hAnsi="Times New Roman" w:cs="Times New Roman"/>
          <w:sz w:val="24"/>
          <w:szCs w:val="24"/>
        </w:rPr>
        <w:t xml:space="preserve">  Is there a number of target municipalities WHA expects the performing organization will benefit?</w:t>
      </w:r>
      <w:r w:rsidR="252A9AE2" w:rsidRPr="360D5D79">
        <w:rPr>
          <w:rFonts w:ascii="Times New Roman" w:eastAsia="Times New Roman" w:hAnsi="Times New Roman" w:cs="Times New Roman"/>
          <w:sz w:val="24"/>
          <w:szCs w:val="24"/>
        </w:rPr>
        <w:t xml:space="preserve"> </w:t>
      </w:r>
    </w:p>
    <w:p w14:paraId="7B6DD15B" w14:textId="22228904" w:rsidR="360D5D79" w:rsidRDefault="360D5D79" w:rsidP="360D5D79">
      <w:pPr>
        <w:spacing w:after="0" w:line="240" w:lineRule="auto"/>
        <w:rPr>
          <w:rFonts w:ascii="Times New Roman" w:eastAsia="Times New Roman" w:hAnsi="Times New Roman" w:cs="Times New Roman"/>
          <w:b/>
          <w:bCs/>
          <w:color w:val="0070C0"/>
          <w:sz w:val="24"/>
          <w:szCs w:val="24"/>
        </w:rPr>
      </w:pPr>
    </w:p>
    <w:p w14:paraId="5AF2890C" w14:textId="7B099B4D" w:rsidR="23F5BCBF" w:rsidRDefault="23F5BCBF"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w:t>
      </w:r>
      <w:r w:rsidR="3BF73EF2" w:rsidRPr="360D5D79">
        <w:rPr>
          <w:rFonts w:ascii="Times New Roman" w:eastAsia="Times New Roman" w:hAnsi="Times New Roman" w:cs="Times New Roman"/>
          <w:b/>
          <w:bCs/>
          <w:color w:val="0070C0"/>
          <w:sz w:val="24"/>
          <w:szCs w:val="24"/>
        </w:rPr>
        <w:t>3</w:t>
      </w:r>
      <w:r w:rsidRPr="360D5D79">
        <w:rPr>
          <w:rFonts w:ascii="Times New Roman" w:eastAsia="Times New Roman" w:hAnsi="Times New Roman" w:cs="Times New Roman"/>
          <w:b/>
          <w:bCs/>
          <w:color w:val="0070C0"/>
          <w:sz w:val="24"/>
          <w:szCs w:val="24"/>
        </w:rPr>
        <w:t>.</w:t>
      </w:r>
      <w:r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color w:val="0070C0"/>
          <w:sz w:val="24"/>
          <w:szCs w:val="24"/>
        </w:rPr>
        <w:t xml:space="preserve">As stated in the NOFO, proposals may undertake activities in one or more ‘pilot’ municipalities to establish a successful “proof of concept” in addressing GBV at the community level. Proposals will be evaluated based </w:t>
      </w:r>
      <w:r w:rsidR="4D0007DD" w:rsidRPr="360D5D79">
        <w:rPr>
          <w:rFonts w:ascii="Times New Roman" w:eastAsia="Times New Roman" w:hAnsi="Times New Roman" w:cs="Times New Roman"/>
          <w:color w:val="0070C0"/>
          <w:sz w:val="24"/>
          <w:szCs w:val="24"/>
        </w:rPr>
        <w:t xml:space="preserve">on </w:t>
      </w:r>
      <w:proofErr w:type="gramStart"/>
      <w:r w:rsidR="4D0007DD" w:rsidRPr="360D5D79">
        <w:rPr>
          <w:rFonts w:ascii="Times New Roman" w:eastAsia="Times New Roman" w:hAnsi="Times New Roman" w:cs="Times New Roman"/>
          <w:color w:val="0070C0"/>
          <w:sz w:val="24"/>
          <w:szCs w:val="24"/>
        </w:rPr>
        <w:t>this criteria</w:t>
      </w:r>
      <w:proofErr w:type="gramEnd"/>
      <w:r w:rsidR="4D0007DD" w:rsidRPr="360D5D79">
        <w:rPr>
          <w:rFonts w:ascii="Times New Roman" w:eastAsia="Times New Roman" w:hAnsi="Times New Roman" w:cs="Times New Roman"/>
          <w:color w:val="0070C0"/>
          <w:sz w:val="24"/>
          <w:szCs w:val="24"/>
        </w:rPr>
        <w:t xml:space="preserve">. </w:t>
      </w:r>
    </w:p>
    <w:p w14:paraId="68566242" w14:textId="462A6EEA" w:rsidR="360D5D79" w:rsidRDefault="360D5D79" w:rsidP="360D5D79">
      <w:pPr>
        <w:spacing w:after="0" w:line="240" w:lineRule="auto"/>
        <w:rPr>
          <w:rFonts w:ascii="Times New Roman" w:eastAsia="Times New Roman" w:hAnsi="Times New Roman" w:cs="Times New Roman"/>
          <w:b/>
          <w:bCs/>
          <w:sz w:val="24"/>
          <w:szCs w:val="24"/>
        </w:rPr>
      </w:pPr>
    </w:p>
    <w:p w14:paraId="6068DC50" w14:textId="410A799C" w:rsidR="0F188E7B" w:rsidRDefault="0F188E7B" w:rsidP="360D5D79">
      <w:pPr>
        <w:spacing w:after="0" w:line="240" w:lineRule="auto"/>
      </w:pPr>
      <w:r w:rsidRPr="360D5D79">
        <w:rPr>
          <w:rFonts w:ascii="Times New Roman" w:eastAsia="Times New Roman" w:hAnsi="Times New Roman" w:cs="Times New Roman"/>
          <w:b/>
          <w:bCs/>
          <w:sz w:val="24"/>
          <w:szCs w:val="24"/>
        </w:rPr>
        <w:t>Q4.</w:t>
      </w:r>
      <w:r w:rsidRPr="360D5D79">
        <w:rPr>
          <w:rFonts w:ascii="Times New Roman" w:eastAsia="Times New Roman" w:hAnsi="Times New Roman" w:cs="Times New Roman"/>
          <w:sz w:val="24"/>
          <w:szCs w:val="24"/>
        </w:rPr>
        <w:t xml:space="preserve">  We are unable to locate the </w:t>
      </w:r>
      <w:proofErr w:type="gramStart"/>
      <w:r w:rsidRPr="360D5D79">
        <w:rPr>
          <w:rFonts w:ascii="Times New Roman" w:eastAsia="Times New Roman" w:hAnsi="Times New Roman" w:cs="Times New Roman"/>
          <w:sz w:val="24"/>
          <w:szCs w:val="24"/>
        </w:rPr>
        <w:t>sample risk assessment template</w:t>
      </w:r>
      <w:proofErr w:type="gramEnd"/>
      <w:r w:rsidRPr="360D5D79">
        <w:rPr>
          <w:rFonts w:ascii="Times New Roman" w:eastAsia="Times New Roman" w:hAnsi="Times New Roman" w:cs="Times New Roman"/>
          <w:sz w:val="24"/>
          <w:szCs w:val="24"/>
        </w:rPr>
        <w:t xml:space="preserve"> and the guidance for the gender analysis for which we are referred to Tabs D and C respectively of the PSI document.</w:t>
      </w:r>
    </w:p>
    <w:p w14:paraId="674AE648" w14:textId="08D1B1C1" w:rsidR="0F188E7B" w:rsidRDefault="0F188E7B" w:rsidP="360D5D79">
      <w:pPr>
        <w:spacing w:after="0" w:line="240" w:lineRule="auto"/>
        <w:rPr>
          <w:rFonts w:ascii="Times New Roman" w:eastAsia="Times New Roman" w:hAnsi="Times New Roman" w:cs="Times New Roman"/>
          <w:b/>
          <w:bCs/>
          <w:color w:val="0070C0"/>
          <w:sz w:val="24"/>
          <w:szCs w:val="24"/>
        </w:rPr>
      </w:pPr>
    </w:p>
    <w:p w14:paraId="59DA282F" w14:textId="7195EA5D" w:rsidR="0F188E7B" w:rsidRDefault="19FAAF21"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 xml:space="preserve">A4. </w:t>
      </w:r>
      <w:r w:rsidRPr="360D5D79">
        <w:rPr>
          <w:rFonts w:ascii="Times New Roman" w:eastAsia="Times New Roman" w:hAnsi="Times New Roman" w:cs="Times New Roman"/>
          <w:color w:val="0070C0"/>
          <w:sz w:val="24"/>
          <w:szCs w:val="24"/>
        </w:rPr>
        <w:t>The updated PSI document including Tab D</w:t>
      </w:r>
      <w:r w:rsidR="1F36FED3" w:rsidRPr="360D5D79">
        <w:rPr>
          <w:rFonts w:ascii="Times New Roman" w:eastAsia="Times New Roman" w:hAnsi="Times New Roman" w:cs="Times New Roman"/>
          <w:color w:val="0070C0"/>
          <w:sz w:val="24"/>
          <w:szCs w:val="24"/>
        </w:rPr>
        <w:t xml:space="preserve"> and C</w:t>
      </w:r>
      <w:r w:rsidRPr="360D5D79">
        <w:rPr>
          <w:rFonts w:ascii="Times New Roman" w:eastAsia="Times New Roman" w:hAnsi="Times New Roman" w:cs="Times New Roman"/>
          <w:color w:val="0070C0"/>
          <w:sz w:val="24"/>
          <w:szCs w:val="24"/>
        </w:rPr>
        <w:t xml:space="preserve"> is now active on grants.gov. The PSI document </w:t>
      </w:r>
      <w:proofErr w:type="gramStart"/>
      <w:r w:rsidRPr="360D5D79">
        <w:rPr>
          <w:rFonts w:ascii="Times New Roman" w:eastAsia="Times New Roman" w:hAnsi="Times New Roman" w:cs="Times New Roman"/>
          <w:color w:val="0070C0"/>
          <w:sz w:val="24"/>
          <w:szCs w:val="24"/>
        </w:rPr>
        <w:t>can also be found</w:t>
      </w:r>
      <w:proofErr w:type="gramEnd"/>
      <w:r w:rsidRPr="360D5D79">
        <w:rPr>
          <w:rFonts w:ascii="Times New Roman" w:eastAsia="Times New Roman" w:hAnsi="Times New Roman" w:cs="Times New Roman"/>
          <w:color w:val="0070C0"/>
          <w:sz w:val="24"/>
          <w:szCs w:val="24"/>
        </w:rPr>
        <w:t xml:space="preserve"> in the link to additional information in SAMS Domestic.</w:t>
      </w:r>
    </w:p>
    <w:tbl>
      <w:tblPr>
        <w:tblStyle w:val="TableGrid"/>
        <w:tblW w:w="0" w:type="auto"/>
        <w:tblLayout w:type="fixed"/>
        <w:tblLook w:val="06A0" w:firstRow="1" w:lastRow="0" w:firstColumn="1" w:lastColumn="0" w:noHBand="1" w:noVBand="1"/>
      </w:tblPr>
      <w:tblGrid>
        <w:gridCol w:w="4680"/>
        <w:gridCol w:w="4680"/>
      </w:tblGrid>
      <w:tr w:rsidR="360D5D79" w14:paraId="1DF8EA27" w14:textId="77777777" w:rsidTr="360D5D79">
        <w:tc>
          <w:tcPr>
            <w:tcW w:w="4680" w:type="dxa"/>
          </w:tcPr>
          <w:p w14:paraId="530C89E9" w14:textId="43BECC01" w:rsidR="360D5D79" w:rsidRDefault="360D5D79" w:rsidP="360D5D79">
            <w:pPr>
              <w:jc w:val="right"/>
            </w:pPr>
            <w:r w:rsidRPr="360D5D79">
              <w:rPr>
                <w:rFonts w:ascii="Arial" w:eastAsia="Arial" w:hAnsi="Arial" w:cs="Arial"/>
                <w:b/>
                <w:bCs/>
                <w:color w:val="333333"/>
              </w:rPr>
              <w:t>Link to Additional Information:</w:t>
            </w:r>
          </w:p>
        </w:tc>
        <w:tc>
          <w:tcPr>
            <w:tcW w:w="4680" w:type="dxa"/>
          </w:tcPr>
          <w:p w14:paraId="457E3891" w14:textId="15C5F870" w:rsidR="360D5D79" w:rsidRDefault="00C93903" w:rsidP="360D5D79">
            <w:pPr>
              <w:rPr>
                <w:rFonts w:ascii="Arial" w:eastAsia="Arial" w:hAnsi="Arial" w:cs="Arial"/>
                <w:color w:val="363636"/>
              </w:rPr>
            </w:pPr>
            <w:hyperlink r:id="rId8">
              <w:r w:rsidR="360D5D79" w:rsidRPr="360D5D79">
                <w:rPr>
                  <w:rStyle w:val="Hyperlink"/>
                  <w:rFonts w:ascii="Arial" w:eastAsia="Arial" w:hAnsi="Arial" w:cs="Arial"/>
                  <w:color w:val="0000CC"/>
                </w:rPr>
                <w:t>Link to Opportunity in SAMS Domestic</w:t>
              </w:r>
            </w:hyperlink>
          </w:p>
        </w:tc>
      </w:tr>
    </w:tbl>
    <w:p w14:paraId="426A10AB" w14:textId="5E8CD790" w:rsidR="0F188E7B" w:rsidRDefault="0F188E7B" w:rsidP="360D5D79">
      <w:pPr>
        <w:spacing w:after="0" w:line="240" w:lineRule="auto"/>
        <w:rPr>
          <w:rFonts w:ascii="Times New Roman" w:eastAsia="Times New Roman" w:hAnsi="Times New Roman" w:cs="Times New Roman"/>
          <w:b/>
          <w:bCs/>
          <w:sz w:val="24"/>
          <w:szCs w:val="24"/>
        </w:rPr>
      </w:pPr>
    </w:p>
    <w:p w14:paraId="266855AF" w14:textId="631D318B" w:rsidR="0F188E7B" w:rsidRDefault="0F188E7B"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Q5.</w:t>
      </w:r>
      <w:r w:rsidRPr="360D5D79">
        <w:rPr>
          <w:rFonts w:ascii="Times New Roman" w:eastAsia="Times New Roman" w:hAnsi="Times New Roman" w:cs="Times New Roman"/>
          <w:sz w:val="24"/>
          <w:szCs w:val="24"/>
        </w:rPr>
        <w:t xml:space="preserve">  Could you kindly confirm that the PMP framework should include the elements of the results/logic framework and that the logical framework is not required as a separate attachment in addition to the PMP?</w:t>
      </w:r>
    </w:p>
    <w:p w14:paraId="26B5115D" w14:textId="05F3666F" w:rsidR="360D5D79" w:rsidRDefault="360D5D79" w:rsidP="360D5D79">
      <w:pPr>
        <w:spacing w:after="0" w:line="240" w:lineRule="auto"/>
        <w:rPr>
          <w:rFonts w:ascii="Times New Roman" w:eastAsia="Times New Roman" w:hAnsi="Times New Roman" w:cs="Times New Roman"/>
          <w:b/>
          <w:bCs/>
          <w:color w:val="0070C0"/>
          <w:sz w:val="24"/>
          <w:szCs w:val="24"/>
        </w:rPr>
      </w:pPr>
    </w:p>
    <w:p w14:paraId="1F956B5E" w14:textId="0FE513EB" w:rsidR="5726D3EB" w:rsidRDefault="5726D3EB"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t xml:space="preserve">A5. </w:t>
      </w:r>
      <w:r w:rsidRPr="360D5D79">
        <w:rPr>
          <w:rFonts w:ascii="Times New Roman" w:eastAsia="Times New Roman" w:hAnsi="Times New Roman" w:cs="Times New Roman"/>
          <w:color w:val="0070C0"/>
          <w:sz w:val="24"/>
          <w:szCs w:val="24"/>
        </w:rPr>
        <w:t>The PMP should include</w:t>
      </w:r>
      <w:r w:rsidR="73679E42" w:rsidRPr="360D5D79">
        <w:rPr>
          <w:rFonts w:ascii="Times New Roman" w:eastAsia="Times New Roman" w:hAnsi="Times New Roman" w:cs="Times New Roman"/>
          <w:color w:val="0070C0"/>
          <w:sz w:val="24"/>
          <w:szCs w:val="24"/>
        </w:rPr>
        <w:t xml:space="preserve"> the results/logic framework as part of the PMP. In addition to the narrative, the applicant should provide the Results/Logic Framework as a separate mandatory attachment organized by project objectives, in addition to output- and outcome-based </w:t>
      </w:r>
      <w:r w:rsidR="73679E42" w:rsidRPr="360D5D79">
        <w:rPr>
          <w:rFonts w:ascii="Times New Roman" w:eastAsia="Times New Roman" w:hAnsi="Times New Roman" w:cs="Times New Roman"/>
          <w:color w:val="0070C0"/>
          <w:sz w:val="24"/>
          <w:szCs w:val="24"/>
        </w:rPr>
        <w:lastRenderedPageBreak/>
        <w:t>performance indicators with baselines (if available) and quarterly and cumulative targets. The framework will include data collection tools, data sources, types of data disaggregation, if applicable, and frequency of data collection.</w:t>
      </w:r>
    </w:p>
    <w:p w14:paraId="02CB26A4" w14:textId="690B28F6" w:rsidR="360D5D79" w:rsidRDefault="360D5D79" w:rsidP="360D5D79">
      <w:pPr>
        <w:spacing w:after="0" w:line="240" w:lineRule="auto"/>
        <w:rPr>
          <w:rFonts w:ascii="Times New Roman" w:eastAsia="Times New Roman" w:hAnsi="Times New Roman" w:cs="Times New Roman"/>
          <w:color w:val="0070C0"/>
          <w:sz w:val="24"/>
          <w:szCs w:val="24"/>
        </w:rPr>
      </w:pPr>
    </w:p>
    <w:p w14:paraId="7067F45A" w14:textId="1D95E59A" w:rsidR="5D56BEAD" w:rsidRDefault="5D56BEAD"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color w:val="0070C0"/>
          <w:sz w:val="24"/>
          <w:szCs w:val="24"/>
        </w:rPr>
        <w:t xml:space="preserve">A sample </w:t>
      </w:r>
      <w:r w:rsidR="7B270D83" w:rsidRPr="360D5D79">
        <w:rPr>
          <w:rFonts w:ascii="Times New Roman" w:eastAsia="Times New Roman" w:hAnsi="Times New Roman" w:cs="Times New Roman"/>
          <w:color w:val="0070C0"/>
          <w:sz w:val="24"/>
          <w:szCs w:val="24"/>
        </w:rPr>
        <w:t>results/</w:t>
      </w:r>
      <w:r w:rsidRPr="360D5D79">
        <w:rPr>
          <w:rFonts w:ascii="Times New Roman" w:eastAsia="Times New Roman" w:hAnsi="Times New Roman" w:cs="Times New Roman"/>
          <w:color w:val="0070C0"/>
          <w:sz w:val="24"/>
          <w:szCs w:val="24"/>
        </w:rPr>
        <w:t xml:space="preserve">logic framework </w:t>
      </w:r>
      <w:proofErr w:type="gramStart"/>
      <w:r w:rsidRPr="360D5D79">
        <w:rPr>
          <w:rFonts w:ascii="Times New Roman" w:eastAsia="Times New Roman" w:hAnsi="Times New Roman" w:cs="Times New Roman"/>
          <w:color w:val="0070C0"/>
          <w:sz w:val="24"/>
          <w:szCs w:val="24"/>
        </w:rPr>
        <w:t xml:space="preserve">can </w:t>
      </w:r>
      <w:r w:rsidR="198F0EC2" w:rsidRPr="360D5D79">
        <w:rPr>
          <w:rFonts w:ascii="Times New Roman" w:eastAsia="Times New Roman" w:hAnsi="Times New Roman" w:cs="Times New Roman"/>
          <w:color w:val="0070C0"/>
          <w:sz w:val="24"/>
          <w:szCs w:val="24"/>
        </w:rPr>
        <w:t>be found</w:t>
      </w:r>
      <w:proofErr w:type="gramEnd"/>
      <w:r w:rsidR="198F0EC2" w:rsidRPr="360D5D79">
        <w:rPr>
          <w:rFonts w:ascii="Times New Roman" w:eastAsia="Times New Roman" w:hAnsi="Times New Roman" w:cs="Times New Roman"/>
          <w:color w:val="0070C0"/>
          <w:sz w:val="24"/>
          <w:szCs w:val="24"/>
        </w:rPr>
        <w:t xml:space="preserve"> in the PSI document at grants.gov</w:t>
      </w:r>
      <w:r w:rsidR="198F0EC2" w:rsidRPr="360D5D79">
        <w:rPr>
          <w:rFonts w:ascii="Times New Roman" w:eastAsia="Times New Roman" w:hAnsi="Times New Roman" w:cs="Times New Roman"/>
          <w:sz w:val="24"/>
          <w:szCs w:val="24"/>
        </w:rPr>
        <w:t>.</w:t>
      </w:r>
    </w:p>
    <w:p w14:paraId="769E198C" w14:textId="3FFF2B48" w:rsidR="360D5D79" w:rsidRDefault="360D5D79" w:rsidP="360D5D79">
      <w:pPr>
        <w:spacing w:after="0" w:line="240" w:lineRule="auto"/>
        <w:rPr>
          <w:rFonts w:ascii="Times New Roman" w:eastAsia="Times New Roman" w:hAnsi="Times New Roman" w:cs="Times New Roman"/>
          <w:b/>
          <w:bCs/>
          <w:sz w:val="24"/>
          <w:szCs w:val="24"/>
        </w:rPr>
      </w:pPr>
    </w:p>
    <w:p w14:paraId="6178012A" w14:textId="6FFA27BA" w:rsidR="471AE736" w:rsidRDefault="471AE736"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Q6.</w:t>
      </w:r>
      <w:r w:rsidRPr="360D5D79">
        <w:rPr>
          <w:rFonts w:ascii="Times New Roman" w:eastAsia="Times New Roman" w:hAnsi="Times New Roman" w:cs="Times New Roman"/>
          <w:sz w:val="24"/>
          <w:szCs w:val="24"/>
        </w:rPr>
        <w:t xml:space="preserve">  Among the required output indicators are, “Number of people reached by a USG-funded intervention providing GBV services” and “Number of people who benefit from US-funded support to GBV survivors”. However, the NOFO states that, “The project will not provide direct funding for [survivor support] services, but rather enhance the abilities of CSOs and schools to do so”. Is it the intent of DOS to include in this indicator the number of people who </w:t>
      </w:r>
      <w:proofErr w:type="gramStart"/>
      <w:r w:rsidRPr="360D5D79">
        <w:rPr>
          <w:rFonts w:ascii="Times New Roman" w:eastAsia="Times New Roman" w:hAnsi="Times New Roman" w:cs="Times New Roman"/>
          <w:sz w:val="24"/>
          <w:szCs w:val="24"/>
        </w:rPr>
        <w:t>are reached</w:t>
      </w:r>
      <w:proofErr w:type="gramEnd"/>
      <w:r w:rsidRPr="360D5D79">
        <w:rPr>
          <w:rFonts w:ascii="Times New Roman" w:eastAsia="Times New Roman" w:hAnsi="Times New Roman" w:cs="Times New Roman"/>
          <w:sz w:val="24"/>
          <w:szCs w:val="24"/>
        </w:rPr>
        <w:t xml:space="preserve"> by or benefit from services provided by CSOs, even though these services are not directly funded by the project?</w:t>
      </w:r>
    </w:p>
    <w:p w14:paraId="364237A4" w14:textId="5C380C0C" w:rsidR="360D5D79" w:rsidRDefault="360D5D79" w:rsidP="360D5D79">
      <w:pPr>
        <w:spacing w:after="0" w:line="240" w:lineRule="auto"/>
        <w:rPr>
          <w:rFonts w:ascii="Times New Roman" w:eastAsia="Times New Roman" w:hAnsi="Times New Roman" w:cs="Times New Roman"/>
          <w:b/>
          <w:bCs/>
          <w:color w:val="0070C0"/>
          <w:sz w:val="24"/>
          <w:szCs w:val="24"/>
        </w:rPr>
      </w:pPr>
    </w:p>
    <w:p w14:paraId="7556324B" w14:textId="6B41C363" w:rsidR="47A75998" w:rsidRDefault="47A75998"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w:t>
      </w:r>
      <w:r w:rsidR="03EBEC2C" w:rsidRPr="360D5D79">
        <w:rPr>
          <w:rFonts w:ascii="Times New Roman" w:eastAsia="Times New Roman" w:hAnsi="Times New Roman" w:cs="Times New Roman"/>
          <w:b/>
          <w:bCs/>
          <w:color w:val="0070C0"/>
          <w:sz w:val="24"/>
          <w:szCs w:val="24"/>
        </w:rPr>
        <w:t>6</w:t>
      </w:r>
      <w:r w:rsidRPr="360D5D79">
        <w:rPr>
          <w:rFonts w:ascii="Times New Roman" w:eastAsia="Times New Roman" w:hAnsi="Times New Roman" w:cs="Times New Roman"/>
          <w:b/>
          <w:bCs/>
          <w:color w:val="0070C0"/>
          <w:sz w:val="24"/>
          <w:szCs w:val="24"/>
        </w:rPr>
        <w:t>.</w:t>
      </w:r>
      <w:r w:rsidRPr="360D5D79">
        <w:rPr>
          <w:rFonts w:ascii="Times New Roman" w:eastAsia="Times New Roman" w:hAnsi="Times New Roman" w:cs="Times New Roman"/>
          <w:sz w:val="24"/>
          <w:szCs w:val="24"/>
        </w:rPr>
        <w:t xml:space="preserve"> </w:t>
      </w:r>
      <w:r w:rsidR="1A6FDD15" w:rsidRPr="360D5D79">
        <w:rPr>
          <w:rFonts w:ascii="Times New Roman" w:eastAsia="Times New Roman" w:hAnsi="Times New Roman" w:cs="Times New Roman"/>
          <w:color w:val="0070C0"/>
          <w:sz w:val="24"/>
          <w:szCs w:val="24"/>
        </w:rPr>
        <w:t xml:space="preserve">GBV survivor support-service providers </w:t>
      </w:r>
      <w:proofErr w:type="gramStart"/>
      <w:r w:rsidR="1A6FDD15" w:rsidRPr="360D5D79">
        <w:rPr>
          <w:rFonts w:ascii="Times New Roman" w:eastAsia="Times New Roman" w:hAnsi="Times New Roman" w:cs="Times New Roman"/>
          <w:color w:val="0070C0"/>
          <w:sz w:val="24"/>
          <w:szCs w:val="24"/>
        </w:rPr>
        <w:t>are expected to have increased capacity in delivering support services to GBV survivors and contributed to addressing the root causes of GBV through sensitization training in the treated pilot communities</w:t>
      </w:r>
      <w:proofErr w:type="gramEnd"/>
      <w:r w:rsidR="1A6FDD15" w:rsidRPr="360D5D79">
        <w:rPr>
          <w:rFonts w:ascii="Times New Roman" w:eastAsia="Times New Roman" w:hAnsi="Times New Roman" w:cs="Times New Roman"/>
          <w:color w:val="0070C0"/>
          <w:sz w:val="24"/>
          <w:szCs w:val="24"/>
        </w:rPr>
        <w:t>.</w:t>
      </w:r>
      <w:r w:rsidRPr="360D5D79">
        <w:rPr>
          <w:rFonts w:ascii="Times New Roman" w:eastAsia="Times New Roman" w:hAnsi="Times New Roman" w:cs="Times New Roman"/>
          <w:color w:val="0070C0"/>
          <w:sz w:val="24"/>
          <w:szCs w:val="24"/>
        </w:rPr>
        <w:t xml:space="preserve"> </w:t>
      </w:r>
      <w:r w:rsidRPr="360D5D79">
        <w:rPr>
          <w:rFonts w:ascii="Times New Roman" w:eastAsia="Times New Roman" w:hAnsi="Times New Roman" w:cs="Times New Roman"/>
          <w:sz w:val="24"/>
          <w:szCs w:val="24"/>
        </w:rPr>
        <w:t xml:space="preserve"> </w:t>
      </w:r>
    </w:p>
    <w:p w14:paraId="60A81DD4" w14:textId="16E1D1FC" w:rsidR="360D5D79" w:rsidRDefault="360D5D79" w:rsidP="360D5D79">
      <w:pPr>
        <w:spacing w:after="0" w:line="240" w:lineRule="auto"/>
        <w:rPr>
          <w:rFonts w:ascii="Times New Roman" w:eastAsia="Times New Roman" w:hAnsi="Times New Roman" w:cs="Times New Roman"/>
          <w:b/>
          <w:bCs/>
          <w:sz w:val="24"/>
          <w:szCs w:val="24"/>
        </w:rPr>
      </w:pPr>
    </w:p>
    <w:p w14:paraId="28992329" w14:textId="7C1CBFB0" w:rsidR="471AE736" w:rsidRDefault="471AE736"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Q7.</w:t>
      </w:r>
      <w:r w:rsidRPr="360D5D79">
        <w:rPr>
          <w:rFonts w:ascii="Times New Roman" w:eastAsia="Times New Roman" w:hAnsi="Times New Roman" w:cs="Times New Roman"/>
          <w:sz w:val="24"/>
          <w:szCs w:val="24"/>
        </w:rPr>
        <w:t xml:space="preserve">  Among the required outcome indicators is, “Change in number of GBV incidences in treated communities or schools”. As the project seeks to </w:t>
      </w:r>
      <w:proofErr w:type="gramStart"/>
      <w:r w:rsidRPr="360D5D79">
        <w:rPr>
          <w:rFonts w:ascii="Times New Roman" w:eastAsia="Times New Roman" w:hAnsi="Times New Roman" w:cs="Times New Roman"/>
          <w:sz w:val="24"/>
          <w:szCs w:val="24"/>
        </w:rPr>
        <w:t>simultaneously</w:t>
      </w:r>
      <w:proofErr w:type="gramEnd"/>
      <w:r w:rsidRPr="360D5D79">
        <w:rPr>
          <w:rFonts w:ascii="Times New Roman" w:eastAsia="Times New Roman" w:hAnsi="Times New Roman" w:cs="Times New Roman"/>
          <w:sz w:val="24"/>
          <w:szCs w:val="24"/>
        </w:rPr>
        <w:t xml:space="preserve"> engage in GBV prevention activities while</w:t>
      </w:r>
      <w:r w:rsidR="1479E13D"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also improving access to reporting and response services, the change in number of cases being reported will be unpredictable and may result in an increase</w:t>
      </w:r>
      <w:r w:rsidR="01EB8657"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in the short term as more cases are being reported before producing a decrease</w:t>
      </w:r>
      <w:r w:rsidR="1CE625DF"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in incidences</w:t>
      </w:r>
      <w:r w:rsidR="2C4C8523"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 xml:space="preserve">in the longer term. Is this indicator intended to measure the number of cases being reported and, if so, what is the expected outcome given that a reduction in GBV incidence is likely to be a longer-term impact beyond the life of the </w:t>
      </w:r>
      <w:proofErr w:type="gramStart"/>
      <w:r w:rsidRPr="360D5D79">
        <w:rPr>
          <w:rFonts w:ascii="Times New Roman" w:eastAsia="Times New Roman" w:hAnsi="Times New Roman" w:cs="Times New Roman"/>
          <w:sz w:val="24"/>
          <w:szCs w:val="24"/>
        </w:rPr>
        <w:t>project?</w:t>
      </w:r>
      <w:proofErr w:type="gramEnd"/>
    </w:p>
    <w:p w14:paraId="1EC99B93" w14:textId="12BF6AF5" w:rsidR="360D5D79" w:rsidRDefault="360D5D79" w:rsidP="360D5D79">
      <w:pPr>
        <w:spacing w:after="0" w:line="240" w:lineRule="auto"/>
        <w:rPr>
          <w:rFonts w:ascii="Times New Roman" w:eastAsia="Times New Roman" w:hAnsi="Times New Roman" w:cs="Times New Roman"/>
          <w:b/>
          <w:bCs/>
          <w:color w:val="0070C0"/>
          <w:sz w:val="24"/>
          <w:szCs w:val="24"/>
        </w:rPr>
      </w:pPr>
    </w:p>
    <w:p w14:paraId="208A07BB" w14:textId="703F2727" w:rsidR="33064322" w:rsidRDefault="33064322"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 xml:space="preserve">A7. </w:t>
      </w:r>
      <w:r w:rsidRPr="360D5D79">
        <w:rPr>
          <w:rFonts w:ascii="Times New Roman" w:eastAsia="Times New Roman" w:hAnsi="Times New Roman" w:cs="Times New Roman"/>
          <w:color w:val="0070C0"/>
          <w:sz w:val="24"/>
          <w:szCs w:val="24"/>
        </w:rPr>
        <w:t xml:space="preserve">The indicator </w:t>
      </w:r>
      <w:proofErr w:type="gramStart"/>
      <w:r w:rsidRPr="360D5D79">
        <w:rPr>
          <w:rFonts w:ascii="Times New Roman" w:eastAsia="Times New Roman" w:hAnsi="Times New Roman" w:cs="Times New Roman"/>
          <w:color w:val="0070C0"/>
          <w:sz w:val="24"/>
          <w:szCs w:val="24"/>
        </w:rPr>
        <w:t>is intended</w:t>
      </w:r>
      <w:proofErr w:type="gramEnd"/>
      <w:r w:rsidRPr="360D5D79">
        <w:rPr>
          <w:rFonts w:ascii="Times New Roman" w:eastAsia="Times New Roman" w:hAnsi="Times New Roman" w:cs="Times New Roman"/>
          <w:color w:val="0070C0"/>
          <w:sz w:val="24"/>
          <w:szCs w:val="24"/>
        </w:rPr>
        <w:t xml:space="preserve"> to measure an increase in number of cases reported</w:t>
      </w:r>
      <w:r w:rsidR="5745CF90" w:rsidRPr="360D5D79">
        <w:rPr>
          <w:rFonts w:ascii="Times New Roman" w:eastAsia="Times New Roman" w:hAnsi="Times New Roman" w:cs="Times New Roman"/>
          <w:color w:val="0070C0"/>
          <w:sz w:val="24"/>
          <w:szCs w:val="24"/>
        </w:rPr>
        <w:t xml:space="preserve"> and, over time, a decrease in incidences. The expected outcome is that there is a change</w:t>
      </w:r>
      <w:r w:rsidR="0C6BF928" w:rsidRPr="360D5D79">
        <w:rPr>
          <w:rFonts w:ascii="Times New Roman" w:eastAsia="Times New Roman" w:hAnsi="Times New Roman" w:cs="Times New Roman"/>
          <w:color w:val="0070C0"/>
          <w:sz w:val="24"/>
          <w:szCs w:val="24"/>
        </w:rPr>
        <w:t>,</w:t>
      </w:r>
      <w:r w:rsidR="5745CF90" w:rsidRPr="360D5D79">
        <w:rPr>
          <w:rFonts w:ascii="Times New Roman" w:eastAsia="Times New Roman" w:hAnsi="Times New Roman" w:cs="Times New Roman"/>
          <w:color w:val="0070C0"/>
          <w:sz w:val="24"/>
          <w:szCs w:val="24"/>
        </w:rPr>
        <w:t xml:space="preserve"> </w:t>
      </w:r>
      <w:r w:rsidR="6CD4F9A2" w:rsidRPr="360D5D79">
        <w:rPr>
          <w:rFonts w:ascii="Times New Roman" w:eastAsia="Times New Roman" w:hAnsi="Times New Roman" w:cs="Times New Roman"/>
          <w:color w:val="0070C0"/>
          <w:sz w:val="24"/>
          <w:szCs w:val="24"/>
        </w:rPr>
        <w:t>either positive or negative</w:t>
      </w:r>
      <w:r w:rsidR="24C7C5E0" w:rsidRPr="360D5D79">
        <w:rPr>
          <w:rFonts w:ascii="Times New Roman" w:eastAsia="Times New Roman" w:hAnsi="Times New Roman" w:cs="Times New Roman"/>
          <w:color w:val="0070C0"/>
          <w:sz w:val="24"/>
          <w:szCs w:val="24"/>
        </w:rPr>
        <w:t>,</w:t>
      </w:r>
      <w:r w:rsidR="6CD4F9A2" w:rsidRPr="360D5D79">
        <w:rPr>
          <w:rFonts w:ascii="Times New Roman" w:eastAsia="Times New Roman" w:hAnsi="Times New Roman" w:cs="Times New Roman"/>
          <w:color w:val="0070C0"/>
          <w:sz w:val="24"/>
          <w:szCs w:val="24"/>
        </w:rPr>
        <w:t xml:space="preserve"> with reporting on why either is the case. </w:t>
      </w:r>
      <w:r w:rsidR="5745CF90" w:rsidRPr="360D5D79">
        <w:rPr>
          <w:rFonts w:ascii="Times New Roman" w:eastAsia="Times New Roman" w:hAnsi="Times New Roman" w:cs="Times New Roman"/>
          <w:sz w:val="24"/>
          <w:szCs w:val="24"/>
        </w:rPr>
        <w:t xml:space="preserve"> </w:t>
      </w:r>
    </w:p>
    <w:p w14:paraId="15D5DA87" w14:textId="64B5E233" w:rsidR="360D5D79" w:rsidRDefault="360D5D79" w:rsidP="360D5D79">
      <w:pPr>
        <w:spacing w:after="0" w:line="240" w:lineRule="auto"/>
        <w:rPr>
          <w:rFonts w:ascii="Times New Roman" w:eastAsia="Times New Roman" w:hAnsi="Times New Roman" w:cs="Times New Roman"/>
          <w:b/>
          <w:bCs/>
          <w:sz w:val="24"/>
          <w:szCs w:val="24"/>
        </w:rPr>
      </w:pPr>
    </w:p>
    <w:p w14:paraId="50DF6F1F" w14:textId="776E68D5" w:rsidR="471AE736" w:rsidRDefault="471AE736"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Q8.</w:t>
      </w:r>
      <w:r w:rsidRPr="360D5D79">
        <w:rPr>
          <w:rFonts w:ascii="Times New Roman" w:eastAsia="Times New Roman" w:hAnsi="Times New Roman" w:cs="Times New Roman"/>
          <w:sz w:val="24"/>
          <w:szCs w:val="24"/>
        </w:rPr>
        <w:t xml:space="preserve">  Page 2 of the PSI indicates that attachments should be a total of 5-10 pages and includes a list of four mandatory attachments. However, the NOFO lists six required attachments with no total page limit. Could DOS kindly confirm there is no page limit for attachments?</w:t>
      </w:r>
      <w:r w:rsidR="7C5B7E93"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Could</w:t>
      </w:r>
      <w:r w:rsidR="1D957E36"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DOS kindly confirm there is no page limit for the budget narrative?</w:t>
      </w:r>
    </w:p>
    <w:p w14:paraId="2BECA90F" w14:textId="6B784E34" w:rsidR="360D5D79" w:rsidRDefault="360D5D79" w:rsidP="360D5D79">
      <w:pPr>
        <w:spacing w:after="0" w:line="240" w:lineRule="auto"/>
        <w:rPr>
          <w:rFonts w:ascii="Times New Roman" w:eastAsia="Times New Roman" w:hAnsi="Times New Roman" w:cs="Times New Roman"/>
          <w:b/>
          <w:bCs/>
          <w:color w:val="0070C0"/>
          <w:sz w:val="24"/>
          <w:szCs w:val="24"/>
        </w:rPr>
      </w:pPr>
    </w:p>
    <w:p w14:paraId="73064D0E" w14:textId="41C99C55" w:rsidR="12300FB7" w:rsidRDefault="12300FB7"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A8.</w:t>
      </w:r>
      <w:r w:rsidRPr="360D5D79">
        <w:rPr>
          <w:rFonts w:ascii="Times New Roman" w:eastAsia="Times New Roman" w:hAnsi="Times New Roman" w:cs="Times New Roman"/>
          <w:b/>
          <w:bCs/>
          <w:sz w:val="24"/>
          <w:szCs w:val="24"/>
        </w:rPr>
        <w:t xml:space="preserve"> </w:t>
      </w:r>
      <w:r w:rsidRPr="360D5D79">
        <w:rPr>
          <w:rFonts w:ascii="Times New Roman" w:eastAsia="Times New Roman" w:hAnsi="Times New Roman" w:cs="Times New Roman"/>
          <w:color w:val="0070C0"/>
          <w:sz w:val="24"/>
          <w:szCs w:val="24"/>
        </w:rPr>
        <w:t>Please refer to the updated PSI document at grants.gov and SAMS.gov.  The</w:t>
      </w:r>
      <w:r w:rsidR="75BFD6DF" w:rsidRPr="360D5D79">
        <w:rPr>
          <w:rFonts w:ascii="Times New Roman" w:eastAsia="Times New Roman" w:hAnsi="Times New Roman" w:cs="Times New Roman"/>
          <w:color w:val="0070C0"/>
          <w:sz w:val="24"/>
          <w:szCs w:val="24"/>
        </w:rPr>
        <w:t xml:space="preserve"> </w:t>
      </w:r>
      <w:r w:rsidRPr="360D5D79">
        <w:rPr>
          <w:rFonts w:ascii="Times New Roman" w:eastAsia="Times New Roman" w:hAnsi="Times New Roman" w:cs="Times New Roman"/>
          <w:color w:val="0070C0"/>
          <w:sz w:val="24"/>
          <w:szCs w:val="24"/>
        </w:rPr>
        <w:t xml:space="preserve">indicator </w:t>
      </w:r>
      <w:proofErr w:type="gramStart"/>
      <w:r w:rsidRPr="360D5D79">
        <w:rPr>
          <w:rFonts w:ascii="Times New Roman" w:eastAsia="Times New Roman" w:hAnsi="Times New Roman" w:cs="Times New Roman"/>
          <w:color w:val="0070C0"/>
          <w:sz w:val="24"/>
          <w:szCs w:val="24"/>
        </w:rPr>
        <w:t>is intended</w:t>
      </w:r>
      <w:proofErr w:type="gramEnd"/>
      <w:r w:rsidRPr="360D5D79">
        <w:rPr>
          <w:rFonts w:ascii="Times New Roman" w:eastAsia="Times New Roman" w:hAnsi="Times New Roman" w:cs="Times New Roman"/>
          <w:color w:val="0070C0"/>
          <w:sz w:val="24"/>
          <w:szCs w:val="24"/>
        </w:rPr>
        <w:t xml:space="preserve"> to measure an increase in number of cases reported and, over time, a decrease in incidences. The expected outcome is that there is a change, either positive or negative, with reporting on why either is the case.</w:t>
      </w:r>
    </w:p>
    <w:p w14:paraId="154FED15" w14:textId="3B794A6B" w:rsidR="360D5D79" w:rsidRDefault="360D5D79" w:rsidP="360D5D79">
      <w:pPr>
        <w:spacing w:after="0" w:line="240" w:lineRule="auto"/>
        <w:rPr>
          <w:rFonts w:ascii="Times New Roman" w:eastAsia="Times New Roman" w:hAnsi="Times New Roman" w:cs="Times New Roman"/>
          <w:b/>
          <w:bCs/>
          <w:sz w:val="24"/>
          <w:szCs w:val="24"/>
        </w:rPr>
      </w:pPr>
    </w:p>
    <w:p w14:paraId="79E38096" w14:textId="267B2AB1" w:rsidR="2D141EFD" w:rsidRDefault="2D141EFD"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Q9.</w:t>
      </w:r>
      <w:r w:rsidRPr="360D5D79">
        <w:rPr>
          <w:rFonts w:ascii="Times New Roman" w:eastAsia="Times New Roman" w:hAnsi="Times New Roman" w:cs="Times New Roman"/>
          <w:sz w:val="24"/>
          <w:szCs w:val="24"/>
        </w:rPr>
        <w:t xml:space="preserve">  </w:t>
      </w:r>
      <w:r w:rsidR="25262336" w:rsidRPr="360D5D79">
        <w:rPr>
          <w:rFonts w:ascii="Times New Roman" w:eastAsia="Times New Roman" w:hAnsi="Times New Roman" w:cs="Times New Roman"/>
          <w:sz w:val="24"/>
          <w:szCs w:val="24"/>
        </w:rPr>
        <w:t xml:space="preserve">Where we can find guidelines or more information about the Risk Assessment we </w:t>
      </w:r>
      <w:proofErr w:type="gramStart"/>
      <w:r w:rsidR="25262336" w:rsidRPr="360D5D79">
        <w:rPr>
          <w:rFonts w:ascii="Times New Roman" w:eastAsia="Times New Roman" w:hAnsi="Times New Roman" w:cs="Times New Roman"/>
          <w:sz w:val="24"/>
          <w:szCs w:val="24"/>
        </w:rPr>
        <w:t>are meant</w:t>
      </w:r>
      <w:proofErr w:type="gramEnd"/>
      <w:r w:rsidR="25262336" w:rsidRPr="360D5D79">
        <w:rPr>
          <w:rFonts w:ascii="Times New Roman" w:eastAsia="Times New Roman" w:hAnsi="Times New Roman" w:cs="Times New Roman"/>
          <w:sz w:val="24"/>
          <w:szCs w:val="24"/>
        </w:rPr>
        <w:t xml:space="preserve"> to include. The Terms of Reference mention that in Tab D of the PSI document we can find a risk analysis template to do the respective assessment. However, in the PSI document, we </w:t>
      </w:r>
      <w:proofErr w:type="gramStart"/>
      <w:r w:rsidR="25262336" w:rsidRPr="360D5D79">
        <w:rPr>
          <w:rFonts w:ascii="Times New Roman" w:eastAsia="Times New Roman" w:hAnsi="Times New Roman" w:cs="Times New Roman"/>
          <w:sz w:val="24"/>
          <w:szCs w:val="24"/>
        </w:rPr>
        <w:t>couldn't</w:t>
      </w:r>
      <w:proofErr w:type="gramEnd"/>
      <w:r w:rsidR="25262336" w:rsidRPr="360D5D79">
        <w:rPr>
          <w:rFonts w:ascii="Times New Roman" w:eastAsia="Times New Roman" w:hAnsi="Times New Roman" w:cs="Times New Roman"/>
          <w:sz w:val="24"/>
          <w:szCs w:val="24"/>
        </w:rPr>
        <w:t xml:space="preserve"> find more information regarding the mentioned Tab D. </w:t>
      </w:r>
    </w:p>
    <w:p w14:paraId="31F40D3D" w14:textId="0FF844C5" w:rsidR="5A123737" w:rsidRDefault="5A123737" w:rsidP="360D5D79">
      <w:pPr>
        <w:spacing w:after="0" w:line="240" w:lineRule="auto"/>
        <w:rPr>
          <w:rFonts w:ascii="Times New Roman" w:eastAsia="Times New Roman" w:hAnsi="Times New Roman" w:cs="Times New Roman"/>
          <w:b/>
          <w:bCs/>
          <w:color w:val="0070C0"/>
          <w:sz w:val="24"/>
          <w:szCs w:val="24"/>
        </w:rPr>
      </w:pPr>
    </w:p>
    <w:p w14:paraId="6C0119B0" w14:textId="1D6588B9" w:rsidR="5A123737" w:rsidRDefault="44FED38C"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lastRenderedPageBreak/>
        <w:t>A9.</w:t>
      </w:r>
      <w:r w:rsidRPr="360D5D79">
        <w:rPr>
          <w:rFonts w:ascii="Times New Roman" w:eastAsia="Times New Roman" w:hAnsi="Times New Roman" w:cs="Times New Roman"/>
          <w:color w:val="0070C0"/>
          <w:sz w:val="24"/>
          <w:szCs w:val="24"/>
        </w:rPr>
        <w:t xml:space="preserve"> The updated PSI document including Tab D and C is now active on grants.gov. The PSI document </w:t>
      </w:r>
      <w:proofErr w:type="gramStart"/>
      <w:r w:rsidRPr="360D5D79">
        <w:rPr>
          <w:rFonts w:ascii="Times New Roman" w:eastAsia="Times New Roman" w:hAnsi="Times New Roman" w:cs="Times New Roman"/>
          <w:color w:val="0070C0"/>
          <w:sz w:val="24"/>
          <w:szCs w:val="24"/>
        </w:rPr>
        <w:t>can also be found</w:t>
      </w:r>
      <w:proofErr w:type="gramEnd"/>
      <w:r w:rsidRPr="360D5D79">
        <w:rPr>
          <w:rFonts w:ascii="Times New Roman" w:eastAsia="Times New Roman" w:hAnsi="Times New Roman" w:cs="Times New Roman"/>
          <w:color w:val="0070C0"/>
          <w:sz w:val="24"/>
          <w:szCs w:val="24"/>
        </w:rPr>
        <w:t xml:space="preserve"> in the link to additional information in SAMS Domestic.</w:t>
      </w:r>
    </w:p>
    <w:tbl>
      <w:tblPr>
        <w:tblStyle w:val="TableGrid"/>
        <w:tblW w:w="0" w:type="auto"/>
        <w:tblLayout w:type="fixed"/>
        <w:tblLook w:val="06A0" w:firstRow="1" w:lastRow="0" w:firstColumn="1" w:lastColumn="0" w:noHBand="1" w:noVBand="1"/>
      </w:tblPr>
      <w:tblGrid>
        <w:gridCol w:w="4680"/>
        <w:gridCol w:w="4680"/>
      </w:tblGrid>
      <w:tr w:rsidR="360D5D79" w14:paraId="3A7CBA16" w14:textId="77777777" w:rsidTr="360D5D79">
        <w:tc>
          <w:tcPr>
            <w:tcW w:w="4680" w:type="dxa"/>
          </w:tcPr>
          <w:p w14:paraId="690D31E5" w14:textId="43BECC01" w:rsidR="360D5D79" w:rsidRDefault="360D5D79" w:rsidP="360D5D79">
            <w:pPr>
              <w:jc w:val="right"/>
            </w:pPr>
            <w:r w:rsidRPr="360D5D79">
              <w:rPr>
                <w:rFonts w:ascii="Arial" w:eastAsia="Arial" w:hAnsi="Arial" w:cs="Arial"/>
                <w:b/>
                <w:bCs/>
                <w:color w:val="333333"/>
              </w:rPr>
              <w:t>Link to Additional Information:</w:t>
            </w:r>
          </w:p>
        </w:tc>
        <w:tc>
          <w:tcPr>
            <w:tcW w:w="4680" w:type="dxa"/>
          </w:tcPr>
          <w:p w14:paraId="64CFB1DE" w14:textId="15C5F870" w:rsidR="360D5D79" w:rsidRDefault="00C93903" w:rsidP="360D5D79">
            <w:pPr>
              <w:rPr>
                <w:rFonts w:ascii="Arial" w:eastAsia="Arial" w:hAnsi="Arial" w:cs="Arial"/>
                <w:color w:val="363636"/>
              </w:rPr>
            </w:pPr>
            <w:hyperlink r:id="rId9">
              <w:r w:rsidR="360D5D79" w:rsidRPr="360D5D79">
                <w:rPr>
                  <w:rStyle w:val="Hyperlink"/>
                  <w:rFonts w:ascii="Arial" w:eastAsia="Arial" w:hAnsi="Arial" w:cs="Arial"/>
                  <w:color w:val="0000CC"/>
                </w:rPr>
                <w:t>Link to Opportunity in SAMS Domestic</w:t>
              </w:r>
            </w:hyperlink>
          </w:p>
        </w:tc>
      </w:tr>
    </w:tbl>
    <w:p w14:paraId="36B420DD" w14:textId="0E247207" w:rsidR="5A123737" w:rsidRDefault="5A123737" w:rsidP="360D5D79">
      <w:pPr>
        <w:spacing w:after="0" w:line="240" w:lineRule="auto"/>
        <w:rPr>
          <w:rFonts w:ascii="Times New Roman" w:eastAsia="Times New Roman" w:hAnsi="Times New Roman" w:cs="Times New Roman"/>
          <w:b/>
          <w:bCs/>
          <w:sz w:val="24"/>
          <w:szCs w:val="24"/>
        </w:rPr>
      </w:pPr>
    </w:p>
    <w:p w14:paraId="3807E1A1" w14:textId="5B6A3203" w:rsidR="5A123737" w:rsidRDefault="5A123737"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Q10.</w:t>
      </w:r>
      <w:r w:rsidRPr="360D5D79">
        <w:rPr>
          <w:rFonts w:ascii="Times New Roman" w:eastAsia="Times New Roman" w:hAnsi="Times New Roman" w:cs="Times New Roman"/>
          <w:sz w:val="24"/>
          <w:szCs w:val="24"/>
        </w:rPr>
        <w:t xml:space="preserve">  </w:t>
      </w:r>
      <w:r w:rsidR="25262336" w:rsidRPr="360D5D79">
        <w:rPr>
          <w:rFonts w:ascii="Times New Roman" w:eastAsia="Times New Roman" w:hAnsi="Times New Roman" w:cs="Times New Roman"/>
          <w:sz w:val="24"/>
          <w:szCs w:val="24"/>
        </w:rPr>
        <w:t>Where we can find the Financial Management Survey for first-time applicants to the Department of State/or awarding Bureau</w:t>
      </w:r>
      <w:r w:rsidR="471F2D92" w:rsidRPr="360D5D79">
        <w:rPr>
          <w:rFonts w:ascii="Times New Roman" w:eastAsia="Times New Roman" w:hAnsi="Times New Roman" w:cs="Times New Roman"/>
          <w:sz w:val="24"/>
          <w:szCs w:val="24"/>
        </w:rPr>
        <w:t>?</w:t>
      </w:r>
    </w:p>
    <w:p w14:paraId="27D65319" w14:textId="0922F073" w:rsidR="360D5D79" w:rsidRDefault="360D5D79" w:rsidP="360D5D79">
      <w:pPr>
        <w:spacing w:after="0" w:line="240" w:lineRule="auto"/>
        <w:rPr>
          <w:rFonts w:ascii="Times New Roman" w:eastAsia="Times New Roman" w:hAnsi="Times New Roman" w:cs="Times New Roman"/>
          <w:b/>
          <w:bCs/>
          <w:sz w:val="24"/>
          <w:szCs w:val="24"/>
        </w:rPr>
      </w:pPr>
    </w:p>
    <w:p w14:paraId="072D39E8" w14:textId="4EE5B7FA" w:rsidR="4FB4E952" w:rsidRDefault="4FB4E952"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t xml:space="preserve">A10. </w:t>
      </w:r>
      <w:r w:rsidRPr="360D5D79">
        <w:rPr>
          <w:rFonts w:ascii="Times New Roman" w:eastAsia="Times New Roman" w:hAnsi="Times New Roman" w:cs="Times New Roman"/>
          <w:color w:val="0070C0"/>
          <w:sz w:val="24"/>
          <w:szCs w:val="24"/>
        </w:rPr>
        <w:t xml:space="preserve">The grants office provides the survey after an applicant </w:t>
      </w:r>
      <w:proofErr w:type="gramStart"/>
      <w:r w:rsidRPr="360D5D79">
        <w:rPr>
          <w:rFonts w:ascii="Times New Roman" w:eastAsia="Times New Roman" w:hAnsi="Times New Roman" w:cs="Times New Roman"/>
          <w:color w:val="0070C0"/>
          <w:sz w:val="24"/>
          <w:szCs w:val="24"/>
        </w:rPr>
        <w:t>is</w:t>
      </w:r>
      <w:proofErr w:type="gramEnd"/>
      <w:r w:rsidRPr="360D5D79">
        <w:rPr>
          <w:rFonts w:ascii="Times New Roman" w:eastAsia="Times New Roman" w:hAnsi="Times New Roman" w:cs="Times New Roman"/>
          <w:color w:val="0070C0"/>
          <w:sz w:val="24"/>
          <w:szCs w:val="24"/>
        </w:rPr>
        <w:t xml:space="preserve"> selected.</w:t>
      </w:r>
    </w:p>
    <w:p w14:paraId="6289D7B2" w14:textId="133C7640" w:rsidR="360D5D79" w:rsidRDefault="360D5D79" w:rsidP="360D5D79">
      <w:pPr>
        <w:spacing w:after="0" w:line="240" w:lineRule="auto"/>
        <w:rPr>
          <w:rFonts w:ascii="Times New Roman" w:eastAsia="Times New Roman" w:hAnsi="Times New Roman" w:cs="Times New Roman"/>
          <w:b/>
          <w:bCs/>
          <w:sz w:val="24"/>
          <w:szCs w:val="24"/>
        </w:rPr>
      </w:pPr>
    </w:p>
    <w:p w14:paraId="082B186B" w14:textId="636D83A1" w:rsidR="59BB2957" w:rsidRDefault="59BB2957" w:rsidP="360D5D79">
      <w:pPr>
        <w:spacing w:after="0" w:line="240" w:lineRule="auto"/>
        <w:rPr>
          <w:rFonts w:ascii="Times New Roman" w:eastAsia="Times New Roman" w:hAnsi="Times New Roman" w:cs="Times New Roman"/>
          <w:sz w:val="24"/>
          <w:szCs w:val="24"/>
        </w:rPr>
      </w:pPr>
      <w:r w:rsidRPr="667DD220">
        <w:rPr>
          <w:rFonts w:ascii="Times New Roman" w:eastAsia="Times New Roman" w:hAnsi="Times New Roman" w:cs="Times New Roman"/>
          <w:b/>
          <w:bCs/>
          <w:sz w:val="24"/>
          <w:szCs w:val="24"/>
        </w:rPr>
        <w:t>Q11.</w:t>
      </w:r>
      <w:r w:rsidRPr="667DD220">
        <w:rPr>
          <w:rFonts w:ascii="Times New Roman" w:eastAsia="Times New Roman" w:hAnsi="Times New Roman" w:cs="Times New Roman"/>
          <w:sz w:val="24"/>
          <w:szCs w:val="24"/>
        </w:rPr>
        <w:t xml:space="preserve">  </w:t>
      </w:r>
      <w:r w:rsidR="25262336" w:rsidRPr="667DD220">
        <w:rPr>
          <w:rFonts w:ascii="Times New Roman" w:eastAsia="Times New Roman" w:hAnsi="Times New Roman" w:cs="Times New Roman"/>
          <w:sz w:val="24"/>
          <w:szCs w:val="24"/>
        </w:rPr>
        <w:t>We are seeking to form a consortium</w:t>
      </w:r>
      <w:r w:rsidR="1657DF63" w:rsidRPr="667DD220">
        <w:rPr>
          <w:rFonts w:ascii="Times New Roman" w:eastAsia="Times New Roman" w:hAnsi="Times New Roman" w:cs="Times New Roman"/>
          <w:sz w:val="24"/>
          <w:szCs w:val="24"/>
        </w:rPr>
        <w:t xml:space="preserve"> </w:t>
      </w:r>
      <w:r w:rsidR="25262336" w:rsidRPr="667DD220">
        <w:rPr>
          <w:rFonts w:ascii="Times New Roman" w:eastAsia="Times New Roman" w:hAnsi="Times New Roman" w:cs="Times New Roman"/>
          <w:sz w:val="24"/>
          <w:szCs w:val="24"/>
        </w:rPr>
        <w:t xml:space="preserve">with </w:t>
      </w:r>
      <w:r w:rsidR="16BBE3D2" w:rsidRPr="667DD220">
        <w:rPr>
          <w:rFonts w:ascii="Times New Roman" w:eastAsia="Times New Roman" w:hAnsi="Times New Roman" w:cs="Times New Roman"/>
          <w:sz w:val="24"/>
          <w:szCs w:val="24"/>
        </w:rPr>
        <w:t>a</w:t>
      </w:r>
      <w:r w:rsidR="25262336" w:rsidRPr="667DD220">
        <w:rPr>
          <w:rFonts w:ascii="Times New Roman" w:eastAsia="Times New Roman" w:hAnsi="Times New Roman" w:cs="Times New Roman"/>
          <w:sz w:val="24"/>
          <w:szCs w:val="24"/>
        </w:rPr>
        <w:t xml:space="preserve"> lead applicant to submit the expected proposal. For this purpose, we wonder what documents are needed to be provided by our </w:t>
      </w:r>
      <w:proofErr w:type="gramStart"/>
      <w:r w:rsidR="25262336" w:rsidRPr="667DD220">
        <w:rPr>
          <w:rFonts w:ascii="Times New Roman" w:eastAsia="Times New Roman" w:hAnsi="Times New Roman" w:cs="Times New Roman"/>
          <w:sz w:val="24"/>
          <w:szCs w:val="24"/>
        </w:rPr>
        <w:t>partner?</w:t>
      </w:r>
      <w:proofErr w:type="gramEnd"/>
      <w:r w:rsidR="25262336" w:rsidRPr="667DD220">
        <w:rPr>
          <w:rFonts w:ascii="Times New Roman" w:eastAsia="Times New Roman" w:hAnsi="Times New Roman" w:cs="Times New Roman"/>
          <w:sz w:val="24"/>
          <w:szCs w:val="24"/>
        </w:rPr>
        <w:t xml:space="preserve"> Do we need to attach the audited financial statements of this partner as well?</w:t>
      </w:r>
    </w:p>
    <w:p w14:paraId="6C21162C" w14:textId="5C61FBC3" w:rsidR="360D5D79" w:rsidRDefault="360D5D79" w:rsidP="360D5D79">
      <w:pPr>
        <w:spacing w:after="0" w:line="240" w:lineRule="auto"/>
        <w:rPr>
          <w:rFonts w:ascii="Times New Roman" w:eastAsia="Times New Roman" w:hAnsi="Times New Roman" w:cs="Times New Roman"/>
          <w:b/>
          <w:bCs/>
          <w:color w:val="0070C0"/>
          <w:sz w:val="24"/>
          <w:szCs w:val="24"/>
        </w:rPr>
      </w:pPr>
    </w:p>
    <w:p w14:paraId="23EDA700" w14:textId="31944E3B" w:rsidR="33AA3781" w:rsidRDefault="33AA3781"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A11.</w:t>
      </w:r>
      <w:r w:rsidRPr="360D5D79">
        <w:rPr>
          <w:rFonts w:ascii="Times New Roman" w:eastAsia="Times New Roman" w:hAnsi="Times New Roman" w:cs="Times New Roman"/>
          <w:sz w:val="24"/>
          <w:szCs w:val="24"/>
        </w:rPr>
        <w:t xml:space="preserve"> </w:t>
      </w:r>
      <w:r w:rsidR="00C93903">
        <w:rPr>
          <w:rFonts w:ascii="Times New Roman" w:eastAsia="Times New Roman" w:hAnsi="Times New Roman" w:cs="Times New Roman"/>
          <w:color w:val="0070C0"/>
          <w:sz w:val="24"/>
          <w:szCs w:val="24"/>
        </w:rPr>
        <w:t xml:space="preserve">Implementing partners are required to have a valid DUNS number. </w:t>
      </w:r>
      <w:bookmarkStart w:id="0" w:name="_GoBack"/>
      <w:bookmarkEnd w:id="0"/>
    </w:p>
    <w:p w14:paraId="0D59D1B6" w14:textId="57AD37E8" w:rsidR="360D5D79" w:rsidRDefault="360D5D79" w:rsidP="360D5D79">
      <w:pPr>
        <w:spacing w:after="0" w:line="240" w:lineRule="auto"/>
        <w:rPr>
          <w:rFonts w:ascii="Times New Roman" w:eastAsia="Times New Roman" w:hAnsi="Times New Roman" w:cs="Times New Roman"/>
          <w:b/>
          <w:bCs/>
          <w:sz w:val="24"/>
          <w:szCs w:val="24"/>
        </w:rPr>
      </w:pPr>
    </w:p>
    <w:p w14:paraId="3D00EA65" w14:textId="764BDC13" w:rsidR="6BD4EA9E" w:rsidRDefault="6BD4EA9E" w:rsidP="360D5D79">
      <w:pPr>
        <w:spacing w:after="0" w:line="240" w:lineRule="auto"/>
        <w:rPr>
          <w:rFonts w:ascii="Times New Roman" w:eastAsia="Times New Roman" w:hAnsi="Times New Roman" w:cs="Times New Roman"/>
          <w:b/>
          <w:bCs/>
          <w:sz w:val="24"/>
          <w:szCs w:val="24"/>
        </w:rPr>
      </w:pPr>
      <w:r w:rsidRPr="360D5D79">
        <w:rPr>
          <w:rFonts w:ascii="Times New Roman" w:eastAsia="Times New Roman" w:hAnsi="Times New Roman" w:cs="Times New Roman"/>
          <w:b/>
          <w:bCs/>
          <w:sz w:val="24"/>
          <w:szCs w:val="24"/>
        </w:rPr>
        <w:t>Q12.</w:t>
      </w:r>
      <w:r w:rsidRPr="360D5D79">
        <w:rPr>
          <w:rFonts w:ascii="Times New Roman" w:eastAsia="Times New Roman" w:hAnsi="Times New Roman" w:cs="Times New Roman"/>
          <w:sz w:val="24"/>
          <w:szCs w:val="24"/>
        </w:rPr>
        <w:t xml:space="preserve">  </w:t>
      </w:r>
      <w:proofErr w:type="gramStart"/>
      <w:r w:rsidRPr="360D5D79">
        <w:rPr>
          <w:rFonts w:ascii="Times New Roman" w:eastAsia="Times New Roman" w:hAnsi="Times New Roman" w:cs="Times New Roman"/>
          <w:sz w:val="24"/>
          <w:szCs w:val="24"/>
        </w:rPr>
        <w:t>Would it be possible to corroborate the maximum number of pages for the mandatory attachments, taking into account that the NOFO (page 9) mentions 6 mandatory attachments (Roles and Responsibilities, Timeline, PMP, Detailed Budget &amp; Budget Narrative, Risk Assessment and Gender Analysis) and does not establish a page limit, whereas the PSI (page 2) mentions four mandatory attachments (Roles and Responsibilities, Timeline, PMP and Detailed Budget &amp; Budget Narrative) in maximum 10 pages?</w:t>
      </w:r>
      <w:proofErr w:type="gramEnd"/>
      <w:r w:rsidRPr="360D5D79">
        <w:rPr>
          <w:rFonts w:ascii="Times New Roman" w:eastAsia="Times New Roman" w:hAnsi="Times New Roman" w:cs="Times New Roman"/>
          <w:sz w:val="24"/>
          <w:szCs w:val="24"/>
        </w:rPr>
        <w:t xml:space="preserve"> Therefore, we would like to verify whether the proposal must include all six attachments mentioned in the NOFO in a maximum of 10 pages.</w:t>
      </w:r>
    </w:p>
    <w:p w14:paraId="461B57A0" w14:textId="4886AFE5" w:rsidR="6BD4EA9E" w:rsidRDefault="6BD4EA9E" w:rsidP="360D5D79">
      <w:pPr>
        <w:spacing w:after="0" w:line="240" w:lineRule="auto"/>
        <w:rPr>
          <w:rFonts w:ascii="Times New Roman" w:eastAsia="Times New Roman" w:hAnsi="Times New Roman" w:cs="Times New Roman"/>
          <w:b/>
          <w:bCs/>
          <w:color w:val="0070C0"/>
          <w:sz w:val="24"/>
          <w:szCs w:val="24"/>
        </w:rPr>
      </w:pPr>
    </w:p>
    <w:p w14:paraId="69410A30" w14:textId="3CF02B97" w:rsidR="6BD4EA9E" w:rsidRDefault="6B30BBF2"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A12.</w:t>
      </w:r>
      <w:r w:rsidR="1236AECE" w:rsidRPr="360D5D79">
        <w:rPr>
          <w:rFonts w:ascii="Times New Roman" w:eastAsia="Times New Roman" w:hAnsi="Times New Roman" w:cs="Times New Roman"/>
          <w:b/>
          <w:bCs/>
          <w:sz w:val="24"/>
          <w:szCs w:val="24"/>
        </w:rPr>
        <w:t xml:space="preserve"> </w:t>
      </w:r>
      <w:r w:rsidRPr="360D5D79">
        <w:rPr>
          <w:rFonts w:ascii="Times New Roman" w:eastAsia="Times New Roman" w:hAnsi="Times New Roman" w:cs="Times New Roman"/>
          <w:color w:val="0070C0"/>
          <w:sz w:val="24"/>
          <w:szCs w:val="24"/>
        </w:rPr>
        <w:t xml:space="preserve">Please refer to the updated PSI document now active on grants.gov. The PSI document </w:t>
      </w:r>
      <w:proofErr w:type="gramStart"/>
      <w:r w:rsidRPr="360D5D79">
        <w:rPr>
          <w:rFonts w:ascii="Times New Roman" w:eastAsia="Times New Roman" w:hAnsi="Times New Roman" w:cs="Times New Roman"/>
          <w:color w:val="0070C0"/>
          <w:sz w:val="24"/>
          <w:szCs w:val="24"/>
        </w:rPr>
        <w:t>can also be found</w:t>
      </w:r>
      <w:proofErr w:type="gramEnd"/>
      <w:r w:rsidRPr="360D5D79">
        <w:rPr>
          <w:rFonts w:ascii="Times New Roman" w:eastAsia="Times New Roman" w:hAnsi="Times New Roman" w:cs="Times New Roman"/>
          <w:color w:val="0070C0"/>
          <w:sz w:val="24"/>
          <w:szCs w:val="24"/>
        </w:rPr>
        <w:t xml:space="preserve"> in the link to additional information in SAMS Domestic.</w:t>
      </w:r>
    </w:p>
    <w:tbl>
      <w:tblPr>
        <w:tblStyle w:val="TableGrid"/>
        <w:tblW w:w="0" w:type="auto"/>
        <w:tblLayout w:type="fixed"/>
        <w:tblLook w:val="06A0" w:firstRow="1" w:lastRow="0" w:firstColumn="1" w:lastColumn="0" w:noHBand="1" w:noVBand="1"/>
      </w:tblPr>
      <w:tblGrid>
        <w:gridCol w:w="4680"/>
        <w:gridCol w:w="4680"/>
      </w:tblGrid>
      <w:tr w:rsidR="360D5D79" w14:paraId="31FC0F1F" w14:textId="77777777" w:rsidTr="360D5D79">
        <w:tc>
          <w:tcPr>
            <w:tcW w:w="4680" w:type="dxa"/>
          </w:tcPr>
          <w:p w14:paraId="7038E59B" w14:textId="43BECC01" w:rsidR="360D5D79" w:rsidRDefault="360D5D79" w:rsidP="360D5D79">
            <w:pPr>
              <w:jc w:val="right"/>
            </w:pPr>
            <w:r w:rsidRPr="360D5D79">
              <w:rPr>
                <w:rFonts w:ascii="Arial" w:eastAsia="Arial" w:hAnsi="Arial" w:cs="Arial"/>
                <w:b/>
                <w:bCs/>
                <w:color w:val="333333"/>
              </w:rPr>
              <w:t>Link to Additional Information:</w:t>
            </w:r>
          </w:p>
        </w:tc>
        <w:tc>
          <w:tcPr>
            <w:tcW w:w="4680" w:type="dxa"/>
          </w:tcPr>
          <w:p w14:paraId="3C3727EB" w14:textId="15C5F870" w:rsidR="360D5D79" w:rsidRDefault="00C93903" w:rsidP="360D5D79">
            <w:pPr>
              <w:rPr>
                <w:rFonts w:ascii="Arial" w:eastAsia="Arial" w:hAnsi="Arial" w:cs="Arial"/>
                <w:color w:val="363636"/>
              </w:rPr>
            </w:pPr>
            <w:hyperlink r:id="rId10">
              <w:r w:rsidR="360D5D79" w:rsidRPr="360D5D79">
                <w:rPr>
                  <w:rStyle w:val="Hyperlink"/>
                  <w:rFonts w:ascii="Arial" w:eastAsia="Arial" w:hAnsi="Arial" w:cs="Arial"/>
                  <w:color w:val="0000CC"/>
                </w:rPr>
                <w:t>Link to Opportunity in SAMS Domestic</w:t>
              </w:r>
            </w:hyperlink>
          </w:p>
        </w:tc>
      </w:tr>
    </w:tbl>
    <w:p w14:paraId="1AC899EE" w14:textId="773272BD" w:rsidR="6BD4EA9E" w:rsidRDefault="6BD4EA9E" w:rsidP="360D5D79">
      <w:pPr>
        <w:spacing w:after="0" w:line="240" w:lineRule="auto"/>
        <w:rPr>
          <w:rFonts w:ascii="Times New Roman" w:eastAsia="Times New Roman" w:hAnsi="Times New Roman" w:cs="Times New Roman"/>
          <w:b/>
          <w:bCs/>
        </w:rPr>
      </w:pPr>
    </w:p>
    <w:p w14:paraId="4220B9E6" w14:textId="69DFDD1D" w:rsidR="6BD4EA9E" w:rsidRDefault="64288800"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color w:val="0070C0"/>
          <w:sz w:val="24"/>
          <w:szCs w:val="24"/>
        </w:rPr>
        <w:t xml:space="preserve">The page limitation consist of: </w:t>
      </w:r>
    </w:p>
    <w:p w14:paraId="52D0B52D" w14:textId="73DE9BAA" w:rsidR="6BD4EA9E" w:rsidRDefault="6BD4EA9E" w:rsidP="360D5D79">
      <w:pPr>
        <w:spacing w:after="0" w:line="240" w:lineRule="auto"/>
        <w:rPr>
          <w:rFonts w:ascii="Times New Roman" w:eastAsia="Times New Roman" w:hAnsi="Times New Roman" w:cs="Times New Roman"/>
          <w:b/>
          <w:bCs/>
          <w:color w:val="0070C0"/>
          <w:sz w:val="24"/>
          <w:szCs w:val="24"/>
        </w:rPr>
      </w:pPr>
    </w:p>
    <w:p w14:paraId="498BEAE5" w14:textId="2582E3EB" w:rsidR="6BD4EA9E" w:rsidRDefault="51D33D41"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t xml:space="preserve">Proposal Narrative: </w:t>
      </w:r>
      <w:r w:rsidRPr="360D5D79">
        <w:rPr>
          <w:rFonts w:ascii="Times New Roman" w:eastAsia="Times New Roman" w:hAnsi="Times New Roman" w:cs="Times New Roman"/>
          <w:color w:val="0070C0"/>
          <w:sz w:val="24"/>
          <w:szCs w:val="24"/>
        </w:rPr>
        <w:t xml:space="preserve"> Up to 20 pages in Microsoft Word.  Please note the page limit does not include the Table of Contents, Executive Summary and Attachments, such as Budget/and Budget Narrative, Audit Report, and NICRA, if applicable.</w:t>
      </w:r>
    </w:p>
    <w:p w14:paraId="0613873B" w14:textId="09EAA0EA" w:rsidR="6BD4EA9E" w:rsidRDefault="6BD4EA9E" w:rsidP="360D5D79">
      <w:pPr>
        <w:spacing w:after="0" w:line="240" w:lineRule="auto"/>
        <w:rPr>
          <w:rFonts w:ascii="Times New Roman" w:eastAsia="Times New Roman" w:hAnsi="Times New Roman" w:cs="Times New Roman"/>
          <w:b/>
          <w:bCs/>
          <w:color w:val="0070C0"/>
          <w:sz w:val="24"/>
          <w:szCs w:val="24"/>
        </w:rPr>
      </w:pPr>
    </w:p>
    <w:p w14:paraId="3D9D201F" w14:textId="76632D85" w:rsidR="6BD4EA9E" w:rsidRDefault="03EED914"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t>Attachments:</w:t>
      </w:r>
      <w:r w:rsidRPr="360D5D79">
        <w:rPr>
          <w:rFonts w:ascii="Times New Roman" w:eastAsia="Times New Roman" w:hAnsi="Times New Roman" w:cs="Times New Roman"/>
          <w:color w:val="0070C0"/>
          <w:sz w:val="24"/>
          <w:szCs w:val="24"/>
        </w:rPr>
        <w:t xml:space="preserve">  (5-10 pages, preferably in Microsoft Word).  Six mandatory attachments include the following (see Tabs A-D below for more information):</w:t>
      </w:r>
    </w:p>
    <w:p w14:paraId="342ABB6F" w14:textId="4EEC019D"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Roles and Responsibilities to include the names of key personnel</w:t>
      </w:r>
    </w:p>
    <w:p w14:paraId="30F2F04F" w14:textId="06246928"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Timelines/Schedule of Activities</w:t>
      </w:r>
    </w:p>
    <w:p w14:paraId="2FDDB813" w14:textId="4CCE49ED"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Performance Monitoring Plan With Results/Logic Framework</w:t>
      </w:r>
    </w:p>
    <w:p w14:paraId="37875ABA" w14:textId="6BB7BDC3"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Detailed Budget &amp; Budget Narrative</w:t>
      </w:r>
    </w:p>
    <w:p w14:paraId="5842854F" w14:textId="158BC6E5"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Risk Assessment</w:t>
      </w:r>
    </w:p>
    <w:p w14:paraId="71E7E85F" w14:textId="3FB60F28" w:rsidR="6BD4EA9E" w:rsidRDefault="0E5A9CD1" w:rsidP="360D5D79">
      <w:pPr>
        <w:pStyle w:val="ListParagraph"/>
        <w:numPr>
          <w:ilvl w:val="0"/>
          <w:numId w:val="2"/>
        </w:numPr>
        <w:spacing w:after="0" w:line="240" w:lineRule="auto"/>
        <w:rPr>
          <w:rFonts w:eastAsiaTheme="minorEastAsia"/>
          <w:color w:val="0070C0"/>
          <w:sz w:val="24"/>
          <w:szCs w:val="24"/>
        </w:rPr>
      </w:pPr>
      <w:r w:rsidRPr="360D5D79">
        <w:rPr>
          <w:rFonts w:ascii="Times New Roman" w:eastAsia="Times New Roman" w:hAnsi="Times New Roman" w:cs="Times New Roman"/>
          <w:color w:val="0070C0"/>
          <w:sz w:val="24"/>
          <w:szCs w:val="24"/>
        </w:rPr>
        <w:t>Gender Analysis (mandatory for all Gender –based violence proposals)</w:t>
      </w:r>
    </w:p>
    <w:p w14:paraId="51D8FAA5" w14:textId="0FC961D2" w:rsidR="6BD4EA9E" w:rsidRDefault="6BD4EA9E" w:rsidP="360D5D79">
      <w:pPr>
        <w:spacing w:after="0" w:line="240" w:lineRule="auto"/>
        <w:rPr>
          <w:rFonts w:ascii="Times New Roman" w:eastAsia="Times New Roman" w:hAnsi="Times New Roman" w:cs="Times New Roman"/>
          <w:b/>
          <w:bCs/>
          <w:sz w:val="24"/>
          <w:szCs w:val="24"/>
        </w:rPr>
      </w:pPr>
    </w:p>
    <w:p w14:paraId="41119D18" w14:textId="3AEB3F04" w:rsidR="6BD4EA9E" w:rsidRDefault="6BD4EA9E"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Q13.</w:t>
      </w:r>
      <w:r w:rsidRPr="360D5D79">
        <w:rPr>
          <w:rFonts w:ascii="Times New Roman" w:eastAsia="Times New Roman" w:hAnsi="Times New Roman" w:cs="Times New Roman"/>
          <w:sz w:val="24"/>
          <w:szCs w:val="24"/>
        </w:rPr>
        <w:t xml:space="preserve">  We would also like to check whether the Risk Assessment and Contingency Plan are part of the same document entitled Risk Assessment Annex</w:t>
      </w:r>
      <w:r w:rsidR="1E735648" w:rsidRPr="360D5D79">
        <w:rPr>
          <w:rFonts w:ascii="Times New Roman" w:eastAsia="Times New Roman" w:hAnsi="Times New Roman" w:cs="Times New Roman"/>
          <w:sz w:val="24"/>
          <w:szCs w:val="24"/>
        </w:rPr>
        <w:t>.</w:t>
      </w:r>
    </w:p>
    <w:p w14:paraId="0C6C3C03" w14:textId="2AC22524" w:rsidR="1855E20E" w:rsidRDefault="1855E20E" w:rsidP="360D5D79">
      <w:pPr>
        <w:spacing w:after="0" w:line="240" w:lineRule="auto"/>
        <w:rPr>
          <w:rFonts w:ascii="Times New Roman" w:eastAsia="Times New Roman" w:hAnsi="Times New Roman" w:cs="Times New Roman"/>
          <w:b/>
          <w:bCs/>
          <w:color w:val="0070C0"/>
          <w:sz w:val="24"/>
          <w:szCs w:val="24"/>
        </w:rPr>
      </w:pPr>
    </w:p>
    <w:p w14:paraId="50A065BF" w14:textId="19CDF00B" w:rsidR="1855E20E" w:rsidRDefault="1E735648"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A13.</w:t>
      </w:r>
      <w:r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color w:val="0070C0"/>
          <w:sz w:val="24"/>
          <w:szCs w:val="24"/>
        </w:rPr>
        <w:t>The Risk Assessment Annex should</w:t>
      </w:r>
      <w:r w:rsidR="05F6E8F7" w:rsidRPr="360D5D79">
        <w:rPr>
          <w:rFonts w:ascii="Times New Roman" w:eastAsia="Times New Roman" w:hAnsi="Times New Roman" w:cs="Times New Roman"/>
          <w:color w:val="0070C0"/>
          <w:sz w:val="24"/>
          <w:szCs w:val="24"/>
        </w:rPr>
        <w:t xml:space="preserve"> include a contingency plan for the various restrictions that may occur due to COVID-19 in WHA countries. </w:t>
      </w:r>
      <w:r w:rsidR="0497BF5B" w:rsidRPr="360D5D79">
        <w:rPr>
          <w:rFonts w:ascii="Times New Roman" w:eastAsia="Times New Roman" w:hAnsi="Times New Roman" w:cs="Times New Roman"/>
          <w:color w:val="0070C0"/>
          <w:sz w:val="24"/>
          <w:szCs w:val="24"/>
        </w:rPr>
        <w:t xml:space="preserve">More guidance on the risk assessment </w:t>
      </w:r>
      <w:proofErr w:type="gramStart"/>
      <w:r w:rsidR="0497BF5B" w:rsidRPr="360D5D79">
        <w:rPr>
          <w:rFonts w:ascii="Times New Roman" w:eastAsia="Times New Roman" w:hAnsi="Times New Roman" w:cs="Times New Roman"/>
          <w:color w:val="0070C0"/>
          <w:sz w:val="24"/>
          <w:szCs w:val="24"/>
        </w:rPr>
        <w:t>can be found</w:t>
      </w:r>
      <w:proofErr w:type="gramEnd"/>
      <w:r w:rsidR="0497BF5B" w:rsidRPr="360D5D79">
        <w:rPr>
          <w:rFonts w:ascii="Times New Roman" w:eastAsia="Times New Roman" w:hAnsi="Times New Roman" w:cs="Times New Roman"/>
          <w:color w:val="0070C0"/>
          <w:sz w:val="24"/>
          <w:szCs w:val="24"/>
        </w:rPr>
        <w:t xml:space="preserve"> in the PSI document in Tab D</w:t>
      </w:r>
      <w:r w:rsidR="0497BF5B" w:rsidRPr="360D5D79">
        <w:rPr>
          <w:rFonts w:ascii="Times New Roman" w:eastAsia="Times New Roman" w:hAnsi="Times New Roman" w:cs="Times New Roman"/>
          <w:sz w:val="24"/>
          <w:szCs w:val="24"/>
        </w:rPr>
        <w:t>.</w:t>
      </w:r>
      <w:r w:rsidR="0497BF5B" w:rsidRPr="360D5D79">
        <w:rPr>
          <w:rFonts w:ascii="Times New Roman" w:eastAsia="Times New Roman" w:hAnsi="Times New Roman" w:cs="Times New Roman"/>
        </w:rPr>
        <w:t xml:space="preserve"> </w:t>
      </w:r>
    </w:p>
    <w:p w14:paraId="2724D4B6" w14:textId="66047B4F" w:rsidR="1855E20E" w:rsidRDefault="1855E20E" w:rsidP="360D5D79">
      <w:pPr>
        <w:spacing w:after="0" w:line="240" w:lineRule="auto"/>
        <w:rPr>
          <w:rFonts w:ascii="Times New Roman" w:eastAsia="Times New Roman" w:hAnsi="Times New Roman" w:cs="Times New Roman"/>
          <w:b/>
          <w:bCs/>
          <w:sz w:val="24"/>
          <w:szCs w:val="24"/>
        </w:rPr>
      </w:pPr>
    </w:p>
    <w:p w14:paraId="7354D868" w14:textId="396DAA11" w:rsidR="1855E20E" w:rsidRDefault="1855E20E" w:rsidP="360D5D79">
      <w:pPr>
        <w:spacing w:after="0" w:line="240" w:lineRule="auto"/>
        <w:rPr>
          <w:rFonts w:ascii="Times New Roman" w:eastAsia="Times New Roman" w:hAnsi="Times New Roman" w:cs="Times New Roman"/>
        </w:rPr>
      </w:pPr>
      <w:r w:rsidRPr="360D5D79">
        <w:rPr>
          <w:rFonts w:ascii="Times New Roman" w:eastAsia="Times New Roman" w:hAnsi="Times New Roman" w:cs="Times New Roman"/>
          <w:b/>
          <w:bCs/>
          <w:sz w:val="24"/>
          <w:szCs w:val="24"/>
        </w:rPr>
        <w:t>Q</w:t>
      </w:r>
      <w:r w:rsidR="395F330A" w:rsidRPr="360D5D79">
        <w:rPr>
          <w:rFonts w:ascii="Times New Roman" w:eastAsia="Times New Roman" w:hAnsi="Times New Roman" w:cs="Times New Roman"/>
          <w:b/>
          <w:bCs/>
          <w:sz w:val="24"/>
          <w:szCs w:val="24"/>
        </w:rPr>
        <w:t>14</w:t>
      </w:r>
      <w:r w:rsidRPr="360D5D79">
        <w:rPr>
          <w:rFonts w:ascii="Times New Roman" w:eastAsia="Times New Roman" w:hAnsi="Times New Roman" w:cs="Times New Roman"/>
          <w:b/>
          <w:bCs/>
          <w:sz w:val="24"/>
          <w:szCs w:val="24"/>
        </w:rPr>
        <w:t>.</w:t>
      </w:r>
      <w:r w:rsidRPr="360D5D79">
        <w:rPr>
          <w:rFonts w:ascii="Times New Roman" w:eastAsia="Times New Roman" w:hAnsi="Times New Roman" w:cs="Times New Roman"/>
          <w:sz w:val="24"/>
          <w:szCs w:val="24"/>
        </w:rPr>
        <w:t xml:space="preserve">  We are interested in applying to the "Gender-Based Violence Prevention for Ecuador’s Education System NOFO -Assistance Listings Number: 19.750" and will like to request some additional information to present our proposal based on the Terms of Reference. Specifically, we would like to know where we </w:t>
      </w:r>
      <w:proofErr w:type="gramStart"/>
      <w:r w:rsidRPr="360D5D79">
        <w:rPr>
          <w:rFonts w:ascii="Times New Roman" w:eastAsia="Times New Roman" w:hAnsi="Times New Roman" w:cs="Times New Roman"/>
          <w:sz w:val="24"/>
          <w:szCs w:val="24"/>
        </w:rPr>
        <w:t>can</w:t>
      </w:r>
      <w:proofErr w:type="gramEnd"/>
      <w:r w:rsidRPr="360D5D79">
        <w:rPr>
          <w:rFonts w:ascii="Times New Roman" w:eastAsia="Times New Roman" w:hAnsi="Times New Roman" w:cs="Times New Roman"/>
          <w:sz w:val="24"/>
          <w:szCs w:val="24"/>
        </w:rPr>
        <w:t xml:space="preserve"> find guidelines or more information about the Gender Analysis we are meant to include. This analysis </w:t>
      </w:r>
      <w:proofErr w:type="gramStart"/>
      <w:r w:rsidRPr="360D5D79">
        <w:rPr>
          <w:rFonts w:ascii="Times New Roman" w:eastAsia="Times New Roman" w:hAnsi="Times New Roman" w:cs="Times New Roman"/>
          <w:sz w:val="24"/>
          <w:szCs w:val="24"/>
        </w:rPr>
        <w:t>is mentioned</w:t>
      </w:r>
      <w:proofErr w:type="gramEnd"/>
      <w:r w:rsidRPr="360D5D79">
        <w:rPr>
          <w:rFonts w:ascii="Times New Roman" w:eastAsia="Times New Roman" w:hAnsi="Times New Roman" w:cs="Times New Roman"/>
          <w:sz w:val="24"/>
          <w:szCs w:val="24"/>
        </w:rPr>
        <w:t xml:space="preserve"> in the Terms of Reference in the Proposal Narrative Components Section and refers to the PSI document for more information. However, in the PSI document, we </w:t>
      </w:r>
      <w:proofErr w:type="gramStart"/>
      <w:r w:rsidRPr="360D5D79">
        <w:rPr>
          <w:rFonts w:ascii="Times New Roman" w:eastAsia="Times New Roman" w:hAnsi="Times New Roman" w:cs="Times New Roman"/>
          <w:sz w:val="24"/>
          <w:szCs w:val="24"/>
        </w:rPr>
        <w:t>couldn't</w:t>
      </w:r>
      <w:proofErr w:type="gramEnd"/>
      <w:r w:rsidRPr="360D5D79">
        <w:rPr>
          <w:rFonts w:ascii="Times New Roman" w:eastAsia="Times New Roman" w:hAnsi="Times New Roman" w:cs="Times New Roman"/>
          <w:sz w:val="24"/>
          <w:szCs w:val="24"/>
        </w:rPr>
        <w:t xml:space="preserve"> find more information regarding the mentioned Gender Analysis. </w:t>
      </w:r>
    </w:p>
    <w:p w14:paraId="3BAB070C" w14:textId="35ADFF48" w:rsidR="360D5D79" w:rsidRDefault="360D5D79" w:rsidP="360D5D79">
      <w:pPr>
        <w:spacing w:after="0" w:line="240" w:lineRule="auto"/>
        <w:rPr>
          <w:rFonts w:ascii="Times New Roman" w:eastAsia="Times New Roman" w:hAnsi="Times New Roman" w:cs="Times New Roman"/>
          <w:b/>
          <w:bCs/>
          <w:color w:val="0070C0"/>
          <w:sz w:val="24"/>
          <w:szCs w:val="24"/>
        </w:rPr>
      </w:pPr>
    </w:p>
    <w:p w14:paraId="44BBC4DA" w14:textId="30B141C5" w:rsidR="1855E20E" w:rsidRDefault="1855E20E" w:rsidP="360D5D79">
      <w:pPr>
        <w:spacing w:after="0" w:line="240" w:lineRule="auto"/>
      </w:pPr>
      <w:r w:rsidRPr="360D5D79">
        <w:rPr>
          <w:rFonts w:ascii="Times New Roman" w:eastAsia="Times New Roman" w:hAnsi="Times New Roman" w:cs="Times New Roman"/>
          <w:b/>
          <w:bCs/>
          <w:color w:val="0070C0"/>
          <w:sz w:val="24"/>
          <w:szCs w:val="24"/>
        </w:rPr>
        <w:t>A</w:t>
      </w:r>
      <w:r w:rsidR="676F2972" w:rsidRPr="360D5D79">
        <w:rPr>
          <w:rFonts w:ascii="Times New Roman" w:eastAsia="Times New Roman" w:hAnsi="Times New Roman" w:cs="Times New Roman"/>
          <w:b/>
          <w:bCs/>
          <w:color w:val="0070C0"/>
          <w:sz w:val="24"/>
          <w:szCs w:val="24"/>
        </w:rPr>
        <w:t>14</w:t>
      </w:r>
      <w:r w:rsidRPr="360D5D79">
        <w:rPr>
          <w:rFonts w:ascii="Times New Roman" w:eastAsia="Times New Roman" w:hAnsi="Times New Roman" w:cs="Times New Roman"/>
          <w:b/>
          <w:bCs/>
          <w:color w:val="0070C0"/>
          <w:sz w:val="24"/>
          <w:szCs w:val="24"/>
        </w:rPr>
        <w:t>.</w:t>
      </w:r>
      <w:r w:rsidRPr="360D5D79">
        <w:rPr>
          <w:rFonts w:ascii="Times New Roman" w:eastAsia="Times New Roman" w:hAnsi="Times New Roman" w:cs="Times New Roman"/>
          <w:color w:val="0070C0"/>
          <w:sz w:val="24"/>
          <w:szCs w:val="24"/>
        </w:rPr>
        <w:t xml:space="preserve">  For more guidance and information on the Gender Analysis, please see Tab C in the Proposal Submission Instruction (PSI) document.  There is not a general template document for applicants to fill out, applicants should review questions provided under Tab C and compose a 1-2 page narrative and gender analysis as appropriate.  Not all question</w:t>
      </w:r>
      <w:r w:rsidR="6ADC50AB" w:rsidRPr="360D5D79">
        <w:rPr>
          <w:rFonts w:ascii="Times New Roman" w:eastAsia="Times New Roman" w:hAnsi="Times New Roman" w:cs="Times New Roman"/>
          <w:color w:val="0070C0"/>
          <w:sz w:val="24"/>
          <w:szCs w:val="24"/>
        </w:rPr>
        <w:t>s</w:t>
      </w:r>
      <w:r w:rsidRPr="360D5D79">
        <w:rPr>
          <w:rFonts w:ascii="Times New Roman" w:eastAsia="Times New Roman" w:hAnsi="Times New Roman" w:cs="Times New Roman"/>
          <w:color w:val="0070C0"/>
          <w:sz w:val="24"/>
          <w:szCs w:val="24"/>
        </w:rPr>
        <w:t xml:space="preserve"> need to </w:t>
      </w:r>
      <w:proofErr w:type="gramStart"/>
      <w:r w:rsidRPr="360D5D79">
        <w:rPr>
          <w:rFonts w:ascii="Times New Roman" w:eastAsia="Times New Roman" w:hAnsi="Times New Roman" w:cs="Times New Roman"/>
          <w:color w:val="0070C0"/>
          <w:sz w:val="24"/>
          <w:szCs w:val="24"/>
        </w:rPr>
        <w:t>be</w:t>
      </w:r>
      <w:r w:rsidR="6C03E579" w:rsidRPr="360D5D79">
        <w:rPr>
          <w:rFonts w:ascii="Times New Roman" w:eastAsia="Times New Roman" w:hAnsi="Times New Roman" w:cs="Times New Roman"/>
          <w:color w:val="0070C0"/>
          <w:sz w:val="24"/>
          <w:szCs w:val="24"/>
        </w:rPr>
        <w:t xml:space="preserve"> answered</w:t>
      </w:r>
      <w:proofErr w:type="gramEnd"/>
      <w:r w:rsidR="6C03E579" w:rsidRPr="360D5D79">
        <w:rPr>
          <w:rFonts w:ascii="Times New Roman" w:eastAsia="Times New Roman" w:hAnsi="Times New Roman" w:cs="Times New Roman"/>
          <w:color w:val="0070C0"/>
          <w:sz w:val="24"/>
          <w:szCs w:val="24"/>
        </w:rPr>
        <w:t>, please</w:t>
      </w:r>
      <w:r w:rsidRPr="360D5D79">
        <w:rPr>
          <w:rFonts w:ascii="Times New Roman" w:eastAsia="Times New Roman" w:hAnsi="Times New Roman" w:cs="Times New Roman"/>
          <w:color w:val="0070C0"/>
          <w:sz w:val="24"/>
          <w:szCs w:val="24"/>
        </w:rPr>
        <w:t xml:space="preserve"> selects questions pertaining to the proposal and answer accordingly. </w:t>
      </w:r>
      <w:r w:rsidRPr="360D5D79">
        <w:rPr>
          <w:rFonts w:ascii="Times New Roman" w:eastAsia="Times New Roman" w:hAnsi="Times New Roman" w:cs="Times New Roman"/>
          <w:sz w:val="24"/>
          <w:szCs w:val="24"/>
        </w:rPr>
        <w:t xml:space="preserve"> </w:t>
      </w:r>
    </w:p>
    <w:p w14:paraId="2AA37B74" w14:textId="344D9584" w:rsidR="360D5D79" w:rsidRDefault="360D5D79" w:rsidP="360D5D79">
      <w:pPr>
        <w:spacing w:after="0" w:line="240" w:lineRule="auto"/>
        <w:rPr>
          <w:rFonts w:ascii="Times New Roman" w:eastAsia="Times New Roman" w:hAnsi="Times New Roman" w:cs="Times New Roman"/>
          <w:b/>
          <w:bCs/>
          <w:sz w:val="24"/>
          <w:szCs w:val="24"/>
        </w:rPr>
      </w:pPr>
    </w:p>
    <w:p w14:paraId="60D2912D" w14:textId="2219F243" w:rsidR="2DB89D63" w:rsidRDefault="2DB89D63"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Q15.</w:t>
      </w:r>
      <w:r w:rsidRPr="360D5D79">
        <w:rPr>
          <w:rFonts w:ascii="Times New Roman" w:eastAsia="Times New Roman" w:hAnsi="Times New Roman" w:cs="Times New Roman"/>
          <w:sz w:val="24"/>
          <w:szCs w:val="24"/>
        </w:rPr>
        <w:t xml:space="preserve"> There appears to be a discrepancy between the NOFO and the grants.gov summary page regarding eligibility. Could you please confirm that the eligibility rules as outlined in the NOFO are applicable?</w:t>
      </w:r>
    </w:p>
    <w:p w14:paraId="4926A2ED" w14:textId="1332B5A5" w:rsidR="2DB89D63" w:rsidRDefault="2DB89D63" w:rsidP="360D5D79">
      <w:pPr>
        <w:spacing w:after="0" w:line="240" w:lineRule="auto"/>
        <w:rPr>
          <w:rFonts w:ascii="Times New Roman" w:eastAsia="Times New Roman" w:hAnsi="Times New Roman" w:cs="Times New Roman"/>
          <w:b/>
          <w:bCs/>
          <w:sz w:val="24"/>
          <w:szCs w:val="24"/>
        </w:rPr>
      </w:pPr>
    </w:p>
    <w:p w14:paraId="0CDCDB67" w14:textId="35FD4FB7" w:rsidR="2DB89D63" w:rsidRDefault="24ED1A9E"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color w:val="0070C0"/>
          <w:sz w:val="24"/>
          <w:szCs w:val="24"/>
        </w:rPr>
        <w:t>A15.</w:t>
      </w:r>
      <w:r w:rsidRPr="360D5D79">
        <w:rPr>
          <w:rFonts w:ascii="Times New Roman" w:eastAsia="Times New Roman" w:hAnsi="Times New Roman" w:cs="Times New Roman"/>
          <w:color w:val="0070C0"/>
          <w:sz w:val="24"/>
          <w:szCs w:val="24"/>
        </w:rPr>
        <w:t xml:space="preserve"> The eligibility criteria is accurately outlined in the NOFO and includes U.S.-based non-profit/non-governmental organizations subject to section 501(c)(3) of the U.S. tax code; Overseas non-governmental non-profit organizations; Foreign Public Entities and Public International Organizations; U.S.-based institutions of higher education, accredited overseas universities.</w:t>
      </w:r>
    </w:p>
    <w:p w14:paraId="0FC3D30B" w14:textId="24EA041A" w:rsidR="2DB89D63" w:rsidRDefault="2DB89D63" w:rsidP="360D5D79">
      <w:pPr>
        <w:spacing w:after="0" w:line="240" w:lineRule="auto"/>
        <w:rPr>
          <w:rFonts w:ascii="Times New Roman" w:eastAsia="Times New Roman" w:hAnsi="Times New Roman" w:cs="Times New Roman"/>
          <w:b/>
          <w:bCs/>
          <w:sz w:val="24"/>
          <w:szCs w:val="24"/>
        </w:rPr>
      </w:pPr>
    </w:p>
    <w:p w14:paraId="6BEA022F" w14:textId="1AD8CEA0" w:rsidR="2DB89D63" w:rsidRDefault="2DB89D63" w:rsidP="360D5D79">
      <w:pPr>
        <w:spacing w:after="0" w:line="240" w:lineRule="auto"/>
        <w:rPr>
          <w:rFonts w:ascii="Times New Roman" w:eastAsia="Times New Roman" w:hAnsi="Times New Roman" w:cs="Times New Roman"/>
          <w:color w:val="0070C0"/>
          <w:sz w:val="24"/>
          <w:szCs w:val="24"/>
        </w:rPr>
      </w:pPr>
      <w:r w:rsidRPr="360D5D79">
        <w:rPr>
          <w:rFonts w:ascii="Times New Roman" w:eastAsia="Times New Roman" w:hAnsi="Times New Roman" w:cs="Times New Roman"/>
          <w:b/>
          <w:bCs/>
          <w:sz w:val="24"/>
          <w:szCs w:val="24"/>
        </w:rPr>
        <w:t>Q16</w:t>
      </w:r>
      <w:r w:rsidRPr="360D5D79">
        <w:rPr>
          <w:rFonts w:ascii="Times New Roman" w:eastAsia="Times New Roman" w:hAnsi="Times New Roman" w:cs="Times New Roman"/>
          <w:sz w:val="24"/>
          <w:szCs w:val="24"/>
        </w:rPr>
        <w:t>. Does the reference to Municipalities refer in general to the local level including Cantons and Parishes?</w:t>
      </w:r>
    </w:p>
    <w:p w14:paraId="3C90240F" w14:textId="1EE54D44" w:rsidR="360D5D79" w:rsidRDefault="360D5D79" w:rsidP="360D5D79">
      <w:pPr>
        <w:spacing w:after="0" w:line="240" w:lineRule="auto"/>
        <w:rPr>
          <w:rFonts w:ascii="Times New Roman" w:eastAsia="Times New Roman" w:hAnsi="Times New Roman" w:cs="Times New Roman"/>
          <w:b/>
          <w:bCs/>
          <w:color w:val="0070C0"/>
          <w:sz w:val="24"/>
          <w:szCs w:val="24"/>
        </w:rPr>
      </w:pPr>
    </w:p>
    <w:p w14:paraId="59D6E67D" w14:textId="6B57D40C" w:rsidR="0B829852" w:rsidRDefault="0B829852"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A16</w:t>
      </w:r>
      <w:r w:rsidRPr="360D5D79">
        <w:rPr>
          <w:rFonts w:ascii="Times New Roman" w:eastAsia="Times New Roman" w:hAnsi="Times New Roman" w:cs="Times New Roman"/>
          <w:b/>
          <w:bCs/>
          <w:sz w:val="24"/>
          <w:szCs w:val="24"/>
        </w:rPr>
        <w:t>.</w:t>
      </w:r>
      <w:r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color w:val="0070C0"/>
          <w:sz w:val="24"/>
          <w:szCs w:val="24"/>
        </w:rPr>
        <w:t xml:space="preserve">The reference to municipalities </w:t>
      </w:r>
      <w:r w:rsidR="604064D8" w:rsidRPr="360D5D79">
        <w:rPr>
          <w:rFonts w:ascii="Times New Roman" w:eastAsia="Times New Roman" w:hAnsi="Times New Roman" w:cs="Times New Roman"/>
          <w:color w:val="0070C0"/>
          <w:sz w:val="24"/>
          <w:szCs w:val="24"/>
        </w:rPr>
        <w:t xml:space="preserve">refers to the local level administrative units and may include </w:t>
      </w:r>
      <w:r w:rsidRPr="360D5D79">
        <w:rPr>
          <w:rFonts w:ascii="Times New Roman" w:eastAsia="Times New Roman" w:hAnsi="Times New Roman" w:cs="Times New Roman"/>
          <w:color w:val="0070C0"/>
          <w:sz w:val="24"/>
          <w:szCs w:val="24"/>
        </w:rPr>
        <w:t>Cantons</w:t>
      </w:r>
      <w:r w:rsidR="712DC159" w:rsidRPr="360D5D79">
        <w:rPr>
          <w:rFonts w:ascii="Times New Roman" w:eastAsia="Times New Roman" w:hAnsi="Times New Roman" w:cs="Times New Roman"/>
          <w:color w:val="0070C0"/>
          <w:sz w:val="24"/>
          <w:szCs w:val="24"/>
        </w:rPr>
        <w:t xml:space="preserve"> and Parishes</w:t>
      </w:r>
    </w:p>
    <w:p w14:paraId="655DACC7" w14:textId="40ED27BE" w:rsidR="360D5D79" w:rsidRDefault="360D5D79" w:rsidP="360D5D79">
      <w:pPr>
        <w:spacing w:after="0" w:line="240" w:lineRule="auto"/>
        <w:rPr>
          <w:rFonts w:ascii="Times New Roman" w:eastAsia="Times New Roman" w:hAnsi="Times New Roman" w:cs="Times New Roman"/>
          <w:b/>
          <w:bCs/>
          <w:sz w:val="24"/>
          <w:szCs w:val="24"/>
        </w:rPr>
      </w:pPr>
    </w:p>
    <w:p w14:paraId="2ECD496B" w14:textId="416AF741" w:rsidR="1716AC9D" w:rsidRDefault="2DB89D63"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sz w:val="24"/>
          <w:szCs w:val="24"/>
        </w:rPr>
        <w:t>Q17.</w:t>
      </w:r>
      <w:r w:rsidRPr="360D5D79">
        <w:rPr>
          <w:rFonts w:ascii="Times New Roman" w:eastAsia="Times New Roman" w:hAnsi="Times New Roman" w:cs="Times New Roman"/>
          <w:sz w:val="24"/>
          <w:szCs w:val="24"/>
        </w:rPr>
        <w:t xml:space="preserve"> Do you expect the objectives, expected </w:t>
      </w:r>
      <w:proofErr w:type="gramStart"/>
      <w:r w:rsidRPr="360D5D79">
        <w:rPr>
          <w:rFonts w:ascii="Times New Roman" w:eastAsia="Times New Roman" w:hAnsi="Times New Roman" w:cs="Times New Roman"/>
          <w:sz w:val="24"/>
          <w:szCs w:val="24"/>
        </w:rPr>
        <w:t>outcomes and outputs</w:t>
      </w:r>
      <w:proofErr w:type="gramEnd"/>
      <w:r w:rsidRPr="360D5D79">
        <w:rPr>
          <w:rFonts w:ascii="Times New Roman" w:eastAsia="Times New Roman" w:hAnsi="Times New Roman" w:cs="Times New Roman"/>
          <w:sz w:val="24"/>
          <w:szCs w:val="24"/>
        </w:rPr>
        <w:t xml:space="preserve"> and indicators to be phrased verbatim in line with the NOFO?</w:t>
      </w:r>
    </w:p>
    <w:p w14:paraId="2A7638AD" w14:textId="2750F099" w:rsidR="360D5D79" w:rsidRDefault="360D5D79" w:rsidP="360D5D79">
      <w:pPr>
        <w:spacing w:after="0" w:line="240" w:lineRule="auto"/>
        <w:rPr>
          <w:rFonts w:ascii="Times New Roman" w:eastAsia="Times New Roman" w:hAnsi="Times New Roman" w:cs="Times New Roman"/>
          <w:b/>
          <w:bCs/>
          <w:color w:val="0070C0"/>
          <w:sz w:val="24"/>
          <w:szCs w:val="24"/>
        </w:rPr>
      </w:pPr>
    </w:p>
    <w:p w14:paraId="76CBEA31" w14:textId="6C11B3F4" w:rsidR="6BA9A972" w:rsidRDefault="6BA9A972" w:rsidP="360D5D79">
      <w:pPr>
        <w:spacing w:after="0" w:line="240" w:lineRule="auto"/>
        <w:rPr>
          <w:rFonts w:ascii="Times New Roman" w:eastAsia="Times New Roman" w:hAnsi="Times New Roman" w:cs="Times New Roman"/>
          <w:sz w:val="24"/>
          <w:szCs w:val="24"/>
        </w:rPr>
      </w:pPr>
      <w:r w:rsidRPr="360D5D79">
        <w:rPr>
          <w:rFonts w:ascii="Times New Roman" w:eastAsia="Times New Roman" w:hAnsi="Times New Roman" w:cs="Times New Roman"/>
          <w:b/>
          <w:bCs/>
          <w:color w:val="0070C0"/>
          <w:sz w:val="24"/>
          <w:szCs w:val="24"/>
        </w:rPr>
        <w:t>A17.</w:t>
      </w:r>
      <w:r w:rsidRPr="360D5D79">
        <w:rPr>
          <w:rFonts w:ascii="Times New Roman" w:eastAsia="Times New Roman" w:hAnsi="Times New Roman" w:cs="Times New Roman"/>
          <w:b/>
          <w:bCs/>
          <w:sz w:val="24"/>
          <w:szCs w:val="24"/>
        </w:rPr>
        <w:t xml:space="preserve"> </w:t>
      </w:r>
      <w:r w:rsidRPr="360D5D79">
        <w:rPr>
          <w:rFonts w:ascii="Times New Roman" w:eastAsia="Times New Roman" w:hAnsi="Times New Roman" w:cs="Times New Roman"/>
          <w:color w:val="0070C0"/>
          <w:sz w:val="24"/>
          <w:szCs w:val="24"/>
        </w:rPr>
        <w:t>The pro</w:t>
      </w:r>
      <w:r w:rsidR="0E7366A8" w:rsidRPr="360D5D79">
        <w:rPr>
          <w:rFonts w:ascii="Times New Roman" w:eastAsia="Times New Roman" w:hAnsi="Times New Roman" w:cs="Times New Roman"/>
          <w:color w:val="0070C0"/>
          <w:sz w:val="24"/>
          <w:szCs w:val="24"/>
        </w:rPr>
        <w:t xml:space="preserve">posal </w:t>
      </w:r>
      <w:r w:rsidRPr="360D5D79">
        <w:rPr>
          <w:rFonts w:ascii="Times New Roman" w:eastAsia="Times New Roman" w:hAnsi="Times New Roman" w:cs="Times New Roman"/>
          <w:color w:val="0070C0"/>
          <w:sz w:val="24"/>
          <w:szCs w:val="24"/>
        </w:rPr>
        <w:t>should</w:t>
      </w:r>
      <w:r w:rsidR="7B3BEAE9" w:rsidRPr="360D5D79">
        <w:rPr>
          <w:rFonts w:ascii="Times New Roman" w:eastAsia="Times New Roman" w:hAnsi="Times New Roman" w:cs="Times New Roman"/>
          <w:color w:val="0070C0"/>
          <w:sz w:val="24"/>
          <w:szCs w:val="24"/>
        </w:rPr>
        <w:t xml:space="preserve"> clearly outline project activities that meet the objectives stated in the NOFO and include the required output and outcome indicators</w:t>
      </w:r>
      <w:r w:rsidR="7B3BEAE9" w:rsidRPr="360D5D79">
        <w:rPr>
          <w:rFonts w:ascii="Times New Roman" w:eastAsia="Times New Roman" w:hAnsi="Times New Roman" w:cs="Times New Roman"/>
          <w:sz w:val="24"/>
          <w:szCs w:val="24"/>
        </w:rPr>
        <w:t xml:space="preserve">. </w:t>
      </w:r>
      <w:r w:rsidRPr="360D5D79">
        <w:rPr>
          <w:rFonts w:ascii="Times New Roman" w:eastAsia="Times New Roman" w:hAnsi="Times New Roman" w:cs="Times New Roman"/>
          <w:sz w:val="24"/>
          <w:szCs w:val="24"/>
        </w:rPr>
        <w:t xml:space="preserve"> </w:t>
      </w:r>
    </w:p>
    <w:sectPr w:rsidR="6BA9A97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5656E2" w14:textId="77777777" w:rsidR="00C93903" w:rsidRDefault="00C93903" w:rsidP="00C93903">
      <w:pPr>
        <w:spacing w:after="0" w:line="240" w:lineRule="auto"/>
      </w:pPr>
      <w:r>
        <w:separator/>
      </w:r>
    </w:p>
  </w:endnote>
  <w:endnote w:type="continuationSeparator" w:id="0">
    <w:p w14:paraId="754A7EB9" w14:textId="77777777" w:rsidR="00C93903" w:rsidRDefault="00C93903" w:rsidP="00C9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FB6B" w14:textId="77777777" w:rsidR="00C93903" w:rsidRDefault="00C93903" w:rsidP="00C93903">
      <w:pPr>
        <w:spacing w:after="0" w:line="240" w:lineRule="auto"/>
      </w:pPr>
      <w:r>
        <w:separator/>
      </w:r>
    </w:p>
  </w:footnote>
  <w:footnote w:type="continuationSeparator" w:id="0">
    <w:p w14:paraId="577308E4" w14:textId="77777777" w:rsidR="00C93903" w:rsidRDefault="00C93903" w:rsidP="00C93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43423"/>
    <w:multiLevelType w:val="hybridMultilevel"/>
    <w:tmpl w:val="BBA43C5E"/>
    <w:lvl w:ilvl="0" w:tplc="4CE41DA8">
      <w:start w:val="1"/>
      <w:numFmt w:val="upperLetter"/>
      <w:lvlText w:val="%1."/>
      <w:lvlJc w:val="left"/>
      <w:pPr>
        <w:ind w:left="720" w:hanging="360"/>
      </w:pPr>
    </w:lvl>
    <w:lvl w:ilvl="1" w:tplc="1BB66F84">
      <w:start w:val="1"/>
      <w:numFmt w:val="lowerLetter"/>
      <w:lvlText w:val="%2."/>
      <w:lvlJc w:val="left"/>
      <w:pPr>
        <w:ind w:left="1440" w:hanging="360"/>
      </w:pPr>
    </w:lvl>
    <w:lvl w:ilvl="2" w:tplc="896C89E2">
      <w:start w:val="1"/>
      <w:numFmt w:val="lowerRoman"/>
      <w:lvlText w:val="%3."/>
      <w:lvlJc w:val="right"/>
      <w:pPr>
        <w:ind w:left="2160" w:hanging="180"/>
      </w:pPr>
    </w:lvl>
    <w:lvl w:ilvl="3" w:tplc="452889A6">
      <w:start w:val="1"/>
      <w:numFmt w:val="decimal"/>
      <w:lvlText w:val="%4."/>
      <w:lvlJc w:val="left"/>
      <w:pPr>
        <w:ind w:left="2880" w:hanging="360"/>
      </w:pPr>
    </w:lvl>
    <w:lvl w:ilvl="4" w:tplc="2A625D18">
      <w:start w:val="1"/>
      <w:numFmt w:val="lowerLetter"/>
      <w:lvlText w:val="%5."/>
      <w:lvlJc w:val="left"/>
      <w:pPr>
        <w:ind w:left="3600" w:hanging="360"/>
      </w:pPr>
    </w:lvl>
    <w:lvl w:ilvl="5" w:tplc="D71E1220">
      <w:start w:val="1"/>
      <w:numFmt w:val="lowerRoman"/>
      <w:lvlText w:val="%6."/>
      <w:lvlJc w:val="right"/>
      <w:pPr>
        <w:ind w:left="4320" w:hanging="180"/>
      </w:pPr>
    </w:lvl>
    <w:lvl w:ilvl="6" w:tplc="A770F992">
      <w:start w:val="1"/>
      <w:numFmt w:val="decimal"/>
      <w:lvlText w:val="%7."/>
      <w:lvlJc w:val="left"/>
      <w:pPr>
        <w:ind w:left="5040" w:hanging="360"/>
      </w:pPr>
    </w:lvl>
    <w:lvl w:ilvl="7" w:tplc="0F882A92">
      <w:start w:val="1"/>
      <w:numFmt w:val="lowerLetter"/>
      <w:lvlText w:val="%8."/>
      <w:lvlJc w:val="left"/>
      <w:pPr>
        <w:ind w:left="5760" w:hanging="360"/>
      </w:pPr>
    </w:lvl>
    <w:lvl w:ilvl="8" w:tplc="9A8C6884">
      <w:start w:val="1"/>
      <w:numFmt w:val="lowerRoman"/>
      <w:lvlText w:val="%9."/>
      <w:lvlJc w:val="right"/>
      <w:pPr>
        <w:ind w:left="6480" w:hanging="180"/>
      </w:pPr>
    </w:lvl>
  </w:abstractNum>
  <w:abstractNum w:abstractNumId="1" w15:restartNumberingAfterBreak="0">
    <w:nsid w:val="052E6579"/>
    <w:multiLevelType w:val="hybridMultilevel"/>
    <w:tmpl w:val="2348E01A"/>
    <w:lvl w:ilvl="0" w:tplc="F1AA85E8">
      <w:start w:val="1"/>
      <w:numFmt w:val="upperLetter"/>
      <w:lvlText w:val="%1."/>
      <w:lvlJc w:val="left"/>
      <w:pPr>
        <w:ind w:left="720" w:hanging="360"/>
      </w:pPr>
    </w:lvl>
    <w:lvl w:ilvl="1" w:tplc="869A5600">
      <w:start w:val="1"/>
      <w:numFmt w:val="lowerLetter"/>
      <w:lvlText w:val="%2."/>
      <w:lvlJc w:val="left"/>
      <w:pPr>
        <w:ind w:left="1440" w:hanging="360"/>
      </w:pPr>
    </w:lvl>
    <w:lvl w:ilvl="2" w:tplc="BD58708A">
      <w:start w:val="1"/>
      <w:numFmt w:val="lowerRoman"/>
      <w:lvlText w:val="%3."/>
      <w:lvlJc w:val="right"/>
      <w:pPr>
        <w:ind w:left="2160" w:hanging="180"/>
      </w:pPr>
    </w:lvl>
    <w:lvl w:ilvl="3" w:tplc="B7D61C8E">
      <w:start w:val="1"/>
      <w:numFmt w:val="decimal"/>
      <w:lvlText w:val="%4."/>
      <w:lvlJc w:val="left"/>
      <w:pPr>
        <w:ind w:left="2880" w:hanging="360"/>
      </w:pPr>
    </w:lvl>
    <w:lvl w:ilvl="4" w:tplc="BBA41704">
      <w:start w:val="1"/>
      <w:numFmt w:val="lowerLetter"/>
      <w:lvlText w:val="%5."/>
      <w:lvlJc w:val="left"/>
      <w:pPr>
        <w:ind w:left="3600" w:hanging="360"/>
      </w:pPr>
    </w:lvl>
    <w:lvl w:ilvl="5" w:tplc="6FDCD072">
      <w:start w:val="1"/>
      <w:numFmt w:val="lowerRoman"/>
      <w:lvlText w:val="%6."/>
      <w:lvlJc w:val="right"/>
      <w:pPr>
        <w:ind w:left="4320" w:hanging="180"/>
      </w:pPr>
    </w:lvl>
    <w:lvl w:ilvl="6" w:tplc="29E6B97C">
      <w:start w:val="1"/>
      <w:numFmt w:val="decimal"/>
      <w:lvlText w:val="%7."/>
      <w:lvlJc w:val="left"/>
      <w:pPr>
        <w:ind w:left="5040" w:hanging="360"/>
      </w:pPr>
    </w:lvl>
    <w:lvl w:ilvl="7" w:tplc="52E0B278">
      <w:start w:val="1"/>
      <w:numFmt w:val="lowerLetter"/>
      <w:lvlText w:val="%8."/>
      <w:lvlJc w:val="left"/>
      <w:pPr>
        <w:ind w:left="5760" w:hanging="360"/>
      </w:pPr>
    </w:lvl>
    <w:lvl w:ilvl="8" w:tplc="3FE6E574">
      <w:start w:val="1"/>
      <w:numFmt w:val="lowerRoman"/>
      <w:lvlText w:val="%9."/>
      <w:lvlJc w:val="right"/>
      <w:pPr>
        <w:ind w:left="6480" w:hanging="180"/>
      </w:pPr>
    </w:lvl>
  </w:abstractNum>
  <w:abstractNum w:abstractNumId="2" w15:restartNumberingAfterBreak="0">
    <w:nsid w:val="07090D4E"/>
    <w:multiLevelType w:val="hybridMultilevel"/>
    <w:tmpl w:val="54524EB2"/>
    <w:lvl w:ilvl="0" w:tplc="768C441C">
      <w:start w:val="1"/>
      <w:numFmt w:val="bullet"/>
      <w:lvlText w:val=""/>
      <w:lvlJc w:val="left"/>
      <w:pPr>
        <w:ind w:left="720" w:hanging="360"/>
      </w:pPr>
      <w:rPr>
        <w:rFonts w:ascii="Symbol" w:hAnsi="Symbol" w:hint="default"/>
      </w:rPr>
    </w:lvl>
    <w:lvl w:ilvl="1" w:tplc="7BE0CE02">
      <w:start w:val="1"/>
      <w:numFmt w:val="bullet"/>
      <w:lvlText w:val="o"/>
      <w:lvlJc w:val="left"/>
      <w:pPr>
        <w:ind w:left="1440" w:hanging="360"/>
      </w:pPr>
      <w:rPr>
        <w:rFonts w:ascii="Courier New" w:hAnsi="Courier New" w:hint="default"/>
      </w:rPr>
    </w:lvl>
    <w:lvl w:ilvl="2" w:tplc="C36232CA">
      <w:start w:val="1"/>
      <w:numFmt w:val="bullet"/>
      <w:lvlText w:val=""/>
      <w:lvlJc w:val="left"/>
      <w:pPr>
        <w:ind w:left="2160" w:hanging="360"/>
      </w:pPr>
      <w:rPr>
        <w:rFonts w:ascii="Wingdings" w:hAnsi="Wingdings" w:hint="default"/>
      </w:rPr>
    </w:lvl>
    <w:lvl w:ilvl="3" w:tplc="D3FE4EFC">
      <w:start w:val="1"/>
      <w:numFmt w:val="bullet"/>
      <w:lvlText w:val=""/>
      <w:lvlJc w:val="left"/>
      <w:pPr>
        <w:ind w:left="2880" w:hanging="360"/>
      </w:pPr>
      <w:rPr>
        <w:rFonts w:ascii="Symbol" w:hAnsi="Symbol" w:hint="default"/>
      </w:rPr>
    </w:lvl>
    <w:lvl w:ilvl="4" w:tplc="8E503BAC">
      <w:start w:val="1"/>
      <w:numFmt w:val="bullet"/>
      <w:lvlText w:val="o"/>
      <w:lvlJc w:val="left"/>
      <w:pPr>
        <w:ind w:left="3600" w:hanging="360"/>
      </w:pPr>
      <w:rPr>
        <w:rFonts w:ascii="Courier New" w:hAnsi="Courier New" w:hint="default"/>
      </w:rPr>
    </w:lvl>
    <w:lvl w:ilvl="5" w:tplc="AB24FED0">
      <w:start w:val="1"/>
      <w:numFmt w:val="bullet"/>
      <w:lvlText w:val=""/>
      <w:lvlJc w:val="left"/>
      <w:pPr>
        <w:ind w:left="4320" w:hanging="360"/>
      </w:pPr>
      <w:rPr>
        <w:rFonts w:ascii="Wingdings" w:hAnsi="Wingdings" w:hint="default"/>
      </w:rPr>
    </w:lvl>
    <w:lvl w:ilvl="6" w:tplc="355A3B44">
      <w:start w:val="1"/>
      <w:numFmt w:val="bullet"/>
      <w:lvlText w:val=""/>
      <w:lvlJc w:val="left"/>
      <w:pPr>
        <w:ind w:left="5040" w:hanging="360"/>
      </w:pPr>
      <w:rPr>
        <w:rFonts w:ascii="Symbol" w:hAnsi="Symbol" w:hint="default"/>
      </w:rPr>
    </w:lvl>
    <w:lvl w:ilvl="7" w:tplc="1758F952">
      <w:start w:val="1"/>
      <w:numFmt w:val="bullet"/>
      <w:lvlText w:val="o"/>
      <w:lvlJc w:val="left"/>
      <w:pPr>
        <w:ind w:left="5760" w:hanging="360"/>
      </w:pPr>
      <w:rPr>
        <w:rFonts w:ascii="Courier New" w:hAnsi="Courier New" w:hint="default"/>
      </w:rPr>
    </w:lvl>
    <w:lvl w:ilvl="8" w:tplc="6F7659AA">
      <w:start w:val="1"/>
      <w:numFmt w:val="bullet"/>
      <w:lvlText w:val=""/>
      <w:lvlJc w:val="left"/>
      <w:pPr>
        <w:ind w:left="6480" w:hanging="360"/>
      </w:pPr>
      <w:rPr>
        <w:rFonts w:ascii="Wingdings" w:hAnsi="Wingdings" w:hint="default"/>
      </w:rPr>
    </w:lvl>
  </w:abstractNum>
  <w:abstractNum w:abstractNumId="3" w15:restartNumberingAfterBreak="0">
    <w:nsid w:val="2B2C730A"/>
    <w:multiLevelType w:val="hybridMultilevel"/>
    <w:tmpl w:val="30D47BB0"/>
    <w:lvl w:ilvl="0" w:tplc="8D8EE834">
      <w:start w:val="1"/>
      <w:numFmt w:val="lowerLetter"/>
      <w:lvlText w:val="%1."/>
      <w:lvlJc w:val="left"/>
      <w:pPr>
        <w:ind w:left="720" w:hanging="360"/>
      </w:pPr>
    </w:lvl>
    <w:lvl w:ilvl="1" w:tplc="90C09026">
      <w:start w:val="1"/>
      <w:numFmt w:val="lowerLetter"/>
      <w:lvlText w:val="%2."/>
      <w:lvlJc w:val="left"/>
      <w:pPr>
        <w:ind w:left="1440" w:hanging="360"/>
      </w:pPr>
    </w:lvl>
    <w:lvl w:ilvl="2" w:tplc="6C6A907C">
      <w:start w:val="1"/>
      <w:numFmt w:val="lowerRoman"/>
      <w:lvlText w:val="%3."/>
      <w:lvlJc w:val="right"/>
      <w:pPr>
        <w:ind w:left="2160" w:hanging="180"/>
      </w:pPr>
    </w:lvl>
    <w:lvl w:ilvl="3" w:tplc="8C68E43E">
      <w:start w:val="1"/>
      <w:numFmt w:val="decimal"/>
      <w:lvlText w:val="%4."/>
      <w:lvlJc w:val="left"/>
      <w:pPr>
        <w:ind w:left="2880" w:hanging="360"/>
      </w:pPr>
    </w:lvl>
    <w:lvl w:ilvl="4" w:tplc="E486AB9E">
      <w:start w:val="1"/>
      <w:numFmt w:val="lowerLetter"/>
      <w:lvlText w:val="%5."/>
      <w:lvlJc w:val="left"/>
      <w:pPr>
        <w:ind w:left="3600" w:hanging="360"/>
      </w:pPr>
    </w:lvl>
    <w:lvl w:ilvl="5" w:tplc="72B2789E">
      <w:start w:val="1"/>
      <w:numFmt w:val="lowerRoman"/>
      <w:lvlText w:val="%6."/>
      <w:lvlJc w:val="right"/>
      <w:pPr>
        <w:ind w:left="4320" w:hanging="180"/>
      </w:pPr>
    </w:lvl>
    <w:lvl w:ilvl="6" w:tplc="D0780032">
      <w:start w:val="1"/>
      <w:numFmt w:val="decimal"/>
      <w:lvlText w:val="%7."/>
      <w:lvlJc w:val="left"/>
      <w:pPr>
        <w:ind w:left="5040" w:hanging="360"/>
      </w:pPr>
    </w:lvl>
    <w:lvl w:ilvl="7" w:tplc="DD0E1386">
      <w:start w:val="1"/>
      <w:numFmt w:val="lowerLetter"/>
      <w:lvlText w:val="%8."/>
      <w:lvlJc w:val="left"/>
      <w:pPr>
        <w:ind w:left="5760" w:hanging="360"/>
      </w:pPr>
    </w:lvl>
    <w:lvl w:ilvl="8" w:tplc="51C0CB62">
      <w:start w:val="1"/>
      <w:numFmt w:val="lowerRoman"/>
      <w:lvlText w:val="%9."/>
      <w:lvlJc w:val="right"/>
      <w:pPr>
        <w:ind w:left="6480" w:hanging="180"/>
      </w:pPr>
    </w:lvl>
  </w:abstractNum>
  <w:abstractNum w:abstractNumId="4" w15:restartNumberingAfterBreak="0">
    <w:nsid w:val="2BF33A98"/>
    <w:multiLevelType w:val="hybridMultilevel"/>
    <w:tmpl w:val="4DCE5D74"/>
    <w:lvl w:ilvl="0" w:tplc="85826194">
      <w:start w:val="1"/>
      <w:numFmt w:val="lowerLetter"/>
      <w:lvlText w:val="%1."/>
      <w:lvlJc w:val="left"/>
      <w:pPr>
        <w:ind w:left="720" w:hanging="360"/>
      </w:pPr>
    </w:lvl>
    <w:lvl w:ilvl="1" w:tplc="F912DDA6">
      <w:start w:val="1"/>
      <w:numFmt w:val="lowerLetter"/>
      <w:lvlText w:val="%2."/>
      <w:lvlJc w:val="left"/>
      <w:pPr>
        <w:ind w:left="1440" w:hanging="360"/>
      </w:pPr>
    </w:lvl>
    <w:lvl w:ilvl="2" w:tplc="E55A46E8">
      <w:start w:val="1"/>
      <w:numFmt w:val="lowerRoman"/>
      <w:lvlText w:val="%3."/>
      <w:lvlJc w:val="right"/>
      <w:pPr>
        <w:ind w:left="2160" w:hanging="180"/>
      </w:pPr>
    </w:lvl>
    <w:lvl w:ilvl="3" w:tplc="C3F889C2">
      <w:start w:val="1"/>
      <w:numFmt w:val="decimal"/>
      <w:lvlText w:val="%4."/>
      <w:lvlJc w:val="left"/>
      <w:pPr>
        <w:ind w:left="2880" w:hanging="360"/>
      </w:pPr>
    </w:lvl>
    <w:lvl w:ilvl="4" w:tplc="5394A54E">
      <w:start w:val="1"/>
      <w:numFmt w:val="lowerLetter"/>
      <w:lvlText w:val="%5."/>
      <w:lvlJc w:val="left"/>
      <w:pPr>
        <w:ind w:left="3600" w:hanging="360"/>
      </w:pPr>
    </w:lvl>
    <w:lvl w:ilvl="5" w:tplc="18A60826">
      <w:start w:val="1"/>
      <w:numFmt w:val="lowerRoman"/>
      <w:lvlText w:val="%6."/>
      <w:lvlJc w:val="right"/>
      <w:pPr>
        <w:ind w:left="4320" w:hanging="180"/>
      </w:pPr>
    </w:lvl>
    <w:lvl w:ilvl="6" w:tplc="17543E9E">
      <w:start w:val="1"/>
      <w:numFmt w:val="decimal"/>
      <w:lvlText w:val="%7."/>
      <w:lvlJc w:val="left"/>
      <w:pPr>
        <w:ind w:left="5040" w:hanging="360"/>
      </w:pPr>
    </w:lvl>
    <w:lvl w:ilvl="7" w:tplc="803A98C0">
      <w:start w:val="1"/>
      <w:numFmt w:val="lowerLetter"/>
      <w:lvlText w:val="%8."/>
      <w:lvlJc w:val="left"/>
      <w:pPr>
        <w:ind w:left="5760" w:hanging="360"/>
      </w:pPr>
    </w:lvl>
    <w:lvl w:ilvl="8" w:tplc="ACD62B68">
      <w:start w:val="1"/>
      <w:numFmt w:val="lowerRoman"/>
      <w:lvlText w:val="%9."/>
      <w:lvlJc w:val="right"/>
      <w:pPr>
        <w:ind w:left="6480" w:hanging="180"/>
      </w:pPr>
    </w:lvl>
  </w:abstractNum>
  <w:abstractNum w:abstractNumId="5" w15:restartNumberingAfterBreak="0">
    <w:nsid w:val="2C36559C"/>
    <w:multiLevelType w:val="hybridMultilevel"/>
    <w:tmpl w:val="F2344258"/>
    <w:lvl w:ilvl="0" w:tplc="B994F872">
      <w:start w:val="1"/>
      <w:numFmt w:val="decimal"/>
      <w:lvlText w:val="%1."/>
      <w:lvlJc w:val="left"/>
      <w:pPr>
        <w:ind w:left="720" w:hanging="360"/>
      </w:pPr>
    </w:lvl>
    <w:lvl w:ilvl="1" w:tplc="C23603A0">
      <w:start w:val="1"/>
      <w:numFmt w:val="lowerLetter"/>
      <w:lvlText w:val="%2."/>
      <w:lvlJc w:val="left"/>
      <w:pPr>
        <w:ind w:left="1440" w:hanging="360"/>
      </w:pPr>
    </w:lvl>
    <w:lvl w:ilvl="2" w:tplc="7EF04D9E">
      <w:start w:val="1"/>
      <w:numFmt w:val="lowerRoman"/>
      <w:lvlText w:val="%3."/>
      <w:lvlJc w:val="right"/>
      <w:pPr>
        <w:ind w:left="2160" w:hanging="180"/>
      </w:pPr>
    </w:lvl>
    <w:lvl w:ilvl="3" w:tplc="2042F15A">
      <w:start w:val="1"/>
      <w:numFmt w:val="decimal"/>
      <w:lvlText w:val="%4."/>
      <w:lvlJc w:val="left"/>
      <w:pPr>
        <w:ind w:left="2880" w:hanging="360"/>
      </w:pPr>
    </w:lvl>
    <w:lvl w:ilvl="4" w:tplc="B7A0EE60">
      <w:start w:val="1"/>
      <w:numFmt w:val="lowerLetter"/>
      <w:lvlText w:val="%5."/>
      <w:lvlJc w:val="left"/>
      <w:pPr>
        <w:ind w:left="3600" w:hanging="360"/>
      </w:pPr>
    </w:lvl>
    <w:lvl w:ilvl="5" w:tplc="71AAE060">
      <w:start w:val="1"/>
      <w:numFmt w:val="lowerRoman"/>
      <w:lvlText w:val="%6."/>
      <w:lvlJc w:val="right"/>
      <w:pPr>
        <w:ind w:left="4320" w:hanging="180"/>
      </w:pPr>
    </w:lvl>
    <w:lvl w:ilvl="6" w:tplc="78D4D53E">
      <w:start w:val="1"/>
      <w:numFmt w:val="decimal"/>
      <w:lvlText w:val="%7."/>
      <w:lvlJc w:val="left"/>
      <w:pPr>
        <w:ind w:left="5040" w:hanging="360"/>
      </w:pPr>
    </w:lvl>
    <w:lvl w:ilvl="7" w:tplc="483C80BC">
      <w:start w:val="1"/>
      <w:numFmt w:val="lowerLetter"/>
      <w:lvlText w:val="%8."/>
      <w:lvlJc w:val="left"/>
      <w:pPr>
        <w:ind w:left="5760" w:hanging="360"/>
      </w:pPr>
    </w:lvl>
    <w:lvl w:ilvl="8" w:tplc="3D703ABC">
      <w:start w:val="1"/>
      <w:numFmt w:val="lowerRoman"/>
      <w:lvlText w:val="%9."/>
      <w:lvlJc w:val="right"/>
      <w:pPr>
        <w:ind w:left="6480" w:hanging="180"/>
      </w:pPr>
    </w:lvl>
  </w:abstractNum>
  <w:abstractNum w:abstractNumId="6" w15:restartNumberingAfterBreak="0">
    <w:nsid w:val="4ED86845"/>
    <w:multiLevelType w:val="hybridMultilevel"/>
    <w:tmpl w:val="F9A287FA"/>
    <w:lvl w:ilvl="0" w:tplc="F0EAC71E">
      <w:start w:val="1"/>
      <w:numFmt w:val="decimal"/>
      <w:lvlText w:val="%1."/>
      <w:lvlJc w:val="left"/>
      <w:pPr>
        <w:ind w:left="720" w:hanging="360"/>
      </w:pPr>
    </w:lvl>
    <w:lvl w:ilvl="1" w:tplc="5A4ED4F4">
      <w:start w:val="1"/>
      <w:numFmt w:val="lowerLetter"/>
      <w:lvlText w:val="%2."/>
      <w:lvlJc w:val="left"/>
      <w:pPr>
        <w:ind w:left="1440" w:hanging="360"/>
      </w:pPr>
    </w:lvl>
    <w:lvl w:ilvl="2" w:tplc="3BA2434C">
      <w:start w:val="1"/>
      <w:numFmt w:val="lowerRoman"/>
      <w:lvlText w:val="%3."/>
      <w:lvlJc w:val="right"/>
      <w:pPr>
        <w:ind w:left="2160" w:hanging="180"/>
      </w:pPr>
    </w:lvl>
    <w:lvl w:ilvl="3" w:tplc="2B723A38">
      <w:start w:val="1"/>
      <w:numFmt w:val="decimal"/>
      <w:lvlText w:val="%4."/>
      <w:lvlJc w:val="left"/>
      <w:pPr>
        <w:ind w:left="2880" w:hanging="360"/>
      </w:pPr>
    </w:lvl>
    <w:lvl w:ilvl="4" w:tplc="C276DCA6">
      <w:start w:val="1"/>
      <w:numFmt w:val="lowerLetter"/>
      <w:lvlText w:val="%5."/>
      <w:lvlJc w:val="left"/>
      <w:pPr>
        <w:ind w:left="3600" w:hanging="360"/>
      </w:pPr>
    </w:lvl>
    <w:lvl w:ilvl="5" w:tplc="5CFECE40">
      <w:start w:val="1"/>
      <w:numFmt w:val="lowerRoman"/>
      <w:lvlText w:val="%6."/>
      <w:lvlJc w:val="right"/>
      <w:pPr>
        <w:ind w:left="4320" w:hanging="180"/>
      </w:pPr>
    </w:lvl>
    <w:lvl w:ilvl="6" w:tplc="F5742C1E">
      <w:start w:val="1"/>
      <w:numFmt w:val="decimal"/>
      <w:lvlText w:val="%7."/>
      <w:lvlJc w:val="left"/>
      <w:pPr>
        <w:ind w:left="5040" w:hanging="360"/>
      </w:pPr>
    </w:lvl>
    <w:lvl w:ilvl="7" w:tplc="F9CCB152">
      <w:start w:val="1"/>
      <w:numFmt w:val="lowerLetter"/>
      <w:lvlText w:val="%8."/>
      <w:lvlJc w:val="left"/>
      <w:pPr>
        <w:ind w:left="5760" w:hanging="360"/>
      </w:pPr>
    </w:lvl>
    <w:lvl w:ilvl="8" w:tplc="13F878CA">
      <w:start w:val="1"/>
      <w:numFmt w:val="lowerRoman"/>
      <w:lvlText w:val="%9."/>
      <w:lvlJc w:val="right"/>
      <w:pPr>
        <w:ind w:left="6480" w:hanging="180"/>
      </w:pPr>
    </w:lvl>
  </w:abstractNum>
  <w:abstractNum w:abstractNumId="7" w15:restartNumberingAfterBreak="0">
    <w:nsid w:val="66192487"/>
    <w:multiLevelType w:val="hybridMultilevel"/>
    <w:tmpl w:val="19F4E988"/>
    <w:lvl w:ilvl="0" w:tplc="B29A467A">
      <w:start w:val="1"/>
      <w:numFmt w:val="lowerLetter"/>
      <w:lvlText w:val="%1."/>
      <w:lvlJc w:val="left"/>
      <w:pPr>
        <w:ind w:left="720" w:hanging="360"/>
      </w:pPr>
    </w:lvl>
    <w:lvl w:ilvl="1" w:tplc="251CF4F6">
      <w:start w:val="1"/>
      <w:numFmt w:val="lowerLetter"/>
      <w:lvlText w:val="%2."/>
      <w:lvlJc w:val="left"/>
      <w:pPr>
        <w:ind w:left="1440" w:hanging="360"/>
      </w:pPr>
    </w:lvl>
    <w:lvl w:ilvl="2" w:tplc="410486BA">
      <w:start w:val="1"/>
      <w:numFmt w:val="lowerRoman"/>
      <w:lvlText w:val="%3."/>
      <w:lvlJc w:val="right"/>
      <w:pPr>
        <w:ind w:left="2160" w:hanging="180"/>
      </w:pPr>
    </w:lvl>
    <w:lvl w:ilvl="3" w:tplc="38B4A5DA">
      <w:start w:val="1"/>
      <w:numFmt w:val="decimal"/>
      <w:lvlText w:val="%4."/>
      <w:lvlJc w:val="left"/>
      <w:pPr>
        <w:ind w:left="2880" w:hanging="360"/>
      </w:pPr>
    </w:lvl>
    <w:lvl w:ilvl="4" w:tplc="507E65B8">
      <w:start w:val="1"/>
      <w:numFmt w:val="lowerLetter"/>
      <w:lvlText w:val="%5."/>
      <w:lvlJc w:val="left"/>
      <w:pPr>
        <w:ind w:left="3600" w:hanging="360"/>
      </w:pPr>
    </w:lvl>
    <w:lvl w:ilvl="5" w:tplc="CDE21320">
      <w:start w:val="1"/>
      <w:numFmt w:val="lowerRoman"/>
      <w:lvlText w:val="%6."/>
      <w:lvlJc w:val="right"/>
      <w:pPr>
        <w:ind w:left="4320" w:hanging="180"/>
      </w:pPr>
    </w:lvl>
    <w:lvl w:ilvl="6" w:tplc="F2D0A1E8">
      <w:start w:val="1"/>
      <w:numFmt w:val="decimal"/>
      <w:lvlText w:val="%7."/>
      <w:lvlJc w:val="left"/>
      <w:pPr>
        <w:ind w:left="5040" w:hanging="360"/>
      </w:pPr>
    </w:lvl>
    <w:lvl w:ilvl="7" w:tplc="B3D0DB12">
      <w:start w:val="1"/>
      <w:numFmt w:val="lowerLetter"/>
      <w:lvlText w:val="%8."/>
      <w:lvlJc w:val="left"/>
      <w:pPr>
        <w:ind w:left="5760" w:hanging="360"/>
      </w:pPr>
    </w:lvl>
    <w:lvl w:ilvl="8" w:tplc="E80EF5D0">
      <w:start w:val="1"/>
      <w:numFmt w:val="lowerRoman"/>
      <w:lvlText w:val="%9."/>
      <w:lvlJc w:val="right"/>
      <w:pPr>
        <w:ind w:left="6480" w:hanging="180"/>
      </w:pPr>
    </w:lvl>
  </w:abstractNum>
  <w:abstractNum w:abstractNumId="8" w15:restartNumberingAfterBreak="0">
    <w:nsid w:val="79BE3CDB"/>
    <w:multiLevelType w:val="hybridMultilevel"/>
    <w:tmpl w:val="D1BEE100"/>
    <w:lvl w:ilvl="0" w:tplc="4AA87680">
      <w:start w:val="1"/>
      <w:numFmt w:val="lowerLetter"/>
      <w:lvlText w:val="%1)"/>
      <w:lvlJc w:val="left"/>
      <w:pPr>
        <w:ind w:left="720" w:hanging="360"/>
      </w:pPr>
    </w:lvl>
    <w:lvl w:ilvl="1" w:tplc="7DE89A2E">
      <w:start w:val="1"/>
      <w:numFmt w:val="lowerLetter"/>
      <w:lvlText w:val="%2."/>
      <w:lvlJc w:val="left"/>
      <w:pPr>
        <w:ind w:left="1440" w:hanging="360"/>
      </w:pPr>
    </w:lvl>
    <w:lvl w:ilvl="2" w:tplc="579675C2">
      <w:start w:val="1"/>
      <w:numFmt w:val="lowerRoman"/>
      <w:lvlText w:val="%3."/>
      <w:lvlJc w:val="right"/>
      <w:pPr>
        <w:ind w:left="2160" w:hanging="180"/>
      </w:pPr>
    </w:lvl>
    <w:lvl w:ilvl="3" w:tplc="F2DC63C6">
      <w:start w:val="1"/>
      <w:numFmt w:val="decimal"/>
      <w:lvlText w:val="%4."/>
      <w:lvlJc w:val="left"/>
      <w:pPr>
        <w:ind w:left="2880" w:hanging="360"/>
      </w:pPr>
    </w:lvl>
    <w:lvl w:ilvl="4" w:tplc="1C1E35A6">
      <w:start w:val="1"/>
      <w:numFmt w:val="lowerLetter"/>
      <w:lvlText w:val="%5."/>
      <w:lvlJc w:val="left"/>
      <w:pPr>
        <w:ind w:left="3600" w:hanging="360"/>
      </w:pPr>
    </w:lvl>
    <w:lvl w:ilvl="5" w:tplc="713EED50">
      <w:start w:val="1"/>
      <w:numFmt w:val="lowerRoman"/>
      <w:lvlText w:val="%6."/>
      <w:lvlJc w:val="right"/>
      <w:pPr>
        <w:ind w:left="4320" w:hanging="180"/>
      </w:pPr>
    </w:lvl>
    <w:lvl w:ilvl="6" w:tplc="A0124A96">
      <w:start w:val="1"/>
      <w:numFmt w:val="decimal"/>
      <w:lvlText w:val="%7."/>
      <w:lvlJc w:val="left"/>
      <w:pPr>
        <w:ind w:left="5040" w:hanging="360"/>
      </w:pPr>
    </w:lvl>
    <w:lvl w:ilvl="7" w:tplc="EDE03B3A">
      <w:start w:val="1"/>
      <w:numFmt w:val="lowerLetter"/>
      <w:lvlText w:val="%8."/>
      <w:lvlJc w:val="left"/>
      <w:pPr>
        <w:ind w:left="5760" w:hanging="360"/>
      </w:pPr>
    </w:lvl>
    <w:lvl w:ilvl="8" w:tplc="762ABDDA">
      <w:start w:val="1"/>
      <w:numFmt w:val="lowerRoman"/>
      <w:lvlText w:val="%9."/>
      <w:lvlJc w:val="right"/>
      <w:pPr>
        <w:ind w:left="6480" w:hanging="180"/>
      </w:pPr>
    </w:lvl>
  </w:abstractNum>
  <w:num w:numId="1">
    <w:abstractNumId w:val="7"/>
  </w:num>
  <w:num w:numId="2">
    <w:abstractNumId w:val="8"/>
  </w:num>
  <w:num w:numId="3">
    <w:abstractNumId w:val="0"/>
  </w:num>
  <w:num w:numId="4">
    <w:abstractNumId w:val="1"/>
  </w:num>
  <w:num w:numId="5">
    <w:abstractNumId w:val="3"/>
  </w:num>
  <w:num w:numId="6">
    <w:abstractNumId w:val="2"/>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2E3AC5"/>
    <w:rsid w:val="00C93903"/>
    <w:rsid w:val="01EB8657"/>
    <w:rsid w:val="02324D60"/>
    <w:rsid w:val="026D60D8"/>
    <w:rsid w:val="0368FD5E"/>
    <w:rsid w:val="03EBEC2C"/>
    <w:rsid w:val="03EED914"/>
    <w:rsid w:val="0497BF5B"/>
    <w:rsid w:val="0540922B"/>
    <w:rsid w:val="05BDA0A6"/>
    <w:rsid w:val="05F6E8F7"/>
    <w:rsid w:val="0761ABC0"/>
    <w:rsid w:val="08B7E091"/>
    <w:rsid w:val="08D743C0"/>
    <w:rsid w:val="093186E9"/>
    <w:rsid w:val="0B800C1D"/>
    <w:rsid w:val="0B829852"/>
    <w:rsid w:val="0C435748"/>
    <w:rsid w:val="0C62AC34"/>
    <w:rsid w:val="0C6BF928"/>
    <w:rsid w:val="0CD4EC44"/>
    <w:rsid w:val="0D60967E"/>
    <w:rsid w:val="0E5A9CD1"/>
    <w:rsid w:val="0E7366A8"/>
    <w:rsid w:val="0EBE17E3"/>
    <w:rsid w:val="0ED4883A"/>
    <w:rsid w:val="0F188E7B"/>
    <w:rsid w:val="0FBCFCAA"/>
    <w:rsid w:val="10AD03BA"/>
    <w:rsid w:val="10C28EEB"/>
    <w:rsid w:val="12300FB7"/>
    <w:rsid w:val="1236AECE"/>
    <w:rsid w:val="13C2F1C2"/>
    <w:rsid w:val="1479E13D"/>
    <w:rsid w:val="14F14C83"/>
    <w:rsid w:val="1597ECDB"/>
    <w:rsid w:val="15B0F7F3"/>
    <w:rsid w:val="1645EB69"/>
    <w:rsid w:val="1657DF63"/>
    <w:rsid w:val="16BBE3D2"/>
    <w:rsid w:val="16F2AC94"/>
    <w:rsid w:val="1716AC9D"/>
    <w:rsid w:val="1855E20E"/>
    <w:rsid w:val="198F0EC2"/>
    <w:rsid w:val="199D3344"/>
    <w:rsid w:val="19FAAF21"/>
    <w:rsid w:val="1A6FDD15"/>
    <w:rsid w:val="1A787F3F"/>
    <w:rsid w:val="1ACE4CE3"/>
    <w:rsid w:val="1BBD7CEE"/>
    <w:rsid w:val="1BCDC47F"/>
    <w:rsid w:val="1C893110"/>
    <w:rsid w:val="1CE625DF"/>
    <w:rsid w:val="1D6618B6"/>
    <w:rsid w:val="1D79FC52"/>
    <w:rsid w:val="1D957E36"/>
    <w:rsid w:val="1E735648"/>
    <w:rsid w:val="1E7C4C01"/>
    <w:rsid w:val="1F36FED3"/>
    <w:rsid w:val="1FF7B263"/>
    <w:rsid w:val="2010A39C"/>
    <w:rsid w:val="20880F60"/>
    <w:rsid w:val="221291B1"/>
    <w:rsid w:val="22BE5630"/>
    <w:rsid w:val="22D5F38C"/>
    <w:rsid w:val="230E95AB"/>
    <w:rsid w:val="23827861"/>
    <w:rsid w:val="23F5BCBF"/>
    <w:rsid w:val="24C5D5C2"/>
    <w:rsid w:val="24C7C5E0"/>
    <w:rsid w:val="24ED1A9E"/>
    <w:rsid w:val="25262336"/>
    <w:rsid w:val="252A9AE2"/>
    <w:rsid w:val="25AF3EDD"/>
    <w:rsid w:val="263C74E3"/>
    <w:rsid w:val="264406FE"/>
    <w:rsid w:val="26EE1867"/>
    <w:rsid w:val="2728A226"/>
    <w:rsid w:val="291C2D09"/>
    <w:rsid w:val="293A03AB"/>
    <w:rsid w:val="29E3508D"/>
    <w:rsid w:val="29F1B8CE"/>
    <w:rsid w:val="2C4C8523"/>
    <w:rsid w:val="2D141EFD"/>
    <w:rsid w:val="2D49CF88"/>
    <w:rsid w:val="2DB89D63"/>
    <w:rsid w:val="2E7A71BB"/>
    <w:rsid w:val="2EB965A9"/>
    <w:rsid w:val="2F27F1A3"/>
    <w:rsid w:val="309E720F"/>
    <w:rsid w:val="30A51D77"/>
    <w:rsid w:val="30E95971"/>
    <w:rsid w:val="31F14119"/>
    <w:rsid w:val="3227C2DA"/>
    <w:rsid w:val="32902AB9"/>
    <w:rsid w:val="33064322"/>
    <w:rsid w:val="33598377"/>
    <w:rsid w:val="33AA3781"/>
    <w:rsid w:val="345DF947"/>
    <w:rsid w:val="3467A61B"/>
    <w:rsid w:val="34DD7457"/>
    <w:rsid w:val="35FE326E"/>
    <w:rsid w:val="360D5D79"/>
    <w:rsid w:val="36CE20EF"/>
    <w:rsid w:val="3789C2B4"/>
    <w:rsid w:val="38020607"/>
    <w:rsid w:val="382711FF"/>
    <w:rsid w:val="3833A582"/>
    <w:rsid w:val="38E8D3AF"/>
    <w:rsid w:val="38EF4354"/>
    <w:rsid w:val="395F330A"/>
    <w:rsid w:val="3A0AF28C"/>
    <w:rsid w:val="3BF73EF2"/>
    <w:rsid w:val="40136FFE"/>
    <w:rsid w:val="41AEEB0C"/>
    <w:rsid w:val="42065AB9"/>
    <w:rsid w:val="42446DE2"/>
    <w:rsid w:val="42D33A96"/>
    <w:rsid w:val="434FC523"/>
    <w:rsid w:val="437E2668"/>
    <w:rsid w:val="43A4BA92"/>
    <w:rsid w:val="44ACAFF5"/>
    <w:rsid w:val="44FED38C"/>
    <w:rsid w:val="45AD94E0"/>
    <w:rsid w:val="45B80E29"/>
    <w:rsid w:val="45F351C3"/>
    <w:rsid w:val="461D0AAE"/>
    <w:rsid w:val="46498BEC"/>
    <w:rsid w:val="471AE736"/>
    <w:rsid w:val="471F2D92"/>
    <w:rsid w:val="47A75998"/>
    <w:rsid w:val="47E8979A"/>
    <w:rsid w:val="487011B0"/>
    <w:rsid w:val="4955079A"/>
    <w:rsid w:val="4BEBF7FD"/>
    <w:rsid w:val="4D0007DD"/>
    <w:rsid w:val="4D0D1ABB"/>
    <w:rsid w:val="4D1EC9E9"/>
    <w:rsid w:val="4D97A98F"/>
    <w:rsid w:val="4E9F6D0F"/>
    <w:rsid w:val="4EFA4BAF"/>
    <w:rsid w:val="4FB4E952"/>
    <w:rsid w:val="501653BD"/>
    <w:rsid w:val="50DECFCD"/>
    <w:rsid w:val="51D33D41"/>
    <w:rsid w:val="53C3E75D"/>
    <w:rsid w:val="549DE602"/>
    <w:rsid w:val="552E3AC5"/>
    <w:rsid w:val="56AC5DE5"/>
    <w:rsid w:val="5726D3EB"/>
    <w:rsid w:val="5745CF90"/>
    <w:rsid w:val="57943869"/>
    <w:rsid w:val="58127B40"/>
    <w:rsid w:val="58613433"/>
    <w:rsid w:val="58B861E0"/>
    <w:rsid w:val="591ABA33"/>
    <w:rsid w:val="59B8535E"/>
    <w:rsid w:val="59BB2957"/>
    <w:rsid w:val="5A123737"/>
    <w:rsid w:val="5A4E8006"/>
    <w:rsid w:val="5AB17329"/>
    <w:rsid w:val="5B013497"/>
    <w:rsid w:val="5C45B2F7"/>
    <w:rsid w:val="5D2CF9F5"/>
    <w:rsid w:val="5D56BEAD"/>
    <w:rsid w:val="604064D8"/>
    <w:rsid w:val="608DF897"/>
    <w:rsid w:val="60C2343D"/>
    <w:rsid w:val="63404FCD"/>
    <w:rsid w:val="64288800"/>
    <w:rsid w:val="645A1A42"/>
    <w:rsid w:val="64ED3FA2"/>
    <w:rsid w:val="6525EA2C"/>
    <w:rsid w:val="66747202"/>
    <w:rsid w:val="667DD220"/>
    <w:rsid w:val="675B0C24"/>
    <w:rsid w:val="676F2972"/>
    <w:rsid w:val="6A5EF031"/>
    <w:rsid w:val="6ADC50AB"/>
    <w:rsid w:val="6B30BBF2"/>
    <w:rsid w:val="6BA9A972"/>
    <w:rsid w:val="6BD4EA9E"/>
    <w:rsid w:val="6BDDBC23"/>
    <w:rsid w:val="6C03E579"/>
    <w:rsid w:val="6C5A2CD5"/>
    <w:rsid w:val="6C7B4838"/>
    <w:rsid w:val="6CD4F9A2"/>
    <w:rsid w:val="6DC04BDD"/>
    <w:rsid w:val="6E7FF099"/>
    <w:rsid w:val="6EE9441E"/>
    <w:rsid w:val="6EF87C5D"/>
    <w:rsid w:val="6FA49197"/>
    <w:rsid w:val="70EE8074"/>
    <w:rsid w:val="712DC159"/>
    <w:rsid w:val="717586FF"/>
    <w:rsid w:val="72863E58"/>
    <w:rsid w:val="72CDB4B2"/>
    <w:rsid w:val="73679E42"/>
    <w:rsid w:val="75BFD6DF"/>
    <w:rsid w:val="77D6B4FD"/>
    <w:rsid w:val="7806AEF8"/>
    <w:rsid w:val="78715A6A"/>
    <w:rsid w:val="78FEB379"/>
    <w:rsid w:val="79B2F33B"/>
    <w:rsid w:val="79BD452D"/>
    <w:rsid w:val="7A4536B0"/>
    <w:rsid w:val="7B270D83"/>
    <w:rsid w:val="7B3842A1"/>
    <w:rsid w:val="7B3BEAE9"/>
    <w:rsid w:val="7BC39C63"/>
    <w:rsid w:val="7C5B7E93"/>
    <w:rsid w:val="7E70E1C7"/>
    <w:rsid w:val="7F10AB3C"/>
    <w:rsid w:val="7F8FF7C4"/>
    <w:rsid w:val="7FD4D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2E3AC5"/>
  <w15:chartTrackingRefBased/>
  <w15:docId w15:val="{4D217ACC-8E1B-4EC4-AF89-3A37C611A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grants?id=grants_funding_opportunity&amp;table=u_domestic_funding_opportunity&amp;sys_id=34b34d4d1b3c14d000f2ea4ce54bcbf9&amp;view=Default" TargetMode="External"/><Relationship Id="rId3" Type="http://schemas.openxmlformats.org/officeDocument/2006/relationships/settings" Target="settings.xml"/><Relationship Id="rId7" Type="http://schemas.openxmlformats.org/officeDocument/2006/relationships/hyperlink" Target="https://mygrants.servicenowservices.com/grants?id=grants_funding_opportunity&amp;table=u_domestic_funding_opportunity&amp;sys_id=34b34d4d1b3c14d000f2ea4ce54bcbf9&amp;view=Defau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mygrants.servicenowservices.com/grants?id=grants_funding_opportunity&amp;table=u_domestic_funding_opportunity&amp;sys_id=34b34d4d1b3c14d000f2ea4ce54bcbf9&amp;view=Default" TargetMode="External"/><Relationship Id="rId4" Type="http://schemas.openxmlformats.org/officeDocument/2006/relationships/webSettings" Target="webSettings.xml"/><Relationship Id="rId9" Type="http://schemas.openxmlformats.org/officeDocument/2006/relationships/hyperlink" Target="https://mygrants.servicenowservices.com/grants?id=grants_funding_opportunity&amp;table=u_domestic_funding_opportunity&amp;sys_id=34b34d4d1b3c14d000f2ea4ce54bcbf9&amp;view=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1674</Words>
  <Characters>9547</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Wielechowski, Dan</dc:creator>
  <cp:keywords/>
  <dc:description/>
  <cp:lastModifiedBy>Chagnon, Ruta</cp:lastModifiedBy>
  <cp:revision>2</cp:revision>
  <dcterms:created xsi:type="dcterms:W3CDTF">2020-06-26T12:54:00Z</dcterms:created>
  <dcterms:modified xsi:type="dcterms:W3CDTF">2020-06-26T12:54:00Z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ChagnonRX@state.gov</vt:lpwstr>
  </property>
  <property fmtid="{D5CDD505-2E9C-101B-9397-08002B2CF9AE}" pid="5" name="MSIP_Label_1665d9ee-429a-4d5f-97cc-cfb56e044a6e_SetDate">
    <vt:lpwstr>2020-06-26T12:54:14.7893274Z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eb24edde-1ae2-48c1-a10f-411dd961db7d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