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15D28F" w14:textId="52ABDDDA" w:rsidR="000A4506" w:rsidRPr="00F04D2D" w:rsidRDefault="000A4506" w:rsidP="000A4506">
      <w:pPr>
        <w:pStyle w:val="Heading1"/>
      </w:pPr>
      <w:r w:rsidRPr="00F04D2D">
        <w:t xml:space="preserve">Questions on NOFO: </w:t>
      </w:r>
      <w:r w:rsidR="006E7F10">
        <w:t>Handling of Live Animal Confiscations</w:t>
      </w:r>
    </w:p>
    <w:p w14:paraId="653B831A" w14:textId="4339A15F" w:rsidR="000A4506" w:rsidRPr="00F04D2D" w:rsidRDefault="000A4506" w:rsidP="000A4506">
      <w:pPr>
        <w:pStyle w:val="Heading2"/>
        <w:rPr>
          <w:rStyle w:val="SubtleEmphasis"/>
          <w:i w:val="0"/>
          <w:iCs w:val="0"/>
        </w:rPr>
      </w:pPr>
      <w:r w:rsidRPr="00F04D2D">
        <w:rPr>
          <w:rStyle w:val="SubtleEmphasis"/>
        </w:rPr>
        <w:t xml:space="preserve">Opportunity # </w:t>
      </w:r>
      <w:r w:rsidR="006E7F10" w:rsidRPr="006E7F10">
        <w:rPr>
          <w:i/>
          <w:iCs/>
          <w:color w:val="404040" w:themeColor="text1" w:themeTint="BF"/>
        </w:rPr>
        <w:t>SFOP0008011</w:t>
      </w:r>
    </w:p>
    <w:p w14:paraId="37215D67" w14:textId="7705CE3B" w:rsidR="00AD1038" w:rsidRPr="000A4506" w:rsidRDefault="00C42E8A" w:rsidP="00AD1038">
      <w:pPr>
        <w:rPr>
          <w:i/>
          <w:iCs/>
          <w:color w:val="404040" w:themeColor="text1" w:themeTint="BF"/>
        </w:rPr>
      </w:pPr>
      <w:r>
        <w:rPr>
          <w:rStyle w:val="SubtleEmphasis"/>
        </w:rPr>
        <w:t>June 4</w:t>
      </w:r>
      <w:r w:rsidR="00F07E56">
        <w:rPr>
          <w:rStyle w:val="SubtleEmphasis"/>
        </w:rPr>
        <w:t>, 2021</w:t>
      </w:r>
    </w:p>
    <w:p w14:paraId="160913E9" w14:textId="77777777" w:rsidR="00AD1038" w:rsidRDefault="00AD1038" w:rsidP="00AD1038">
      <w:pPr>
        <w:ind w:left="360"/>
        <w:rPr>
          <w:lang w:val="en-GB"/>
        </w:rPr>
      </w:pPr>
    </w:p>
    <w:p w14:paraId="6E9EE037" w14:textId="2FF93C4F" w:rsidR="00F07E56" w:rsidRPr="00F07E56" w:rsidRDefault="00F07E56" w:rsidP="00CD0709">
      <w:pPr>
        <w:numPr>
          <w:ilvl w:val="0"/>
          <w:numId w:val="9"/>
        </w:numPr>
        <w:shd w:val="clear" w:color="auto" w:fill="FFFFFF"/>
        <w:jc w:val="both"/>
        <w:rPr>
          <w:rFonts w:eastAsia="Times New Roman" w:cs="Times New Roman"/>
          <w:color w:val="201F1E"/>
          <w:szCs w:val="22"/>
        </w:rPr>
      </w:pPr>
      <w:r w:rsidRPr="00F07E56">
        <w:rPr>
          <w:rFonts w:eastAsia="Times New Roman" w:cs="Times New Roman"/>
          <w:color w:val="201F1E"/>
          <w:szCs w:val="22"/>
        </w:rPr>
        <w:t>Page 5 reads, “</w:t>
      </w:r>
      <w:r w:rsidRPr="00F07E56">
        <w:rPr>
          <w:rFonts w:eastAsia="Times New Roman" w:cs="Times New Roman"/>
          <w:i/>
          <w:iCs/>
          <w:color w:val="201F1E"/>
          <w:szCs w:val="22"/>
        </w:rPr>
        <w:t>However, INL will prioritize proposals with activities in countries </w:t>
      </w:r>
      <w:r w:rsidRPr="00F07E56">
        <w:rPr>
          <w:rFonts w:eastAsia="Times New Roman" w:cs="Times New Roman"/>
          <w:b/>
          <w:bCs/>
          <w:i/>
          <w:iCs/>
          <w:color w:val="201F1E"/>
          <w:szCs w:val="22"/>
          <w:u w:val="single"/>
        </w:rPr>
        <w:t>with wildlife dog units</w:t>
      </w:r>
      <w:r w:rsidRPr="00F07E56">
        <w:rPr>
          <w:rFonts w:eastAsia="Times New Roman" w:cs="Times New Roman"/>
          <w:i/>
          <w:iCs/>
          <w:color w:val="201F1E"/>
          <w:szCs w:val="22"/>
        </w:rPr>
        <w:t>…</w:t>
      </w:r>
      <w:r w:rsidRPr="00F07E56">
        <w:rPr>
          <w:rFonts w:eastAsia="Times New Roman" w:cs="Times New Roman"/>
          <w:color w:val="201F1E"/>
          <w:szCs w:val="22"/>
        </w:rPr>
        <w:t xml:space="preserve">” Can you please clarify this reference to dog units? As an </w:t>
      </w:r>
      <w:proofErr w:type="spellStart"/>
      <w:r w:rsidRPr="00F07E56">
        <w:rPr>
          <w:rFonts w:eastAsia="Times New Roman" w:cs="Times New Roman"/>
          <w:color w:val="201F1E"/>
          <w:szCs w:val="22"/>
        </w:rPr>
        <w:t>organisation</w:t>
      </w:r>
      <w:proofErr w:type="spellEnd"/>
      <w:r w:rsidRPr="00F07E56">
        <w:rPr>
          <w:rFonts w:eastAsia="Times New Roman" w:cs="Times New Roman"/>
          <w:color w:val="201F1E"/>
          <w:szCs w:val="22"/>
        </w:rPr>
        <w:t xml:space="preserve"> we certainly have a wildlife dog unit, but do not see that it is necessarily relevant to this call, given the call relates to the handling of live animals and not their detection?</w:t>
      </w:r>
    </w:p>
    <w:p w14:paraId="078B5DE5" w14:textId="19D5FBE6" w:rsidR="00F07E56" w:rsidRPr="00775EE4" w:rsidRDefault="00775EE4" w:rsidP="00CD0709">
      <w:pPr>
        <w:pStyle w:val="ListParagraph"/>
        <w:numPr>
          <w:ilvl w:val="1"/>
          <w:numId w:val="9"/>
        </w:numPr>
        <w:jc w:val="both"/>
        <w:rPr>
          <w:rFonts w:eastAsia="Times New Roman" w:cs="Times New Roman"/>
          <w:color w:val="FF0000"/>
        </w:rPr>
      </w:pPr>
      <w:r w:rsidRPr="00775EE4">
        <w:rPr>
          <w:rFonts w:eastAsia="Times New Roman" w:cs="Times New Roman"/>
          <w:color w:val="FF0000"/>
          <w:shd w:val="clear" w:color="auto" w:fill="FFFFFF"/>
        </w:rPr>
        <w:t xml:space="preserve">It is not essential for an organization to have a wildlife detection dog unit to be </w:t>
      </w:r>
      <w:r w:rsidR="00CD518F">
        <w:rPr>
          <w:rFonts w:eastAsia="Times New Roman" w:cs="Times New Roman"/>
          <w:color w:val="FF0000"/>
          <w:shd w:val="clear" w:color="auto" w:fill="FFFFFF"/>
        </w:rPr>
        <w:t>considered</w:t>
      </w:r>
      <w:r w:rsidRPr="00775EE4">
        <w:rPr>
          <w:rFonts w:eastAsia="Times New Roman" w:cs="Times New Roman"/>
          <w:color w:val="FF0000"/>
          <w:shd w:val="clear" w:color="auto" w:fill="FFFFFF"/>
        </w:rPr>
        <w:t xml:space="preserve"> for this opportunity. </w:t>
      </w:r>
      <w:r w:rsidR="00C51129">
        <w:rPr>
          <w:rFonts w:eastAsia="Times New Roman" w:cs="Times New Roman"/>
          <w:color w:val="FF0000"/>
          <w:shd w:val="clear" w:color="auto" w:fill="FFFFFF"/>
        </w:rPr>
        <w:t>Th</w:t>
      </w:r>
      <w:r w:rsidR="00700065">
        <w:rPr>
          <w:rFonts w:eastAsia="Times New Roman" w:cs="Times New Roman"/>
          <w:color w:val="FF0000"/>
          <w:shd w:val="clear" w:color="auto" w:fill="FFFFFF"/>
        </w:rPr>
        <w:t>e</w:t>
      </w:r>
      <w:r w:rsidR="00C51129">
        <w:rPr>
          <w:rFonts w:eastAsia="Times New Roman" w:cs="Times New Roman"/>
          <w:color w:val="FF0000"/>
          <w:shd w:val="clear" w:color="auto" w:fill="FFFFFF"/>
        </w:rPr>
        <w:t xml:space="preserve"> preference </w:t>
      </w:r>
      <w:r w:rsidR="00700065">
        <w:rPr>
          <w:rFonts w:eastAsia="Times New Roman" w:cs="Times New Roman"/>
          <w:color w:val="FF0000"/>
          <w:shd w:val="clear" w:color="auto" w:fill="FFFFFF"/>
        </w:rPr>
        <w:t xml:space="preserve">stated in the NOFO </w:t>
      </w:r>
      <w:r w:rsidR="00C51129">
        <w:rPr>
          <w:rFonts w:eastAsia="Times New Roman" w:cs="Times New Roman"/>
          <w:color w:val="FF0000"/>
          <w:shd w:val="clear" w:color="auto" w:fill="FFFFFF"/>
        </w:rPr>
        <w:t>refers to any country with a K9 unit, regardless of whether the unit is run by an NGO, the government, or other organization. INL included this prioritization because</w:t>
      </w:r>
      <w:r w:rsidRPr="00775EE4">
        <w:rPr>
          <w:rFonts w:eastAsia="Times New Roman" w:cs="Times New Roman"/>
          <w:color w:val="FF0000"/>
          <w:shd w:val="clear" w:color="auto" w:fill="FFFFFF"/>
        </w:rPr>
        <w:t xml:space="preserve"> the expanded use of </w:t>
      </w:r>
      <w:r w:rsidR="00CD518F">
        <w:rPr>
          <w:rFonts w:eastAsia="Times New Roman" w:cs="Times New Roman"/>
          <w:color w:val="FF0000"/>
          <w:shd w:val="clear" w:color="auto" w:fill="FFFFFF"/>
        </w:rPr>
        <w:t xml:space="preserve">K9 </w:t>
      </w:r>
      <w:r w:rsidRPr="00775EE4">
        <w:rPr>
          <w:rFonts w:eastAsia="Times New Roman" w:cs="Times New Roman"/>
          <w:color w:val="FF0000"/>
          <w:shd w:val="clear" w:color="auto" w:fill="FFFFFF"/>
        </w:rPr>
        <w:t>units ha</w:t>
      </w:r>
      <w:r w:rsidR="00CD518F">
        <w:rPr>
          <w:rFonts w:eastAsia="Times New Roman" w:cs="Times New Roman"/>
          <w:color w:val="FF0000"/>
          <w:shd w:val="clear" w:color="auto" w:fill="FFFFFF"/>
        </w:rPr>
        <w:t>s</w:t>
      </w:r>
      <w:r w:rsidRPr="00775EE4">
        <w:rPr>
          <w:rFonts w:eastAsia="Times New Roman" w:cs="Times New Roman"/>
          <w:color w:val="FF0000"/>
          <w:shd w:val="clear" w:color="auto" w:fill="FFFFFF"/>
        </w:rPr>
        <w:t xml:space="preserve"> </w:t>
      </w:r>
      <w:r w:rsidR="00700065">
        <w:rPr>
          <w:rFonts w:eastAsia="Times New Roman" w:cs="Times New Roman"/>
          <w:color w:val="FF0000"/>
          <w:shd w:val="clear" w:color="auto" w:fill="FFFFFF"/>
        </w:rPr>
        <w:t xml:space="preserve">dramatically </w:t>
      </w:r>
      <w:r w:rsidR="00CD518F">
        <w:rPr>
          <w:rFonts w:eastAsia="Times New Roman" w:cs="Times New Roman"/>
          <w:color w:val="FF0000"/>
          <w:shd w:val="clear" w:color="auto" w:fill="FFFFFF"/>
        </w:rPr>
        <w:t>increased</w:t>
      </w:r>
      <w:r w:rsidRPr="00775EE4">
        <w:rPr>
          <w:rFonts w:eastAsia="Times New Roman" w:cs="Times New Roman"/>
          <w:color w:val="FF0000"/>
          <w:shd w:val="clear" w:color="auto" w:fill="FFFFFF"/>
        </w:rPr>
        <w:t xml:space="preserve"> the number of live animals </w:t>
      </w:r>
      <w:r w:rsidR="00CD518F">
        <w:rPr>
          <w:rFonts w:eastAsia="Times New Roman" w:cs="Times New Roman"/>
          <w:color w:val="FF0000"/>
          <w:shd w:val="clear" w:color="auto" w:fill="FFFFFF"/>
        </w:rPr>
        <w:t xml:space="preserve">interdicted, or seized, </w:t>
      </w:r>
      <w:r w:rsidRPr="00775EE4">
        <w:rPr>
          <w:rFonts w:eastAsia="Times New Roman" w:cs="Times New Roman"/>
          <w:color w:val="FF0000"/>
          <w:shd w:val="clear" w:color="auto" w:fill="FFFFFF"/>
        </w:rPr>
        <w:t>in transit. </w:t>
      </w:r>
      <w:r w:rsidR="0061347F">
        <w:rPr>
          <w:rFonts w:eastAsia="Times New Roman" w:cs="Times New Roman"/>
          <w:color w:val="FF0000"/>
          <w:shd w:val="clear" w:color="auto" w:fill="FFFFFF"/>
        </w:rPr>
        <w:t>Therefore, those countries with wildlife detection dog units may have an immediate need for capacity building on how to handle confiscated live animals.</w:t>
      </w:r>
    </w:p>
    <w:p w14:paraId="534DC6F2" w14:textId="77777777" w:rsidR="00F07E56" w:rsidRPr="00F07E56" w:rsidRDefault="00F07E56" w:rsidP="00CD0709">
      <w:pPr>
        <w:shd w:val="clear" w:color="auto" w:fill="FFFFFF"/>
        <w:ind w:left="720"/>
        <w:jc w:val="both"/>
        <w:rPr>
          <w:rFonts w:eastAsia="Times New Roman" w:cs="Times New Roman"/>
          <w:color w:val="201F1E"/>
          <w:szCs w:val="22"/>
        </w:rPr>
      </w:pPr>
    </w:p>
    <w:p w14:paraId="558D7CCA" w14:textId="77777777" w:rsidR="00F07E56" w:rsidRPr="00F07E56" w:rsidRDefault="00F07E56" w:rsidP="00CD0709">
      <w:pPr>
        <w:numPr>
          <w:ilvl w:val="0"/>
          <w:numId w:val="9"/>
        </w:numPr>
        <w:shd w:val="clear" w:color="auto" w:fill="FFFFFF"/>
        <w:jc w:val="both"/>
        <w:rPr>
          <w:rFonts w:eastAsia="Times New Roman" w:cs="Times New Roman"/>
          <w:color w:val="201F1E"/>
          <w:szCs w:val="22"/>
        </w:rPr>
      </w:pPr>
      <w:r w:rsidRPr="00F07E56">
        <w:rPr>
          <w:rFonts w:eastAsia="Times New Roman" w:cs="Times New Roman"/>
          <w:color w:val="201F1E"/>
          <w:szCs w:val="22"/>
        </w:rPr>
        <w:t>“Wildlife.” Can you please define this term? Does it include </w:t>
      </w:r>
      <w:r w:rsidRPr="00F07E56">
        <w:rPr>
          <w:rFonts w:eastAsia="Times New Roman" w:cs="Times New Roman"/>
          <w:b/>
          <w:bCs/>
          <w:color w:val="201F1E"/>
          <w:szCs w:val="22"/>
          <w:u w:val="single"/>
        </w:rPr>
        <w:t>all</w:t>
      </w:r>
      <w:r w:rsidRPr="00F07E56">
        <w:rPr>
          <w:rFonts w:eastAsia="Times New Roman" w:cs="Times New Roman"/>
          <w:color w:val="201F1E"/>
          <w:szCs w:val="22"/>
        </w:rPr>
        <w:t> living organisms, or just animals? I ask as we deal with seizures of live plant materials too and not just, for instance cycads, that still need to be handled correctly including issues related to repatriation and transfer to appropriate facilities. Can we include these in our proposal or not?</w:t>
      </w:r>
    </w:p>
    <w:p w14:paraId="47930B6D" w14:textId="72841BD8" w:rsidR="00260FB2" w:rsidRPr="00033834" w:rsidRDefault="00775EE4" w:rsidP="00CD0709">
      <w:pPr>
        <w:pStyle w:val="ListParagraph"/>
        <w:numPr>
          <w:ilvl w:val="1"/>
          <w:numId w:val="9"/>
        </w:numPr>
        <w:jc w:val="both"/>
        <w:rPr>
          <w:rFonts w:eastAsia="Times New Roman" w:cs="Times New Roman"/>
          <w:color w:val="FF0000"/>
          <w:shd w:val="clear" w:color="auto" w:fill="FFFFFF"/>
        </w:rPr>
      </w:pPr>
      <w:r w:rsidRPr="00775EE4">
        <w:rPr>
          <w:rFonts w:eastAsia="Times New Roman" w:cs="Times New Roman"/>
          <w:color w:val="FF0000"/>
          <w:shd w:val="clear" w:color="auto" w:fill="FFFFFF"/>
        </w:rPr>
        <w:t xml:space="preserve">All living organisms, to include plant species, are eligible under this opportunity. </w:t>
      </w:r>
      <w:r w:rsidR="00B66B25">
        <w:rPr>
          <w:rFonts w:eastAsia="Times New Roman" w:cs="Times New Roman"/>
          <w:color w:val="FF0000"/>
          <w:shd w:val="clear" w:color="auto" w:fill="FFFFFF"/>
        </w:rPr>
        <w:t>T</w:t>
      </w:r>
      <w:r w:rsidRPr="00775EE4">
        <w:rPr>
          <w:rFonts w:eastAsia="Times New Roman" w:cs="Times New Roman"/>
          <w:color w:val="FF0000"/>
          <w:shd w:val="clear" w:color="auto" w:fill="FFFFFF"/>
        </w:rPr>
        <w:t>imber or hardwoods that are no longer alive are not eligible. </w:t>
      </w:r>
      <w:r w:rsidR="00B66B25" w:rsidRPr="00775EE4">
        <w:rPr>
          <w:rFonts w:eastAsia="Times New Roman" w:cs="Times New Roman"/>
          <w:color w:val="FF0000"/>
          <w:shd w:val="clear" w:color="auto" w:fill="FFFFFF"/>
        </w:rPr>
        <w:t xml:space="preserve">However, </w:t>
      </w:r>
      <w:r w:rsidR="003D58FB">
        <w:rPr>
          <w:rFonts w:eastAsia="Times New Roman" w:cs="Times New Roman"/>
          <w:color w:val="FF0000"/>
          <w:shd w:val="clear" w:color="auto" w:fill="FFFFFF"/>
        </w:rPr>
        <w:t>live animals (</w:t>
      </w:r>
      <w:r w:rsidR="00B66B25">
        <w:rPr>
          <w:rFonts w:eastAsia="Times New Roman" w:cs="Times New Roman"/>
          <w:color w:val="FF0000"/>
          <w:shd w:val="clear" w:color="auto" w:fill="FFFFFF"/>
        </w:rPr>
        <w:t>fauna</w:t>
      </w:r>
      <w:r w:rsidR="003D58FB">
        <w:rPr>
          <w:rFonts w:eastAsia="Times New Roman" w:cs="Times New Roman"/>
          <w:color w:val="FF0000"/>
          <w:shd w:val="clear" w:color="auto" w:fill="FFFFFF"/>
        </w:rPr>
        <w:t>)</w:t>
      </w:r>
      <w:r w:rsidR="00B66B25">
        <w:rPr>
          <w:rFonts w:eastAsia="Times New Roman" w:cs="Times New Roman"/>
          <w:color w:val="FF0000"/>
          <w:shd w:val="clear" w:color="auto" w:fill="FFFFFF"/>
        </w:rPr>
        <w:t xml:space="preserve"> </w:t>
      </w:r>
      <w:r w:rsidR="00B66B25" w:rsidRPr="00EC4F20">
        <w:rPr>
          <w:color w:val="FF0000"/>
          <w:lang w:val="en-GB"/>
        </w:rPr>
        <w:t xml:space="preserve">must remain the primary </w:t>
      </w:r>
      <w:r w:rsidR="00B66B25">
        <w:rPr>
          <w:color w:val="FF0000"/>
          <w:lang w:val="en-GB"/>
        </w:rPr>
        <w:t>focus</w:t>
      </w:r>
      <w:r w:rsidR="00B66B25" w:rsidRPr="00EC4F20">
        <w:rPr>
          <w:color w:val="FF0000"/>
          <w:lang w:val="en-GB"/>
        </w:rPr>
        <w:t xml:space="preserve"> of the program</w:t>
      </w:r>
      <w:r w:rsidR="00B66B25">
        <w:rPr>
          <w:color w:val="FF0000"/>
          <w:lang w:val="en-GB"/>
        </w:rPr>
        <w:t>.</w:t>
      </w:r>
    </w:p>
    <w:p w14:paraId="54837F6A" w14:textId="77777777" w:rsidR="00033834" w:rsidRDefault="00033834" w:rsidP="00CD0709">
      <w:pPr>
        <w:pStyle w:val="NormalWeb"/>
        <w:shd w:val="clear" w:color="auto" w:fill="FFFFFF"/>
        <w:spacing w:before="0" w:beforeAutospacing="0" w:after="0" w:afterAutospacing="0"/>
        <w:jc w:val="both"/>
        <w:rPr>
          <w:rFonts w:ascii="Calibri" w:hAnsi="Calibri" w:cs="Calibri"/>
          <w:color w:val="000000"/>
          <w:sz w:val="22"/>
          <w:szCs w:val="22"/>
        </w:rPr>
      </w:pPr>
    </w:p>
    <w:p w14:paraId="139FF136" w14:textId="77777777" w:rsidR="00033834" w:rsidRPr="00033834" w:rsidRDefault="00033834" w:rsidP="00CD0709">
      <w:pPr>
        <w:numPr>
          <w:ilvl w:val="0"/>
          <w:numId w:val="9"/>
        </w:numPr>
        <w:shd w:val="clear" w:color="auto" w:fill="FFFFFF"/>
        <w:jc w:val="both"/>
        <w:rPr>
          <w:rFonts w:eastAsia="Times New Roman" w:cs="Times New Roman"/>
          <w:color w:val="201F1E"/>
          <w:szCs w:val="22"/>
        </w:rPr>
      </w:pPr>
      <w:r w:rsidRPr="00033834">
        <w:rPr>
          <w:rFonts w:eastAsia="Times New Roman" w:cs="Times New Roman"/>
          <w:color w:val="201F1E"/>
          <w:szCs w:val="22"/>
        </w:rPr>
        <w:t>I was hoping to get clarification on what would be permitted or not permitted in terms of construction plans for project proposals.</w:t>
      </w:r>
    </w:p>
    <w:p w14:paraId="714EB9F5" w14:textId="7A09AC04" w:rsidR="00F7716E" w:rsidRDefault="00033834" w:rsidP="00CD0709">
      <w:pPr>
        <w:pStyle w:val="ListParagraph"/>
        <w:numPr>
          <w:ilvl w:val="1"/>
          <w:numId w:val="9"/>
        </w:numPr>
        <w:jc w:val="both"/>
        <w:rPr>
          <w:rFonts w:eastAsia="Times New Roman" w:cs="Times New Roman"/>
          <w:color w:val="FF0000"/>
          <w:shd w:val="clear" w:color="auto" w:fill="FFFFFF"/>
        </w:rPr>
      </w:pPr>
      <w:r w:rsidRPr="007B149D">
        <w:rPr>
          <w:rFonts w:eastAsia="Times New Roman" w:cs="Times New Roman"/>
          <w:color w:val="FF0000"/>
          <w:shd w:val="clear" w:color="auto" w:fill="FFFFFF"/>
        </w:rPr>
        <w:t xml:space="preserve">Construction costs refer to the construction of new buildings or </w:t>
      </w:r>
      <w:r w:rsidR="00D22EF8" w:rsidRPr="007B149D">
        <w:rPr>
          <w:rFonts w:eastAsia="Times New Roman" w:cs="Times New Roman"/>
          <w:color w:val="FF0000"/>
          <w:shd w:val="clear" w:color="auto" w:fill="FFFFFF"/>
        </w:rPr>
        <w:t>additions to existing buildings</w:t>
      </w:r>
      <w:r w:rsidRPr="007B149D">
        <w:rPr>
          <w:rFonts w:eastAsia="Times New Roman" w:cs="Times New Roman"/>
          <w:color w:val="FF0000"/>
          <w:shd w:val="clear" w:color="auto" w:fill="FFFFFF"/>
        </w:rPr>
        <w:t xml:space="preserve">. All permanent, immovable physical infrastructure </w:t>
      </w:r>
      <w:r w:rsidR="007B149D" w:rsidRPr="007B149D">
        <w:rPr>
          <w:rFonts w:eastAsia="Times New Roman" w:cs="Times New Roman"/>
          <w:color w:val="FF0000"/>
          <w:shd w:val="clear" w:color="auto" w:fill="FFFFFF"/>
        </w:rPr>
        <w:t>is</w:t>
      </w:r>
      <w:r w:rsidRPr="007B149D">
        <w:rPr>
          <w:rFonts w:eastAsia="Times New Roman" w:cs="Times New Roman"/>
          <w:color w:val="FF0000"/>
          <w:shd w:val="clear" w:color="auto" w:fill="FFFFFF"/>
        </w:rPr>
        <w:t xml:space="preserve"> categorized as construction. Items that are mobile, impermanent, and do not include concrete to securely anchor it to a single location </w:t>
      </w:r>
      <w:r w:rsidR="001E4312" w:rsidRPr="007B149D">
        <w:rPr>
          <w:rFonts w:eastAsia="Times New Roman" w:cs="Times New Roman"/>
          <w:color w:val="FF0000"/>
          <w:shd w:val="clear" w:color="auto" w:fill="FFFFFF"/>
        </w:rPr>
        <w:t>are</w:t>
      </w:r>
      <w:r w:rsidRPr="007B149D">
        <w:rPr>
          <w:rFonts w:eastAsia="Times New Roman" w:cs="Times New Roman"/>
          <w:color w:val="FF0000"/>
          <w:shd w:val="clear" w:color="auto" w:fill="FFFFFF"/>
        </w:rPr>
        <w:t xml:space="preserve"> considered equipment or supplies. </w:t>
      </w:r>
      <w:r w:rsidR="007B149D" w:rsidRPr="007B149D">
        <w:rPr>
          <w:rFonts w:eastAsia="Times New Roman" w:cs="Times New Roman"/>
          <w:color w:val="FF0000"/>
          <w:shd w:val="clear" w:color="auto" w:fill="FFFFFF"/>
        </w:rPr>
        <w:t xml:space="preserve">The </w:t>
      </w:r>
      <w:r w:rsidR="007B149D">
        <w:rPr>
          <w:rFonts w:eastAsia="Times New Roman" w:cs="Times New Roman"/>
          <w:color w:val="FF0000"/>
          <w:shd w:val="clear" w:color="auto" w:fill="FFFFFF"/>
        </w:rPr>
        <w:t>m</w:t>
      </w:r>
      <w:r w:rsidR="007B149D" w:rsidRPr="007B149D">
        <w:rPr>
          <w:rFonts w:eastAsia="Times New Roman" w:cs="Times New Roman"/>
          <w:color w:val="FF0000"/>
          <w:shd w:val="clear" w:color="auto" w:fill="FFFFFF"/>
        </w:rPr>
        <w:t>aintena</w:t>
      </w:r>
      <w:r w:rsidR="007B149D">
        <w:rPr>
          <w:rFonts w:eastAsia="Times New Roman" w:cs="Times New Roman"/>
          <w:color w:val="FF0000"/>
          <w:shd w:val="clear" w:color="auto" w:fill="FFFFFF"/>
        </w:rPr>
        <w:t>nce</w:t>
      </w:r>
      <w:r w:rsidR="00F7716E" w:rsidRPr="007B149D">
        <w:rPr>
          <w:rFonts w:eastAsia="Times New Roman" w:cs="Times New Roman"/>
          <w:color w:val="FF0000"/>
          <w:shd w:val="clear" w:color="auto" w:fill="FFFFFF"/>
        </w:rPr>
        <w:t xml:space="preserve"> or repair</w:t>
      </w:r>
      <w:r w:rsidR="007B149D">
        <w:rPr>
          <w:rFonts w:eastAsia="Times New Roman" w:cs="Times New Roman"/>
          <w:color w:val="FF0000"/>
          <w:shd w:val="clear" w:color="auto" w:fill="FFFFFF"/>
        </w:rPr>
        <w:t xml:space="preserve"> of</w:t>
      </w:r>
      <w:r w:rsidR="00F7716E" w:rsidRPr="007B149D">
        <w:rPr>
          <w:rFonts w:eastAsia="Times New Roman" w:cs="Times New Roman"/>
          <w:color w:val="FF0000"/>
          <w:shd w:val="clear" w:color="auto" w:fill="FFFFFF"/>
        </w:rPr>
        <w:t xml:space="preserve"> an existing structure</w:t>
      </w:r>
      <w:r w:rsidR="007B149D">
        <w:rPr>
          <w:rFonts w:eastAsia="Times New Roman" w:cs="Times New Roman"/>
          <w:color w:val="FF0000"/>
          <w:shd w:val="clear" w:color="auto" w:fill="FFFFFF"/>
        </w:rPr>
        <w:t xml:space="preserve"> </w:t>
      </w:r>
      <w:r w:rsidR="00520C0B">
        <w:rPr>
          <w:rFonts w:eastAsia="Times New Roman" w:cs="Times New Roman"/>
          <w:color w:val="FF0000"/>
          <w:shd w:val="clear" w:color="auto" w:fill="FFFFFF"/>
        </w:rPr>
        <w:t>is</w:t>
      </w:r>
      <w:r w:rsidR="007B149D">
        <w:rPr>
          <w:rFonts w:eastAsia="Times New Roman" w:cs="Times New Roman"/>
          <w:color w:val="FF0000"/>
          <w:shd w:val="clear" w:color="auto" w:fill="FFFFFF"/>
        </w:rPr>
        <w:t xml:space="preserve"> also considered equipment or supplies</w:t>
      </w:r>
      <w:r w:rsidR="00F7716E" w:rsidRPr="007B149D">
        <w:rPr>
          <w:rFonts w:eastAsia="Times New Roman" w:cs="Times New Roman"/>
          <w:color w:val="FF0000"/>
          <w:shd w:val="clear" w:color="auto" w:fill="FFFFFF"/>
        </w:rPr>
        <w:t>, as long as it does not substantially modify the structure</w:t>
      </w:r>
      <w:r w:rsidR="007B149D">
        <w:rPr>
          <w:rFonts w:eastAsia="Times New Roman" w:cs="Times New Roman"/>
          <w:color w:val="FF0000"/>
          <w:shd w:val="clear" w:color="auto" w:fill="FFFFFF"/>
        </w:rPr>
        <w:t>.</w:t>
      </w:r>
    </w:p>
    <w:p w14:paraId="6018FD14" w14:textId="77777777" w:rsidR="00C42E8A" w:rsidRPr="00C42E8A" w:rsidRDefault="00C42E8A" w:rsidP="00C42E8A">
      <w:pPr>
        <w:rPr>
          <w:rFonts w:eastAsia="Times New Roman" w:cs="Times New Roman"/>
          <w:color w:val="FF0000"/>
          <w:shd w:val="clear" w:color="auto" w:fill="FFFFFF"/>
        </w:rPr>
      </w:pPr>
    </w:p>
    <w:p w14:paraId="7B03A0E9" w14:textId="77777777" w:rsidR="00C42E8A" w:rsidRDefault="00C42E8A" w:rsidP="00C42E8A">
      <w:pPr>
        <w:numPr>
          <w:ilvl w:val="0"/>
          <w:numId w:val="9"/>
        </w:numPr>
        <w:rPr>
          <w:lang w:val="en-GB"/>
        </w:rPr>
      </w:pPr>
      <w:r>
        <w:rPr>
          <w:lang w:val="en-GB"/>
        </w:rPr>
        <w:t>Clarification on the Activity Map:</w:t>
      </w:r>
    </w:p>
    <w:p w14:paraId="5540F74A" w14:textId="77777777" w:rsidR="00C42E8A" w:rsidRDefault="00C42E8A" w:rsidP="00C42E8A">
      <w:pPr>
        <w:numPr>
          <w:ilvl w:val="1"/>
          <w:numId w:val="9"/>
        </w:numPr>
        <w:tabs>
          <w:tab w:val="clear" w:pos="1440"/>
        </w:tabs>
        <w:rPr>
          <w:color w:val="FF0000"/>
          <w:lang w:val="en-GB"/>
        </w:rPr>
      </w:pPr>
      <w:r w:rsidRPr="0076684D">
        <w:rPr>
          <w:color w:val="FF0000"/>
          <w:lang w:val="en-GB"/>
        </w:rPr>
        <w:t xml:space="preserve">The Activity Map </w:t>
      </w:r>
      <w:r w:rsidRPr="00487D87">
        <w:rPr>
          <w:b/>
          <w:i/>
          <w:color w:val="FF0000"/>
          <w:u w:val="single"/>
          <w:lang w:val="en-GB"/>
        </w:rPr>
        <w:t>DOES NOT</w:t>
      </w:r>
      <w:r w:rsidRPr="0076684D">
        <w:rPr>
          <w:color w:val="FF0000"/>
          <w:lang w:val="en-GB"/>
        </w:rPr>
        <w:t xml:space="preserve"> count towards the 15-page limit.</w:t>
      </w:r>
      <w:r>
        <w:rPr>
          <w:color w:val="FF0000"/>
          <w:lang w:val="en-GB"/>
        </w:rPr>
        <w:t xml:space="preserve"> Instead, please include the Activity Map as an appendix, similar to the Monitoring and Evaluation Plan, or the Project Risk Analysis.</w:t>
      </w:r>
    </w:p>
    <w:p w14:paraId="385BBA69" w14:textId="77777777" w:rsidR="00C42E8A" w:rsidRDefault="00C42E8A" w:rsidP="00C42E8A">
      <w:pPr>
        <w:numPr>
          <w:ilvl w:val="1"/>
          <w:numId w:val="9"/>
        </w:numPr>
        <w:tabs>
          <w:tab w:val="clear" w:pos="1440"/>
        </w:tabs>
        <w:rPr>
          <w:color w:val="FF0000"/>
          <w:lang w:val="en-GB"/>
        </w:rPr>
      </w:pPr>
      <w:r>
        <w:rPr>
          <w:color w:val="FF0000"/>
          <w:lang w:val="en-GB"/>
        </w:rPr>
        <w:t>The proposal narrative must include the following:</w:t>
      </w:r>
    </w:p>
    <w:p w14:paraId="320B1088" w14:textId="77777777" w:rsidR="00C42E8A" w:rsidRDefault="00C42E8A" w:rsidP="00C42E8A">
      <w:pPr>
        <w:numPr>
          <w:ilvl w:val="2"/>
          <w:numId w:val="9"/>
        </w:numPr>
        <w:rPr>
          <w:color w:val="FF0000"/>
          <w:lang w:val="en-GB"/>
        </w:rPr>
      </w:pPr>
      <w:r>
        <w:rPr>
          <w:color w:val="FF0000"/>
          <w:lang w:val="en-GB"/>
        </w:rPr>
        <w:t>Cover page</w:t>
      </w:r>
    </w:p>
    <w:p w14:paraId="6D8608B2" w14:textId="77777777" w:rsidR="00C42E8A" w:rsidRDefault="00C42E8A" w:rsidP="00C42E8A">
      <w:pPr>
        <w:numPr>
          <w:ilvl w:val="2"/>
          <w:numId w:val="9"/>
        </w:numPr>
        <w:rPr>
          <w:color w:val="FF0000"/>
          <w:lang w:val="en-GB"/>
        </w:rPr>
      </w:pPr>
      <w:r>
        <w:rPr>
          <w:color w:val="FF0000"/>
          <w:lang w:val="en-GB"/>
        </w:rPr>
        <w:t>Table of contents</w:t>
      </w:r>
    </w:p>
    <w:p w14:paraId="4A0885F5" w14:textId="77777777" w:rsidR="00C42E8A" w:rsidRDefault="00C42E8A" w:rsidP="00C42E8A">
      <w:pPr>
        <w:numPr>
          <w:ilvl w:val="2"/>
          <w:numId w:val="9"/>
        </w:numPr>
        <w:rPr>
          <w:color w:val="FF0000"/>
          <w:lang w:val="en-GB"/>
        </w:rPr>
      </w:pPr>
      <w:r>
        <w:rPr>
          <w:color w:val="FF0000"/>
          <w:lang w:val="en-GB"/>
        </w:rPr>
        <w:t>Executive summary</w:t>
      </w:r>
    </w:p>
    <w:p w14:paraId="4407D40E" w14:textId="77777777" w:rsidR="00C42E8A" w:rsidRPr="00E0723C" w:rsidRDefault="00C42E8A" w:rsidP="00C42E8A">
      <w:pPr>
        <w:numPr>
          <w:ilvl w:val="2"/>
          <w:numId w:val="9"/>
        </w:numPr>
        <w:rPr>
          <w:b/>
          <w:color w:val="FF0000"/>
          <w:lang w:val="en-GB"/>
        </w:rPr>
      </w:pPr>
      <w:r w:rsidRPr="00E0723C">
        <w:rPr>
          <w:b/>
          <w:color w:val="FF0000"/>
          <w:lang w:val="en-GB"/>
        </w:rPr>
        <w:t>Technical narrative: provide the specifics of the project, including the goals, objectives, and all the details of the activities</w:t>
      </w:r>
    </w:p>
    <w:p w14:paraId="7B5F04EF" w14:textId="77777777" w:rsidR="00C42E8A" w:rsidRDefault="00C42E8A" w:rsidP="00C42E8A">
      <w:pPr>
        <w:numPr>
          <w:ilvl w:val="2"/>
          <w:numId w:val="9"/>
        </w:numPr>
        <w:rPr>
          <w:color w:val="FF0000"/>
          <w:lang w:val="en-GB"/>
        </w:rPr>
      </w:pPr>
      <w:r>
        <w:rPr>
          <w:color w:val="FF0000"/>
          <w:lang w:val="en-GB"/>
        </w:rPr>
        <w:t>Timeline</w:t>
      </w:r>
    </w:p>
    <w:p w14:paraId="074D3B97" w14:textId="77777777" w:rsidR="00C42E8A" w:rsidRPr="0076684D" w:rsidRDefault="00C42E8A" w:rsidP="00C42E8A">
      <w:pPr>
        <w:numPr>
          <w:ilvl w:val="2"/>
          <w:numId w:val="9"/>
        </w:numPr>
        <w:rPr>
          <w:color w:val="FF0000"/>
          <w:lang w:val="en-GB"/>
        </w:rPr>
      </w:pPr>
      <w:r>
        <w:rPr>
          <w:color w:val="FF0000"/>
          <w:lang w:val="en-GB"/>
        </w:rPr>
        <w:lastRenderedPageBreak/>
        <w:t>Sustainability</w:t>
      </w:r>
    </w:p>
    <w:p w14:paraId="20D3DE4B" w14:textId="67B6B85E" w:rsidR="00C42E8A" w:rsidRPr="00C42E8A" w:rsidRDefault="00C42E8A" w:rsidP="00CD0709">
      <w:pPr>
        <w:numPr>
          <w:ilvl w:val="1"/>
          <w:numId w:val="9"/>
        </w:numPr>
        <w:tabs>
          <w:tab w:val="clear" w:pos="1440"/>
        </w:tabs>
        <w:jc w:val="both"/>
        <w:rPr>
          <w:lang w:val="en-GB"/>
        </w:rPr>
      </w:pPr>
      <w:r>
        <w:rPr>
          <w:color w:val="FF0000"/>
          <w:lang w:val="en-GB"/>
        </w:rPr>
        <w:t>Every application must include a technical narrative. In this section, the applicant must detail all of the proposed activities, including answers to the questions: who, what, where, when, why, and how. The technical narrative should be written in complete sentences and provide the grant evaluation panel with all the information necessary to understand the proposed program. Information that is included in the Activity Map, Monitoring and Evaluation Plan, or any other attachment, but not in the technical narrative, may not be fully considered by the grant review panel.</w:t>
      </w:r>
    </w:p>
    <w:sectPr w:rsidR="00C42E8A" w:rsidRPr="00C42E8A" w:rsidSect="001C481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35E48A" w14:textId="77777777" w:rsidR="00724A43" w:rsidRDefault="00724A43" w:rsidP="000A4506">
      <w:r>
        <w:separator/>
      </w:r>
    </w:p>
  </w:endnote>
  <w:endnote w:type="continuationSeparator" w:id="0">
    <w:p w14:paraId="0A6826AC" w14:textId="77777777" w:rsidR="00724A43" w:rsidRDefault="00724A43" w:rsidP="000A45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27B957" w14:textId="77777777" w:rsidR="00724A43" w:rsidRDefault="00724A43" w:rsidP="000A4506">
      <w:r>
        <w:separator/>
      </w:r>
    </w:p>
  </w:footnote>
  <w:footnote w:type="continuationSeparator" w:id="0">
    <w:p w14:paraId="045F08BC" w14:textId="77777777" w:rsidR="00724A43" w:rsidRDefault="00724A43" w:rsidP="000A45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104858"/>
    <w:multiLevelType w:val="multilevel"/>
    <w:tmpl w:val="50DEB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8B15960"/>
    <w:multiLevelType w:val="multilevel"/>
    <w:tmpl w:val="CF941FEE"/>
    <w:lvl w:ilvl="0">
      <w:start w:val="1"/>
      <w:numFmt w:val="decimal"/>
      <w:lvlText w:val="%1."/>
      <w:lvlJc w:val="left"/>
      <w:pPr>
        <w:ind w:left="720" w:hanging="360"/>
      </w:pPr>
      <w:rPr>
        <w:rFonts w:hint="default"/>
        <w:sz w:val="24"/>
      </w:rPr>
    </w:lvl>
    <w:lvl w:ilvl="1">
      <w:start w:val="1"/>
      <w:numFmt w:val="bullet"/>
      <w:lvlText w:val=""/>
      <w:lvlJc w:val="left"/>
      <w:pPr>
        <w:tabs>
          <w:tab w:val="num" w:pos="1440"/>
        </w:tabs>
        <w:ind w:left="1440" w:hanging="360"/>
      </w:pPr>
      <w:rPr>
        <w:rFonts w:ascii="Symbol" w:hAnsi="Symbol" w:hint="default"/>
        <w:color w:val="FF0000"/>
        <w:sz w:val="24"/>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9F43C90"/>
    <w:multiLevelType w:val="multilevel"/>
    <w:tmpl w:val="230283B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63D6D96"/>
    <w:multiLevelType w:val="multilevel"/>
    <w:tmpl w:val="E0CEFD4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A0C1EE9"/>
    <w:multiLevelType w:val="hybridMultilevel"/>
    <w:tmpl w:val="EDEAB0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1DF4E4F"/>
    <w:multiLevelType w:val="hybridMultilevel"/>
    <w:tmpl w:val="59B877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445F390C"/>
    <w:multiLevelType w:val="hybridMultilevel"/>
    <w:tmpl w:val="74C881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C9E17F5"/>
    <w:multiLevelType w:val="multilevel"/>
    <w:tmpl w:val="9372F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A203D7A"/>
    <w:multiLevelType w:val="multilevel"/>
    <w:tmpl w:val="96664812"/>
    <w:lvl w:ilvl="0">
      <w:start w:val="4"/>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9D55755"/>
    <w:multiLevelType w:val="hybridMultilevel"/>
    <w:tmpl w:val="E3FCFD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6EA7411C"/>
    <w:multiLevelType w:val="multilevel"/>
    <w:tmpl w:val="1230F78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3A84D4C"/>
    <w:multiLevelType w:val="hybridMultilevel"/>
    <w:tmpl w:val="25A0E0B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3"/>
  </w:num>
  <w:num w:numId="2">
    <w:abstractNumId w:val="2"/>
  </w:num>
  <w:num w:numId="3">
    <w:abstractNumId w:val="10"/>
  </w:num>
  <w:num w:numId="4">
    <w:abstractNumId w:val="8"/>
  </w:num>
  <w:num w:numId="5">
    <w:abstractNumId w:val="11"/>
  </w:num>
  <w:num w:numId="6">
    <w:abstractNumId w:val="5"/>
  </w:num>
  <w:num w:numId="7">
    <w:abstractNumId w:val="6"/>
  </w:num>
  <w:num w:numId="8">
    <w:abstractNumId w:val="4"/>
  </w:num>
  <w:num w:numId="9">
    <w:abstractNumId w:val="1"/>
  </w:num>
  <w:num w:numId="10">
    <w:abstractNumId w:val="0"/>
  </w:num>
  <w:num w:numId="11">
    <w:abstractNumId w:val="9"/>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1038"/>
    <w:rsid w:val="00033834"/>
    <w:rsid w:val="00046034"/>
    <w:rsid w:val="000A4506"/>
    <w:rsid w:val="000A5E1C"/>
    <w:rsid w:val="001C481D"/>
    <w:rsid w:val="001E4312"/>
    <w:rsid w:val="00223243"/>
    <w:rsid w:val="002333FD"/>
    <w:rsid w:val="00246EE7"/>
    <w:rsid w:val="00260FB2"/>
    <w:rsid w:val="00263A58"/>
    <w:rsid w:val="0028146B"/>
    <w:rsid w:val="00337DB6"/>
    <w:rsid w:val="003A78B5"/>
    <w:rsid w:val="003B076C"/>
    <w:rsid w:val="003D58FB"/>
    <w:rsid w:val="00500AAA"/>
    <w:rsid w:val="00520264"/>
    <w:rsid w:val="00520C0B"/>
    <w:rsid w:val="0054695F"/>
    <w:rsid w:val="0061347F"/>
    <w:rsid w:val="00622F63"/>
    <w:rsid w:val="006663C0"/>
    <w:rsid w:val="006C366D"/>
    <w:rsid w:val="006E7F10"/>
    <w:rsid w:val="00700065"/>
    <w:rsid w:val="00724A43"/>
    <w:rsid w:val="007330DE"/>
    <w:rsid w:val="00775EE4"/>
    <w:rsid w:val="007B149D"/>
    <w:rsid w:val="00936A39"/>
    <w:rsid w:val="00A1355E"/>
    <w:rsid w:val="00A3090B"/>
    <w:rsid w:val="00A503E3"/>
    <w:rsid w:val="00AD1038"/>
    <w:rsid w:val="00AF3228"/>
    <w:rsid w:val="00B04A8A"/>
    <w:rsid w:val="00B66B25"/>
    <w:rsid w:val="00B90AF9"/>
    <w:rsid w:val="00BE2741"/>
    <w:rsid w:val="00C42E8A"/>
    <w:rsid w:val="00C51129"/>
    <w:rsid w:val="00C62DF1"/>
    <w:rsid w:val="00C72BBC"/>
    <w:rsid w:val="00CC5B2C"/>
    <w:rsid w:val="00CD0709"/>
    <w:rsid w:val="00CD518F"/>
    <w:rsid w:val="00CE161A"/>
    <w:rsid w:val="00CE5099"/>
    <w:rsid w:val="00CF2292"/>
    <w:rsid w:val="00D22EF8"/>
    <w:rsid w:val="00DF0649"/>
    <w:rsid w:val="00F07E56"/>
    <w:rsid w:val="00F6594E"/>
    <w:rsid w:val="00F771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5D20AEE"/>
  <w15:chartTrackingRefBased/>
  <w15:docId w15:val="{FDC133FF-0CF4-2A4C-91B9-5CE78CCC3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5B2C"/>
    <w:rPr>
      <w:rFonts w:ascii="Times New Roman" w:hAnsi="Times New Roman"/>
    </w:rPr>
  </w:style>
  <w:style w:type="paragraph" w:styleId="Heading1">
    <w:name w:val="heading 1"/>
    <w:basedOn w:val="Normal"/>
    <w:next w:val="Normal"/>
    <w:link w:val="Heading1Char"/>
    <w:uiPriority w:val="9"/>
    <w:qFormat/>
    <w:rsid w:val="000A450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A4506"/>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1038"/>
    <w:pPr>
      <w:ind w:left="720"/>
      <w:contextualSpacing/>
    </w:pPr>
  </w:style>
  <w:style w:type="character" w:customStyle="1" w:styleId="Heading1Char">
    <w:name w:val="Heading 1 Char"/>
    <w:basedOn w:val="DefaultParagraphFont"/>
    <w:link w:val="Heading1"/>
    <w:uiPriority w:val="9"/>
    <w:rsid w:val="000A450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0A4506"/>
    <w:rPr>
      <w:rFonts w:asciiTheme="majorHAnsi" w:eastAsiaTheme="majorEastAsia" w:hAnsiTheme="majorHAnsi" w:cstheme="majorBidi"/>
      <w:color w:val="2F5496" w:themeColor="accent1" w:themeShade="BF"/>
      <w:sz w:val="26"/>
      <w:szCs w:val="26"/>
    </w:rPr>
  </w:style>
  <w:style w:type="character" w:styleId="SubtleEmphasis">
    <w:name w:val="Subtle Emphasis"/>
    <w:basedOn w:val="DefaultParagraphFont"/>
    <w:uiPriority w:val="19"/>
    <w:qFormat/>
    <w:rsid w:val="000A4506"/>
    <w:rPr>
      <w:i/>
      <w:iCs/>
      <w:color w:val="404040" w:themeColor="text1" w:themeTint="BF"/>
    </w:rPr>
  </w:style>
  <w:style w:type="paragraph" w:customStyle="1" w:styleId="Default">
    <w:name w:val="Default"/>
    <w:rsid w:val="00260FB2"/>
    <w:pPr>
      <w:autoSpaceDE w:val="0"/>
      <w:autoSpaceDN w:val="0"/>
      <w:adjustRightInd w:val="0"/>
    </w:pPr>
    <w:rPr>
      <w:rFonts w:ascii="Times New Roman" w:hAnsi="Times New Roman" w:cs="Times New Roman"/>
      <w:color w:val="000000"/>
    </w:rPr>
  </w:style>
  <w:style w:type="paragraph" w:styleId="NormalWeb">
    <w:name w:val="Normal (Web)"/>
    <w:basedOn w:val="Normal"/>
    <w:uiPriority w:val="99"/>
    <w:semiHidden/>
    <w:unhideWhenUsed/>
    <w:rsid w:val="00033834"/>
    <w:pPr>
      <w:spacing w:before="100" w:beforeAutospacing="1" w:after="100" w:afterAutospacing="1"/>
    </w:pPr>
    <w:rPr>
      <w:rFonts w:eastAsia="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6998613">
      <w:bodyDiv w:val="1"/>
      <w:marLeft w:val="0"/>
      <w:marRight w:val="0"/>
      <w:marTop w:val="0"/>
      <w:marBottom w:val="0"/>
      <w:divBdr>
        <w:top w:val="none" w:sz="0" w:space="0" w:color="auto"/>
        <w:left w:val="none" w:sz="0" w:space="0" w:color="auto"/>
        <w:bottom w:val="none" w:sz="0" w:space="0" w:color="auto"/>
        <w:right w:val="none" w:sz="0" w:space="0" w:color="auto"/>
      </w:divBdr>
    </w:div>
    <w:div w:id="870530228">
      <w:bodyDiv w:val="1"/>
      <w:marLeft w:val="0"/>
      <w:marRight w:val="0"/>
      <w:marTop w:val="0"/>
      <w:marBottom w:val="0"/>
      <w:divBdr>
        <w:top w:val="none" w:sz="0" w:space="0" w:color="auto"/>
        <w:left w:val="none" w:sz="0" w:space="0" w:color="auto"/>
        <w:bottom w:val="none" w:sz="0" w:space="0" w:color="auto"/>
        <w:right w:val="none" w:sz="0" w:space="0" w:color="auto"/>
      </w:divBdr>
    </w:div>
    <w:div w:id="1050348220">
      <w:bodyDiv w:val="1"/>
      <w:marLeft w:val="0"/>
      <w:marRight w:val="0"/>
      <w:marTop w:val="0"/>
      <w:marBottom w:val="0"/>
      <w:divBdr>
        <w:top w:val="none" w:sz="0" w:space="0" w:color="auto"/>
        <w:left w:val="none" w:sz="0" w:space="0" w:color="auto"/>
        <w:bottom w:val="none" w:sz="0" w:space="0" w:color="auto"/>
        <w:right w:val="none" w:sz="0" w:space="0" w:color="auto"/>
      </w:divBdr>
    </w:div>
    <w:div w:id="1295065028">
      <w:bodyDiv w:val="1"/>
      <w:marLeft w:val="0"/>
      <w:marRight w:val="0"/>
      <w:marTop w:val="0"/>
      <w:marBottom w:val="0"/>
      <w:divBdr>
        <w:top w:val="none" w:sz="0" w:space="0" w:color="auto"/>
        <w:left w:val="none" w:sz="0" w:space="0" w:color="auto"/>
        <w:bottom w:val="none" w:sz="0" w:space="0" w:color="auto"/>
        <w:right w:val="none" w:sz="0" w:space="0" w:color="auto"/>
      </w:divBdr>
      <w:divsChild>
        <w:div w:id="2861570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29515797">
              <w:marLeft w:val="0"/>
              <w:marRight w:val="0"/>
              <w:marTop w:val="0"/>
              <w:marBottom w:val="0"/>
              <w:divBdr>
                <w:top w:val="none" w:sz="0" w:space="0" w:color="auto"/>
                <w:left w:val="none" w:sz="0" w:space="0" w:color="auto"/>
                <w:bottom w:val="none" w:sz="0" w:space="0" w:color="auto"/>
                <w:right w:val="none" w:sz="0" w:space="0" w:color="auto"/>
              </w:divBdr>
              <w:divsChild>
                <w:div w:id="1129518309">
                  <w:marLeft w:val="0"/>
                  <w:marRight w:val="0"/>
                  <w:marTop w:val="0"/>
                  <w:marBottom w:val="0"/>
                  <w:divBdr>
                    <w:top w:val="none" w:sz="0" w:space="0" w:color="auto"/>
                    <w:left w:val="none" w:sz="0" w:space="0" w:color="auto"/>
                    <w:bottom w:val="none" w:sz="0" w:space="0" w:color="auto"/>
                    <w:right w:val="none" w:sz="0" w:space="0" w:color="auto"/>
                  </w:divBdr>
                  <w:divsChild>
                    <w:div w:id="183714962">
                      <w:marLeft w:val="0"/>
                      <w:marRight w:val="0"/>
                      <w:marTop w:val="0"/>
                      <w:marBottom w:val="0"/>
                      <w:divBdr>
                        <w:top w:val="none" w:sz="0" w:space="0" w:color="auto"/>
                        <w:left w:val="none" w:sz="0" w:space="0" w:color="auto"/>
                        <w:bottom w:val="none" w:sz="0" w:space="0" w:color="auto"/>
                        <w:right w:val="none" w:sz="0" w:space="0" w:color="auto"/>
                      </w:divBdr>
                      <w:divsChild>
                        <w:div w:id="977345468">
                          <w:marLeft w:val="0"/>
                          <w:marRight w:val="0"/>
                          <w:marTop w:val="0"/>
                          <w:marBottom w:val="0"/>
                          <w:divBdr>
                            <w:top w:val="none" w:sz="0" w:space="0" w:color="auto"/>
                            <w:left w:val="none" w:sz="0" w:space="0" w:color="auto"/>
                            <w:bottom w:val="none" w:sz="0" w:space="0" w:color="auto"/>
                            <w:right w:val="none" w:sz="0" w:space="0" w:color="auto"/>
                          </w:divBdr>
                          <w:divsChild>
                            <w:div w:id="1414202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0069787">
      <w:bodyDiv w:val="1"/>
      <w:marLeft w:val="0"/>
      <w:marRight w:val="0"/>
      <w:marTop w:val="0"/>
      <w:marBottom w:val="0"/>
      <w:divBdr>
        <w:top w:val="none" w:sz="0" w:space="0" w:color="auto"/>
        <w:left w:val="none" w:sz="0" w:space="0" w:color="auto"/>
        <w:bottom w:val="none" w:sz="0" w:space="0" w:color="auto"/>
        <w:right w:val="none" w:sz="0" w:space="0" w:color="auto"/>
      </w:divBdr>
    </w:div>
    <w:div w:id="1490514117">
      <w:bodyDiv w:val="1"/>
      <w:marLeft w:val="0"/>
      <w:marRight w:val="0"/>
      <w:marTop w:val="0"/>
      <w:marBottom w:val="0"/>
      <w:divBdr>
        <w:top w:val="none" w:sz="0" w:space="0" w:color="auto"/>
        <w:left w:val="none" w:sz="0" w:space="0" w:color="auto"/>
        <w:bottom w:val="none" w:sz="0" w:space="0" w:color="auto"/>
        <w:right w:val="none" w:sz="0" w:space="0" w:color="auto"/>
      </w:divBdr>
    </w:div>
    <w:div w:id="1556159899">
      <w:bodyDiv w:val="1"/>
      <w:marLeft w:val="0"/>
      <w:marRight w:val="0"/>
      <w:marTop w:val="0"/>
      <w:marBottom w:val="0"/>
      <w:divBdr>
        <w:top w:val="none" w:sz="0" w:space="0" w:color="auto"/>
        <w:left w:val="none" w:sz="0" w:space="0" w:color="auto"/>
        <w:bottom w:val="none" w:sz="0" w:space="0" w:color="auto"/>
        <w:right w:val="none" w:sz="0" w:space="0" w:color="auto"/>
      </w:divBdr>
      <w:divsChild>
        <w:div w:id="1716808277">
          <w:marLeft w:val="0"/>
          <w:marRight w:val="0"/>
          <w:marTop w:val="0"/>
          <w:marBottom w:val="0"/>
          <w:divBdr>
            <w:top w:val="none" w:sz="0" w:space="0" w:color="auto"/>
            <w:left w:val="none" w:sz="0" w:space="0" w:color="auto"/>
            <w:bottom w:val="none" w:sz="0" w:space="0" w:color="auto"/>
            <w:right w:val="none" w:sz="0" w:space="0" w:color="auto"/>
          </w:divBdr>
        </w:div>
        <w:div w:id="1522663742">
          <w:marLeft w:val="0"/>
          <w:marRight w:val="0"/>
          <w:marTop w:val="0"/>
          <w:marBottom w:val="0"/>
          <w:divBdr>
            <w:top w:val="none" w:sz="0" w:space="0" w:color="auto"/>
            <w:left w:val="none" w:sz="0" w:space="0" w:color="auto"/>
            <w:bottom w:val="none" w:sz="0" w:space="0" w:color="auto"/>
            <w:right w:val="none" w:sz="0" w:space="0" w:color="auto"/>
          </w:divBdr>
        </w:div>
        <w:div w:id="672879811">
          <w:marLeft w:val="0"/>
          <w:marRight w:val="0"/>
          <w:marTop w:val="0"/>
          <w:marBottom w:val="0"/>
          <w:divBdr>
            <w:top w:val="none" w:sz="0" w:space="0" w:color="auto"/>
            <w:left w:val="none" w:sz="0" w:space="0" w:color="auto"/>
            <w:bottom w:val="none" w:sz="0" w:space="0" w:color="auto"/>
            <w:right w:val="none" w:sz="0" w:space="0" w:color="auto"/>
          </w:divBdr>
        </w:div>
      </w:divsChild>
    </w:div>
    <w:div w:id="1812595108">
      <w:bodyDiv w:val="1"/>
      <w:marLeft w:val="0"/>
      <w:marRight w:val="0"/>
      <w:marTop w:val="0"/>
      <w:marBottom w:val="0"/>
      <w:divBdr>
        <w:top w:val="none" w:sz="0" w:space="0" w:color="auto"/>
        <w:left w:val="none" w:sz="0" w:space="0" w:color="auto"/>
        <w:bottom w:val="none" w:sz="0" w:space="0" w:color="auto"/>
        <w:right w:val="none" w:sz="0" w:space="0" w:color="auto"/>
      </w:divBdr>
    </w:div>
    <w:div w:id="2130123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492</Words>
  <Characters>2805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Leslie Catherwood</dc:creator>
  <cp:keywords/>
  <dc:description/>
  <cp:lastModifiedBy>Starr, Najar D</cp:lastModifiedBy>
  <cp:revision>2</cp:revision>
  <dcterms:created xsi:type="dcterms:W3CDTF">2021-06-07T01:07:00Z</dcterms:created>
  <dcterms:modified xsi:type="dcterms:W3CDTF">2021-06-07T01:07:00Z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CatherwoodLH@state.gov</vt:lpwstr>
  </property>
  <property fmtid="{D5CDD505-2E9C-101B-9397-08002B2CF9AE}" pid="5" name="MSIP_Label_1665d9ee-429a-4d5f-97cc-cfb56e044a6e_SetDate">
    <vt:lpwstr>2020-04-23T21:31:21.7629845Z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a0d73aad-3af0-4096-9b6d-ee0eb388ecad</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ies>
</file>