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Californian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6</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14</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18</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$450,000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$450,000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 xml:space="preserve">The U.S. Geological Survey's (USGS) Pacific Coastal and Marine Science Center is offering a funding opportunity to a participating partner of the California Cooperative Ecosystem Studies Unit (CESU) for research to improve understanding of seabed mineral formation, including interactions with fundamental ocean processes, element enrichment, growth timescales, and submarine geohazards. The cooperative agreement funded under this NOFO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shall deliver timely, relevant science that supports resource managers and informs adaptive management strategies. This competitive funding opportunity intends to leverage and expand existing CESU partnerships and sharing of expertise.</w:t>
      </w: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Californian Cooperative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primary research objectives are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(1) improve understanding of seabed mineral formation, including interactions with fundamental ocean processes, processes of element enrichment and growth timescales, and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improve understanding of submarine geohazards, including intersections with seabed minerals.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The U.S. Geological Survey's (USGS) Pacific Coastal and Marine Science Center proposes research to improve understanding of seabed mineral formation, including interactions with fundamental ocean processes, element enrichment, growth timescales, and submarine geohazards. This work is designed to deliver timely, relevant science that supports resource managers and informs adaptive management strategies. This project intends to leverage and expand existing CESU partnerships and sharing of expertise.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Research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primary research objectives are to:</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(1) improve understanding of seabed mineral formation, including interactions with fundamental ocean processes, processes of element enrichment and growth timescales, 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(2) improve understanding of submarine geohazards, including intersections with seabed minerals.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project work funded under this NOFO directly supports statutory mandates, Executive Orders, and Secretarial directives related to offshore earthquake and landslide hazards, offshore mineral exploration, national security, and energy resilience. This includes:</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4320"/>
        <w:gridCol w:w="5024"/>
      </w:tblGrid>
      <w:tr>
        <w:tblPrEx>
          <w:tblW w:w="5000" w:type="pct"/>
          <w:tblLook w:val="05E0"/>
        </w:tblPrEx>
        <w:trPr>
          <w:tblHeader/>
        </w:trPr>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center"/>
              <w:rPr>
                <w:rFonts w:ascii="Liberation Serif" w:eastAsia="Liberation Serif" w:hAnsi="Liberation Serif" w:cs="Liberation Serif"/>
                <w:b/>
                <w:bCs/>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Authority / EO / SO</w:t>
            </w:r>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center"/>
              <w:rPr>
                <w:rFonts w:ascii="Liberation Serif" w:eastAsia="Liberation Serif" w:hAnsi="Liberation Serif" w:cs="Liberation Serif"/>
                <w:b/>
                <w:bCs/>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Project Role / Alignment</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Earthquake Hazards Reduction </w:t>
            </w:r>
            <w:r>
              <w:rPr>
                <w:rFonts w:ascii="Liberation Serif" w:eastAsia="Liberation Serif" w:hAnsi="Liberation Serif" w:cs="Liberation Serif"/>
                <w:b w:val="0"/>
                <w:i w:val="0"/>
                <w:strike w:val="0"/>
                <w:color w:val="000000"/>
                <w:sz w:val="24"/>
                <w:u w:val="none"/>
              </w:rPr>
              <w:t xml:space="preserve"> </w:t>
            </w:r>
            <w:hyperlink r:id="rId21" w:history="1">
              <w:r>
                <w:rPr>
                  <w:rStyle w:val="ahref"/>
                  <w:rFonts w:ascii="Liberation Serif" w:eastAsia="Liberation Serif" w:hAnsi="Liberation Serif" w:cs="Liberation Serif"/>
                  <w:b w:val="0"/>
                  <w:i w:val="0"/>
                  <w:strike w:val="0"/>
                  <w:color w:val="0000FF"/>
                  <w:sz w:val="24"/>
                  <w:u w:val="single" w:color="0000FF"/>
                </w:rPr>
                <w:t>Act</w:t>
              </w:r>
            </w:hyperlink>
            <w:r>
              <w:rPr>
                <w:rFonts w:ascii="Liberation Serif" w:eastAsia="Liberation Serif" w:hAnsi="Liberation Serif" w:cs="Liberation Serif"/>
                <w:b w:val="0"/>
                <w:i w:val="0"/>
                <w:strike w:val="0"/>
                <w:color w:val="000000"/>
                <w:sz w:val="24"/>
                <w:u w:val="none"/>
              </w:rPr>
              <w:t xml:space="preserve"> of 1977 &amp; NEHRP Reauthorization Act of 2024</w:t>
            </w:r>
            <w:r>
              <w:rPr>
                <w:rFonts w:ascii="Liberation Serif" w:eastAsia="Liberation Serif" w:hAnsi="Liberation Serif" w:cs="Liberation Serif"/>
                <w:b w:val="0"/>
                <w:i w:val="0"/>
                <w:strike w:val="0"/>
                <w:color w:val="000000"/>
                <w:sz w:val="24"/>
                <w:u w:val="none"/>
              </w:rPr>
              <w:t xml:space="preserve"> </w:t>
            </w:r>
            <w:hyperlink r:id="rId22" w:history="1">
              <w:r>
                <w:rPr>
                  <w:rStyle w:val="ahref"/>
                  <w:rFonts w:ascii="Liberation Serif" w:eastAsia="Liberation Serif" w:hAnsi="Liberation Serif" w:cs="Liberation Serif"/>
                  <w:b w:val="0"/>
                  <w:i w:val="0"/>
                  <w:strike w:val="0"/>
                  <w:color w:val="0000FF"/>
                  <w:sz w:val="24"/>
                  <w:u w:val="single" w:color="0000FF"/>
                </w:rPr>
                <w:t>(S.3606)</w:t>
              </w:r>
            </w:hyperlink>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Offshore earthquake hazard data collection and research; EHP leads, partnered with CMHRP</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23" w:history="1">
              <w:r>
                <w:rPr>
                  <w:rStyle w:val="ahref"/>
                  <w:rFonts w:ascii="Liberation Serif" w:eastAsia="Liberation Serif" w:hAnsi="Liberation Serif" w:cs="Liberation Serif"/>
                  <w:b w:val="0"/>
                  <w:i w:val="0"/>
                  <w:strike w:val="0"/>
                  <w:color w:val="0000FF"/>
                  <w:sz w:val="24"/>
                  <w:u w:val="single" w:color="0000FF"/>
                </w:rPr>
                <w:t>National Landslide Preparedness Act of 2021</w:t>
              </w:r>
            </w:hyperlink>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and mitigate offshore landslide hazards; LHP leads with CMHRP in Prince William Sound, Cascadia, and southern California</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24" w:history="1">
              <w:r>
                <w:rPr>
                  <w:rStyle w:val="ahref"/>
                  <w:rFonts w:ascii="Liberation Serif" w:eastAsia="Liberation Serif" w:hAnsi="Liberation Serif" w:cs="Liberation Serif"/>
                  <w:b w:val="0"/>
                  <w:i w:val="0"/>
                  <w:strike w:val="0"/>
                  <w:color w:val="0000FF"/>
                  <w:sz w:val="24"/>
                  <w:u w:val="single" w:color="0000FF"/>
                </w:rPr>
                <w:t>OCSLA</w:t>
              </w:r>
            </w:hyperlink>
            <w:r>
              <w:rPr>
                <w:rFonts w:ascii="Liberation Serif" w:eastAsia="Liberation Serif" w:hAnsi="Liberation Serif" w:cs="Liberation Serif"/>
                <w:b w:val="0"/>
                <w:i w:val="0"/>
                <w:strike w:val="0"/>
                <w:color w:val="000000"/>
                <w:sz w:val="24"/>
                <w:u w:val="none"/>
              </w:rPr>
              <w:t xml:space="preserve"> </w:t>
            </w:r>
            <w:hyperlink r:id="rId25" w:history="1">
              <w:r>
                <w:rPr>
                  <w:rStyle w:val="ahref"/>
                  <w:rFonts w:ascii="Liberation Serif" w:eastAsia="Liberation Serif" w:hAnsi="Liberation Serif" w:cs="Liberation Serif"/>
                  <w:b w:val="0"/>
                  <w:i w:val="0"/>
                  <w:strike w:val="0"/>
                  <w:color w:val="0000FF"/>
                  <w:sz w:val="24"/>
                  <w:u w:val="single" w:color="0000FF"/>
                </w:rPr>
                <w:t>1953</w:t>
              </w:r>
            </w:hyperlink>
            <w:r>
              <w:rPr>
                <w:rFonts w:ascii="Liberation Serif" w:eastAsia="Liberation Serif" w:hAnsi="Liberation Serif" w:cs="Liberation Serif"/>
                <w:b w:val="0"/>
                <w:i w:val="0"/>
                <w:strike w:val="0"/>
                <w:color w:val="000000"/>
                <w:sz w:val="24"/>
                <w:u w:val="none"/>
              </w:rPr>
              <w:t xml:space="preserve"> &amp;</w:t>
            </w:r>
            <w:r>
              <w:rPr>
                <w:rFonts w:ascii="Liberation Serif" w:eastAsia="Liberation Serif" w:hAnsi="Liberation Serif" w:cs="Liberation Serif"/>
                <w:b w:val="0"/>
                <w:i w:val="0"/>
                <w:strike w:val="0"/>
                <w:color w:val="000000"/>
                <w:sz w:val="24"/>
                <w:u w:val="none"/>
              </w:rPr>
              <w:t xml:space="preserve"> </w:t>
            </w:r>
            <w:hyperlink r:id="rId26" w:history="1">
              <w:r>
                <w:rPr>
                  <w:rStyle w:val="ahref"/>
                  <w:rFonts w:ascii="Liberation Serif" w:eastAsia="Liberation Serif" w:hAnsi="Liberation Serif" w:cs="Liberation Serif"/>
                  <w:b w:val="0"/>
                  <w:i w:val="0"/>
                  <w:strike w:val="0"/>
                  <w:color w:val="0000FF"/>
                  <w:sz w:val="24"/>
                  <w:u w:val="single" w:color="0000FF"/>
                </w:rPr>
                <w:t>1978</w:t>
              </w:r>
            </w:hyperlink>
            <w:r>
              <w:rPr>
                <w:rFonts w:ascii="Liberation Serif" w:eastAsia="Liberation Serif" w:hAnsi="Liberation Serif" w:cs="Liberation Serif"/>
                <w:b w:val="0"/>
                <w:i w:val="0"/>
                <w:strike w:val="0"/>
                <w:color w:val="000000"/>
                <w:sz w:val="24"/>
                <w:u w:val="none"/>
              </w:rPr>
              <w:t xml:space="preserve"> amendments</w:t>
            </w:r>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Conduct geological &amp; geophysical exploration for minerals, oil, gas; includes lithology, core/lab analyses, well logs, hazard assessment</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27" w:history="1">
              <w:r>
                <w:rPr>
                  <w:rStyle w:val="ahref"/>
                  <w:rFonts w:ascii="Liberation Serif" w:eastAsia="Liberation Serif" w:hAnsi="Liberation Serif" w:cs="Liberation Serif"/>
                  <w:b w:val="0"/>
                  <w:i w:val="0"/>
                  <w:strike w:val="0"/>
                  <w:color w:val="0000FF"/>
                  <w:sz w:val="24"/>
                  <w:u w:val="single" w:color="0000FF"/>
                </w:rPr>
                <w:t>EO 14241 - Immediate Measures to Increase American Mineral Production (3/20/2025)</w:t>
              </w:r>
            </w:hyperlink>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Reduce reliance on foreign minerals; support domestic production</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28" w:history="1">
              <w:r>
                <w:rPr>
                  <w:rStyle w:val="ahref"/>
                  <w:rFonts w:ascii="Liberation Serif" w:eastAsia="Liberation Serif" w:hAnsi="Liberation Serif" w:cs="Liberation Serif"/>
                  <w:b w:val="0"/>
                  <w:i w:val="0"/>
                  <w:strike w:val="0"/>
                  <w:color w:val="0000FF"/>
                  <w:sz w:val="24"/>
                  <w:u w:val="single" w:color="0000FF"/>
                </w:rPr>
                <w:t>EO 14285 - Unleashing America's Offshore Critical Minerals and Resources (4/24/2025)</w:t>
              </w:r>
            </w:hyperlink>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Promote offshore mineral exploration, characterization, collection, and processing</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29" w:history="1">
              <w:r>
                <w:rPr>
                  <w:rStyle w:val="ahref"/>
                  <w:rFonts w:ascii="Liberation Serif" w:eastAsia="Liberation Serif" w:hAnsi="Liberation Serif" w:cs="Liberation Serif"/>
                  <w:b w:val="0"/>
                  <w:i w:val="0"/>
                  <w:strike w:val="0"/>
                  <w:color w:val="0000FF"/>
                  <w:sz w:val="24"/>
                  <w:u w:val="single" w:color="0000FF"/>
                </w:rPr>
                <w:t>EO 14272 - Ensuring National Security and Economic Resilience Through Section 232 Actions on Processed Critical Minerals and Derivative Products (4/15/2025)</w:t>
              </w:r>
            </w:hyperlink>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domestic critical minerals for defense, manufacturing, and energy</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30" w:history="1">
              <w:r>
                <w:rPr>
                  <w:rStyle w:val="ahref"/>
                  <w:rFonts w:ascii="Liberation Serif" w:eastAsia="Liberation Serif" w:hAnsi="Liberation Serif" w:cs="Liberation Serif"/>
                  <w:b w:val="0"/>
                  <w:i w:val="0"/>
                  <w:strike w:val="0"/>
                  <w:color w:val="0000FF"/>
                  <w:sz w:val="24"/>
                  <w:u w:val="single" w:color="0000FF"/>
                </w:rPr>
                <w:t>SO 3418</w:t>
              </w:r>
            </w:hyperlink>
            <w:r>
              <w:rPr>
                <w:rFonts w:ascii="Liberation Serif" w:eastAsia="Liberation Serif" w:hAnsi="Liberation Serif" w:cs="Liberation Serif"/>
                <w:b w:val="0"/>
                <w:i w:val="0"/>
                <w:strike w:val="0"/>
                <w:color w:val="000000"/>
                <w:sz w:val="24"/>
                <w:u w:val="none"/>
              </w:rPr>
              <w:t xml:space="preserve"> - – Unleashing American Energy (2/3/2025)</w:t>
            </w:r>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Supports domestic energy development &amp; critical mineral utilization</w:t>
            </w:r>
          </w:p>
        </w:tc>
      </w:tr>
      <w:tr>
        <w:tblPrEx>
          <w:tblW w:w="5000" w:type="pct"/>
          <w:tblLook w:val="05E0"/>
        </w:tblPrEx>
        <w:tc>
          <w:tcPr>
            <w:tcW w:w="4320"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hyperlink r:id="rId31" w:history="1">
              <w:r>
                <w:rPr>
                  <w:rStyle w:val="ahref"/>
                  <w:rFonts w:ascii="Liberation Serif" w:eastAsia="Liberation Serif" w:hAnsi="Liberation Serif" w:cs="Liberation Serif"/>
                  <w:b w:val="0"/>
                  <w:i w:val="0"/>
                  <w:strike w:val="0"/>
                  <w:color w:val="0000FF"/>
                  <w:sz w:val="24"/>
                  <w:u w:val="single" w:color="0000FF"/>
                </w:rPr>
                <w:t>SO 3417</w:t>
              </w:r>
            </w:hyperlink>
            <w:r>
              <w:rPr>
                <w:rFonts w:ascii="Liberation Serif" w:eastAsia="Liberation Serif" w:hAnsi="Liberation Serif" w:cs="Liberation Serif"/>
                <w:b w:val="0"/>
                <w:i w:val="0"/>
                <w:strike w:val="0"/>
                <w:color w:val="000000"/>
                <w:sz w:val="24"/>
                <w:u w:val="none"/>
              </w:rPr>
              <w:t xml:space="preserve"> - Addressing the National Energy Emergency (2/3/2025)</w:t>
            </w:r>
          </w:p>
        </w:tc>
        <w:tc>
          <w:tcPr>
            <w:tcW w:w="5025" w:type="dxa"/>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numPr>
                <w:ilvl w:val="0"/>
                <w:numId w:val="2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16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Highlights critical minerals' role in energy resilience</w:t>
            </w:r>
          </w:p>
        </w:tc>
      </w:tr>
    </w:tbl>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32"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33"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34"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35"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36"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with one base year and four additional budget years. The total estimated funding for this project is $450,000. Funding in the amount of $200,000 is estimated to be available for Budget Year 1. Additional funding for Budget Years 2 through 5 will be based upon satisfactory progress and the availability of funding. The applicant should submit the proposal and annual budget breakdown to reflect the full five-year project period.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2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2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2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37"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2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38"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2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39"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40"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41"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2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2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2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2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2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2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2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2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2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2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42"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43"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44"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2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2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2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2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45"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46"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47"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3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3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3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3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3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3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 (30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proposal submitted is acceptable and proposed research is clearly defined.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objectives are well defined, measurable, and realistic for the project's anticipated timeframe.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well does the proposed research address the research problem?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How well does the project support the EOs/SOs under the Description section above?</w:t>
      </w:r>
      <w:r>
        <w:rPr>
          <w:rFonts w:ascii="Liberation Serif" w:eastAsia="Liberation Serif" w:hAnsi="Liberation Serif" w:cs="Liberation Serif"/>
          <w:b w:val="0"/>
          <w:i w:val="0"/>
          <w:strike w:val="0"/>
          <w:color w:val="000000"/>
          <w:sz w:val="24"/>
          <w:szCs w:val="20"/>
          <w:u w:val="none"/>
        </w:rPr>
        <w:t xml:space="preserve"> </w:t>
      </w:r>
      <w:hyperlink r:id="rId48" w:history="1">
        <w:r>
          <w:rPr>
            <w:rStyle w:val="ahref"/>
            <w:rFonts w:ascii="Liberation Serif" w:eastAsia="Liberation Serif" w:hAnsi="Liberation Serif" w:cs="Liberation Serif"/>
            <w:b w:val="0"/>
            <w:i w:val="0"/>
            <w:strike w:val="0"/>
            <w:color w:val="0000FF"/>
            <w:sz w:val="24"/>
            <w:szCs w:val="20"/>
            <w:u w:val="single" w:color="0000FF"/>
          </w:rPr>
          <w:t>EO 14241 - Immediate Measures to Increase American Mineral Production (3/20/2025)</w:t>
        </w:r>
      </w:hyperlink>
      <w:r>
        <w:rPr>
          <w:rFonts w:ascii="Liberation Serif" w:eastAsia="Liberation Serif" w:hAnsi="Liberation Serif" w:cs="Liberation Serif"/>
          <w:b w:val="0"/>
          <w:i w:val="0"/>
          <w:strike w:val="0"/>
          <w:color w:val="000000"/>
          <w:sz w:val="24"/>
          <w:szCs w:val="20"/>
          <w:u w:val="none"/>
        </w:rPr>
        <w:t xml:space="preserve">, </w:t>
      </w:r>
      <w:hyperlink r:id="rId49" w:history="1">
        <w:r>
          <w:rPr>
            <w:rStyle w:val="ahref"/>
            <w:rFonts w:ascii="Liberation Serif" w:eastAsia="Liberation Serif" w:hAnsi="Liberation Serif" w:cs="Liberation Serif"/>
            <w:b w:val="0"/>
            <w:i w:val="0"/>
            <w:strike w:val="0"/>
            <w:color w:val="0000FF"/>
            <w:sz w:val="24"/>
            <w:szCs w:val="20"/>
            <w:u w:val="single" w:color="0000FF"/>
          </w:rPr>
          <w:t>EO 14285 – Unleashing America's Offshore Critical Minerals and Resources (4/24/2025)</w:t>
        </w:r>
      </w:hyperlink>
      <w:r>
        <w:rPr>
          <w:rFonts w:ascii="Liberation Serif" w:eastAsia="Liberation Serif" w:hAnsi="Liberation Serif" w:cs="Liberation Serif"/>
          <w:b w:val="0"/>
          <w:i w:val="0"/>
          <w:strike w:val="0"/>
          <w:color w:val="000000"/>
          <w:sz w:val="24"/>
          <w:szCs w:val="20"/>
          <w:u w:val="none"/>
        </w:rPr>
        <w:t xml:space="preserve">, </w:t>
      </w:r>
      <w:hyperlink r:id="rId50" w:history="1">
        <w:r>
          <w:rPr>
            <w:rStyle w:val="ahref"/>
            <w:rFonts w:ascii="Liberation Serif" w:eastAsia="Liberation Serif" w:hAnsi="Liberation Serif" w:cs="Liberation Serif"/>
            <w:b w:val="0"/>
            <w:i w:val="0"/>
            <w:strike w:val="0"/>
            <w:color w:val="0000FF"/>
            <w:sz w:val="24"/>
            <w:szCs w:val="20"/>
            <w:u w:val="single" w:color="0000FF"/>
          </w:rPr>
          <w:t>EO 14272 – Ensuring National Security and Economic Resilience Through Section 232 Actions on Processed Critical Minerals and Derivative Products (4/15/2025)</w:t>
        </w:r>
      </w:hyperlink>
      <w:r>
        <w:rPr>
          <w:rFonts w:ascii="Liberation Serif" w:eastAsia="Liberation Serif" w:hAnsi="Liberation Serif" w:cs="Liberation Serif"/>
          <w:b w:val="0"/>
          <w:i w:val="0"/>
          <w:strike w:val="0"/>
          <w:color w:val="000000"/>
          <w:sz w:val="24"/>
          <w:szCs w:val="20"/>
          <w:u w:val="none"/>
        </w:rPr>
        <w:t xml:space="preserve">, </w:t>
      </w:r>
      <w:hyperlink r:id="rId51" w:history="1">
        <w:r>
          <w:rPr>
            <w:rStyle w:val="ahref"/>
            <w:rFonts w:ascii="Liberation Serif" w:eastAsia="Liberation Serif" w:hAnsi="Liberation Serif" w:cs="Liberation Serif"/>
            <w:b w:val="0"/>
            <w:i w:val="0"/>
            <w:strike w:val="0"/>
            <w:color w:val="0000FF"/>
            <w:sz w:val="24"/>
            <w:szCs w:val="20"/>
            <w:u w:val="single" w:color="0000FF"/>
          </w:rPr>
          <w:t>SO 3418</w:t>
        </w:r>
      </w:hyperlink>
      <w:r>
        <w:rPr>
          <w:rFonts w:ascii="Liberation Serif" w:eastAsia="Liberation Serif" w:hAnsi="Liberation Serif" w:cs="Liberation Serif"/>
          <w:b w:val="0"/>
          <w:i w:val="0"/>
          <w:strike w:val="0"/>
          <w:color w:val="000000"/>
          <w:sz w:val="24"/>
          <w:szCs w:val="20"/>
          <w:u w:val="none"/>
        </w:rPr>
        <w:t xml:space="preserve"> – Unleashing American Energy (2/3/2025), </w:t>
      </w:r>
      <w:hyperlink r:id="rId52" w:history="1">
        <w:r>
          <w:rPr>
            <w:rStyle w:val="ahref"/>
            <w:rFonts w:ascii="Liberation Serif" w:eastAsia="Liberation Serif" w:hAnsi="Liberation Serif" w:cs="Liberation Serif"/>
            <w:b w:val="0"/>
            <w:i w:val="0"/>
            <w:strike w:val="0"/>
            <w:color w:val="0000FF"/>
            <w:sz w:val="24"/>
            <w:szCs w:val="20"/>
            <w:u w:val="single" w:color="0000FF"/>
          </w:rPr>
          <w:t>SO 3417</w:t>
        </w:r>
      </w:hyperlink>
      <w:r>
        <w:rPr>
          <w:rFonts w:ascii="Liberation Serif" w:eastAsia="Liberation Serif" w:hAnsi="Liberation Serif" w:cs="Liberation Serif"/>
          <w:b w:val="0"/>
          <w:i w:val="0"/>
          <w:strike w:val="0"/>
          <w:color w:val="000000"/>
          <w:sz w:val="24"/>
          <w:szCs w:val="20"/>
          <w:u w:val="none"/>
        </w:rPr>
        <w:t xml:space="preserve"> – Addressing the National Energy Emergency (2/3/2025)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project design contains enough detail to show the development of the project and the relationship between partners, tasks, milestones, and goals. The milestones are clear and supported by a schedule that can be accomplished during the period of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applicant addresses in detail the planned research methods to be used, modeling and data analysis, and the availability of other datasets that could be leveraged.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well does the applicant demonstrate they can conduct the proposed work?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How well does the applicant demonstrate they can work with management agencies or other project partners?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 How well does the applicant demonstrate they can process and analyze the research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staff is sufficient to accomplish proposed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budget line items are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Budgeted costs are appropriate and necessary to complete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How well does the applicant demonstrate their expertise in the field of work as well as capacity and capability to perform the project work?</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What is the applicant's depth of experience in the research as demonstrated by scientific publications and other research products?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does the applicant demonstrate they have applied the research methods previously?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How well does the applicant's past and current assistance demonstrate they have completed project goals (as an indicator to the successful completion of this work)?</w:t>
      </w:r>
      <w:r>
        <w:rPr>
          <w:rFonts w:ascii="Liberation Serif" w:eastAsia="Liberation Serif" w:hAnsi="Liberation Serif" w:cs="Liberation Serif"/>
          <w:b w:val="0"/>
          <w:i w:val="0"/>
          <w:strike w:val="0"/>
          <w:color w:val="000000"/>
          <w:sz w:val="24"/>
          <w:szCs w:val="20"/>
          <w:u w:val="none"/>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53"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54"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55"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56"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12/31/2031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57"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58"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59"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60"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61"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62"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63"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64"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65"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66"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67"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68"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69"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70"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71"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3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3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3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3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72"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3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3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3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73"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3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3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3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74"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75"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76"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77"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78"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79"/>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8AE06D58-38B4-4AB3-8016-A41CAE5D11FA}"/>
    <w:embedBold r:id="rId2" w:subsetted="1" w:fontKey="{3F0CB606-4491-49FC-9DA3-10E96543C019}"/>
    <w:embedItalic r:id="rId3" w:subsetted="1" w:fontKey="{5126E8CA-39D0-449F-B0B3-5817AB623CDA}"/>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24</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25</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24</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hybridMultilevel"/>
    <w:tmpl w:val="59B0054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59B0054F"/>
    <w:multiLevelType w:val="hybridMultilevel"/>
    <w:tmpl w:val="59B005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hybridMultilevel"/>
    <w:tmpl w:val="59B0055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59B00557"/>
    <w:multiLevelType w:val="hybridMultilevel"/>
    <w:tmpl w:val="59B0055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59B00558"/>
    <w:multiLevelType w:val="hybridMultilevel"/>
    <w:tmpl w:val="59B0055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59B00559"/>
    <w:multiLevelType w:val="hybridMultilevel"/>
    <w:tmpl w:val="59B005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59B0055A"/>
    <w:multiLevelType w:val="hybridMultilevel"/>
    <w:tmpl w:val="59B0055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59B0055B"/>
    <w:multiLevelType w:val="hybridMultilevel"/>
    <w:tmpl w:val="59B0055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59B0055C"/>
    <w:multiLevelType w:val="hybridMultilevel"/>
    <w:tmpl w:val="59B0055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15:restartNumberingAfterBreak="0">
    <w:nsid w:val="59B0055D"/>
    <w:multiLevelType w:val="hybridMultilevel"/>
    <w:tmpl w:val="59B0055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15:restartNumberingAfterBreak="0">
    <w:nsid w:val="59B0055E"/>
    <w:multiLevelType w:val="hybridMultilevel"/>
    <w:tmpl w:val="59B005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15:restartNumberingAfterBreak="0">
    <w:nsid w:val="59B0055F"/>
    <w:multiLevelType w:val="hybridMultilevel"/>
    <w:tmpl w:val="59B005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15:restartNumberingAfterBreak="0">
    <w:nsid w:val="59B00560"/>
    <w:multiLevelType w:val="multilevel"/>
    <w:tmpl w:val="59B0056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9B00561"/>
    <w:multiLevelType w:val="hybridMultilevel"/>
    <w:tmpl w:val="59B0056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15:restartNumberingAfterBreak="0">
    <w:nsid w:val="59B00562"/>
    <w:multiLevelType w:val="hybridMultilevel"/>
    <w:tmpl w:val="59B0056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15:restartNumberingAfterBreak="0">
    <w:nsid w:val="59B00563"/>
    <w:multiLevelType w:val="hybridMultilevel"/>
    <w:tmpl w:val="59B0056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15:restartNumberingAfterBreak="0">
    <w:nsid w:val="59B00564"/>
    <w:multiLevelType w:val="hybridMultilevel"/>
    <w:tmpl w:val="59B0056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15:restartNumberingAfterBreak="0">
    <w:nsid w:val="59B00565"/>
    <w:multiLevelType w:val="hybridMultilevel"/>
    <w:tmpl w:val="59B0056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15:restartNumberingAfterBreak="0">
    <w:nsid w:val="59B00566"/>
    <w:multiLevelType w:val="hybridMultilevel"/>
    <w:tmpl w:val="59B0056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15:restartNumberingAfterBreak="0">
    <w:nsid w:val="59B00567"/>
    <w:multiLevelType w:val="hybridMultilevel"/>
    <w:tmpl w:val="59B0056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15:restartNumberingAfterBreak="0">
    <w:nsid w:val="59B00568"/>
    <w:multiLevelType w:val="multilevel"/>
    <w:tmpl w:val="59B0056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9B00569"/>
    <w:multiLevelType w:val="multilevel"/>
    <w:tmpl w:val="59B0056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9B0056A"/>
    <w:multiLevelType w:val="hybridMultilevel"/>
    <w:tmpl w:val="59B0056A"/>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15:restartNumberingAfterBreak="0">
    <w:nsid w:val="59B0056B"/>
    <w:multiLevelType w:val="hybridMultilevel"/>
    <w:tmpl w:val="59B0056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www.govinfo.gov/content/pkg/COMPS-1843/pdf/COMPS-1843.pdf" TargetMode="External" /><Relationship Id="rId22" Type="http://schemas.openxmlformats.org/officeDocument/2006/relationships/hyperlink" Target="https://www.congress.gov/bill/118th-congress/senate-bill/3606/text" TargetMode="External" /><Relationship Id="rId23" Type="http://schemas.openxmlformats.org/officeDocument/2006/relationships/hyperlink" Target="https://www.congress.gov/crs-product/IF13077" TargetMode="External" /><Relationship Id="rId24" Type="http://schemas.openxmlformats.org/officeDocument/2006/relationships/hyperlink" Target="https://www.govinfo.gov/content/pkg/COMPS-857/pdf/COMPS-857.pdf" TargetMode="External" /><Relationship Id="rId25" Type="http://schemas.openxmlformats.org/officeDocument/2006/relationships/hyperlink" Target="https://www.congress.gov/bill/83rd-congress/house-bill/5134" TargetMode="External" /><Relationship Id="rId26" Type="http://schemas.openxmlformats.org/officeDocument/2006/relationships/hyperlink" Target="https://www.congress.gov/bill/95th-congress/senate-bill/9" TargetMode="External" /><Relationship Id="rId27" Type="http://schemas.openxmlformats.org/officeDocument/2006/relationships/hyperlink" Target="https://www.govinfo.gov/content/pkg/DCPD-202500380/pdf/DCPD-202500380.pdf" TargetMode="External" /><Relationship Id="rId28" Type="http://schemas.openxmlformats.org/officeDocument/2006/relationships/hyperlink" Target="https://www.govinfo.gov/content/pkg/DCPD-202500523/pdf/DCPD-202500523.pdf" TargetMode="External" /><Relationship Id="rId29" Type="http://schemas.openxmlformats.org/officeDocument/2006/relationships/hyperlink" Target="https://www.govinfo.gov/content/pkg/DCPD-202500482/pdf/DCPD-202500482.pdf" TargetMode="External" /><Relationship Id="rId3" Type="http://schemas.openxmlformats.org/officeDocument/2006/relationships/settings" Target="settings.xml" /><Relationship Id="rId30" Type="http://schemas.openxmlformats.org/officeDocument/2006/relationships/hyperlink" Target="https://www.doi.gov/document-library/secretary-order/so-3418-unleashing-american-energy" TargetMode="External" /><Relationship Id="rId31" Type="http://schemas.openxmlformats.org/officeDocument/2006/relationships/hyperlink" Target="https://www.doi.gov/sites/default/files/document_secretarys_orders/so-3417-signed.pdf" TargetMode="External" /><Relationship Id="rId32" Type="http://schemas.openxmlformats.org/officeDocument/2006/relationships/hyperlink" Target="https://www.grants.gov/forms/forms-repository.html" TargetMode="External" /><Relationship Id="rId33" Type="http://schemas.openxmlformats.org/officeDocument/2006/relationships/hyperlink" Target="https://www.ecfr.gov/current/title-43/subtitle-A/part-18" TargetMode="External" /><Relationship Id="rId34" Type="http://schemas.openxmlformats.org/officeDocument/2006/relationships/hyperlink" Target="https://www.grants.gov/forms/forms-repository.html" TargetMode="External" /><Relationship Id="rId35" Type="http://schemas.openxmlformats.org/officeDocument/2006/relationships/hyperlink" Target="https://www.doi.gov/grants/policies-and-guidance" TargetMode="External" /><Relationship Id="rId36" Type="http://schemas.openxmlformats.org/officeDocument/2006/relationships/hyperlink" Target="https://www.doi.gov/grants/policies-and-guidance" TargetMode="External" /><Relationship Id="rId37" Type="http://schemas.openxmlformats.org/officeDocument/2006/relationships/hyperlink" Target="https://www.ecfr.gov/current/title-2/part-200/subpart-E" TargetMode="External" /><Relationship Id="rId38" Type="http://schemas.openxmlformats.org/officeDocument/2006/relationships/hyperlink" Target="https://www.ecfr.gov/current/title-2/subtitle-A/chapter-II/part-200/subpart-E/subject-group-ECFRd93f2a98b1f6455/section-200.414" TargetMode="External" /><Relationship Id="rId39" Type="http://schemas.openxmlformats.org/officeDocument/2006/relationships/hyperlink" Target="https://www.ecfr.gov/current/title-2/subtitle-B/chapter-XIV/part-1402" TargetMode="External" /><Relationship Id="rId4" Type="http://schemas.openxmlformats.org/officeDocument/2006/relationships/webSettings" Target="webSettings.xml" /><Relationship Id="rId40" Type="http://schemas.openxmlformats.org/officeDocument/2006/relationships/hyperlink" Target="https://www.ecfr.gov/current/title-2/subtitle-A/chapter-II/part-200/subpart-B/section-200.112" TargetMode="External" /><Relationship Id="rId41" Type="http://schemas.openxmlformats.org/officeDocument/2006/relationships/hyperlink" Target="https://www.ecfr.gov/current/title-2/subtitle-A/chapter-II/part-200/subpart-B/section-200.113" TargetMode="External" /><Relationship Id="rId42" Type="http://schemas.openxmlformats.org/officeDocument/2006/relationships/hyperlink" Target="https://grants.gov/register" TargetMode="External" /><Relationship Id="rId43" Type="http://schemas.openxmlformats.org/officeDocument/2006/relationships/hyperlink" Target="https://www.grants.gov/quick-start-guide/applicants" TargetMode="External" /><Relationship Id="rId44" Type="http://schemas.openxmlformats.org/officeDocument/2006/relationships/hyperlink" Target="http://www.grants.gov/quick-start-guide/applicants" TargetMode="External" /><Relationship Id="rId45" Type="http://schemas.openxmlformats.org/officeDocument/2006/relationships/hyperlink" Target="https://www.ecfr.gov/current/title-2/section-25.200" TargetMode="External" /><Relationship Id="rId46" Type="http://schemas.openxmlformats.org/officeDocument/2006/relationships/hyperlink" Target="https://www.ecfr.gov/current/title-2/subtitle-A/chapter-I/part-25/subpart-A/section-25.110" TargetMode="External" /><Relationship Id="rId47" Type="http://schemas.openxmlformats.org/officeDocument/2006/relationships/hyperlink" Target="https://www.ecfr.gov/current/title-2/subtitle-A/chapter-I/part-25/subpart-B/section-25.205" TargetMode="External" /><Relationship Id="rId48" Type="http://schemas.openxmlformats.org/officeDocument/2006/relationships/hyperlink" Target="https://www.govinfo.gov/content/pkg/DCPD-202500380/pdf/DCPD-202500380.pdf" TargetMode="External" /><Relationship Id="rId49" Type="http://schemas.openxmlformats.org/officeDocument/2006/relationships/hyperlink" Target="https://www.govinfo.gov/content/pkg/DCPD-202500523/pdf/DCPD-202500523.pdf" TargetMode="External" /><Relationship Id="rId5" Type="http://schemas.openxmlformats.org/officeDocument/2006/relationships/fontTable" Target="fontTable.xml" /><Relationship Id="rId50" Type="http://schemas.openxmlformats.org/officeDocument/2006/relationships/hyperlink" Target="https://www.govinfo.gov/content/pkg/DCPD-202500482/pdf/DCPD-202500482.pdf" TargetMode="External" /><Relationship Id="rId51" Type="http://schemas.openxmlformats.org/officeDocument/2006/relationships/hyperlink" Target="https://www.doi.gov/document-library/secretary-order/so-3418-unleashing-american-energy" TargetMode="External" /><Relationship Id="rId52" Type="http://schemas.openxmlformats.org/officeDocument/2006/relationships/hyperlink" Target="https://www.doi.gov/sites/default/files/document_secretarys_orders/so-3417-signed.pdf" TargetMode="External" /><Relationship Id="rId53" Type="http://schemas.openxmlformats.org/officeDocument/2006/relationships/hyperlink" Target="https://www.ecfr.gov/current/title-2/section-200.206" TargetMode="External" /><Relationship Id="rId54" Type="http://schemas.openxmlformats.org/officeDocument/2006/relationships/hyperlink" Target="https://www.ecfr.gov/current/title-2/section-200.206" TargetMode="External" /><Relationship Id="rId55" Type="http://schemas.openxmlformats.org/officeDocument/2006/relationships/hyperlink" Target="https://www.ecfr.gov/current/title-2/section-200.211" TargetMode="External" /><Relationship Id="rId56" Type="http://schemas.openxmlformats.org/officeDocument/2006/relationships/hyperlink" Target="https://www.ecfr.gov/current/title-2/section-200.458" TargetMode="External" /><Relationship Id="rId57" Type="http://schemas.openxmlformats.org/officeDocument/2006/relationships/hyperlink" Target="https://www.doi.gov/grants/doi-standard-terms-and-conditions" TargetMode="External" /><Relationship Id="rId58" Type="http://schemas.openxmlformats.org/officeDocument/2006/relationships/hyperlink" Target="https://www.ecfr.gov/current/title-2/subtitle-A/chapter-I/part-184" TargetMode="External" /><Relationship Id="rId59"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6" Type="http://schemas.openxmlformats.org/officeDocument/2006/relationships/customXml" Target="../customXml/item1.xml" /><Relationship Id="rId60" Type="http://schemas.openxmlformats.org/officeDocument/2006/relationships/hyperlink" Target="https://grants.gov/forms/forms-repository/post-award-reporting-forms" TargetMode="External" /><Relationship Id="rId61" Type="http://schemas.openxmlformats.org/officeDocument/2006/relationships/hyperlink" Target="https://www.ecfr.gov/current/title-2/section-200.329" TargetMode="External" /><Relationship Id="rId62" Type="http://schemas.openxmlformats.org/officeDocument/2006/relationships/hyperlink" Target="https://www.ecfr.gov/current/title-2/section-200.329" TargetMode="External" /><Relationship Id="rId63" Type="http://schemas.openxmlformats.org/officeDocument/2006/relationships/hyperlink" Target="https://www.ecfr.gov/current/title-2/subtitle-B/chapter-XIV/part-1402/subpart-B/section-1402.112" TargetMode="External" /><Relationship Id="rId64" Type="http://schemas.openxmlformats.org/officeDocument/2006/relationships/hyperlink" Target="https://www.ecfr.gov/current/title-2/subtitle-A/chapter-II/part-200/subpart-D/subject-group-ECFR36520e4111dce32/section-200.330" TargetMode="External" /><Relationship Id="rId65" Type="http://schemas.openxmlformats.org/officeDocument/2006/relationships/hyperlink" Target="https://www.ecfr.gov/current/title-2/subtitle-A/chapter-II/part-200/subpart-B/section-200.113" TargetMode="External" /><Relationship Id="rId66" Type="http://schemas.openxmlformats.org/officeDocument/2006/relationships/hyperlink" Target="https://www.ecfr.gov/current/title-2/subtitle-A/chapter-II/part-200" TargetMode="External" /><Relationship Id="rId67" Type="http://schemas.openxmlformats.org/officeDocument/2006/relationships/hyperlink" Target="https://www.ecfr.gov/current/title-43/subtitle-A/part-18" TargetMode="External" /><Relationship Id="rId68" Type="http://schemas.openxmlformats.org/officeDocument/2006/relationships/hyperlink" Target="https://www.doi.gov/grants/doi-standard-terms-and-conditions" TargetMode="External" /><Relationship Id="rId69" Type="http://schemas.openxmlformats.org/officeDocument/2006/relationships/hyperlink" Target="https://home.grantsolutions.gov/home/" TargetMode="External" /><Relationship Id="rId7" Type="http://schemas.openxmlformats.org/officeDocument/2006/relationships/customXml" Target="../customXml/item2.xml" /><Relationship Id="rId7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71" Type="http://schemas.openxmlformats.org/officeDocument/2006/relationships/hyperlink" Target="https://home.grantsolutions.gov/home/" TargetMode="External" /><Relationship Id="rId72" Type="http://schemas.openxmlformats.org/officeDocument/2006/relationships/hyperlink" Target="http://www.asap.gov" TargetMode="External" /><Relationship Id="rId73" Type="http://schemas.openxmlformats.org/officeDocument/2006/relationships/hyperlink" Target="http://www.fgdc.gov" TargetMode="External" /><Relationship Id="rId74" Type="http://schemas.openxmlformats.org/officeDocument/2006/relationships/hyperlink" Target="https://www.ecfr.gov/current/title-2/subtitle-A/chapter-II/part-200/appendix-Appendix%20XII%20to%20Part%20200" TargetMode="External" /><Relationship Id="rId75" Type="http://schemas.openxmlformats.org/officeDocument/2006/relationships/hyperlink" Target="https://www.ecfr.gov/current/title-2/subtitle-A/chapter-II/part-200/appendix-Appendix%20XII%20to%20Part%20200" TargetMode="External" /><Relationship Id="rId76" Type="http://schemas.openxmlformats.org/officeDocument/2006/relationships/hyperlink" Target="https://www.ecfr.gov/current/title-2/subtitle-A/chapter-II/part-200/subpart-B/section-200.113" TargetMode="External" /><Relationship Id="rId77" Type="http://schemas.openxmlformats.org/officeDocument/2006/relationships/hyperlink" Target="https://www.doi.gov/grants/doi-standard-terms-and-conditions" TargetMode="External" /><Relationship Id="rId78" Type="http://schemas.openxmlformats.org/officeDocument/2006/relationships/hyperlink" Target="https://www.ecfr.gov/current/title-2/subtitle-A/chapter-II/part-200/subpart-D/subject-group-ECFR86b76dde0e1e9dc/section-200.340" TargetMode="External" /><Relationship Id="rId79" Type="http://schemas.openxmlformats.org/officeDocument/2006/relationships/footer" Target="footer4.xml" /><Relationship Id="rId8" Type="http://schemas.openxmlformats.org/officeDocument/2006/relationships/customXml" Target="../customXml/item3.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Californian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