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3D0A5" w14:textId="77777777" w:rsidR="009470A5" w:rsidRDefault="009470A5" w:rsidP="00595094">
      <w:pPr>
        <w:jc w:val="center"/>
        <w:rPr>
          <w:rFonts w:cstheme="minorHAnsi"/>
          <w:b/>
          <w:bCs/>
          <w:sz w:val="32"/>
          <w:szCs w:val="32"/>
        </w:rPr>
      </w:pPr>
      <w:r w:rsidRPr="009470A5">
        <w:rPr>
          <w:rFonts w:cstheme="minorHAnsi"/>
          <w:b/>
          <w:bCs/>
          <w:sz w:val="32"/>
          <w:szCs w:val="32"/>
        </w:rPr>
        <w:t>FY2023ABTCNOFO</w:t>
      </w:r>
      <w:r>
        <w:rPr>
          <w:rFonts w:cstheme="minorHAnsi"/>
          <w:b/>
          <w:bCs/>
          <w:sz w:val="32"/>
          <w:szCs w:val="32"/>
        </w:rPr>
        <w:t xml:space="preserve"> </w:t>
      </w:r>
    </w:p>
    <w:p w14:paraId="206635E5" w14:textId="273F34A8" w:rsidR="005F132B" w:rsidRPr="00595094" w:rsidRDefault="005F132B" w:rsidP="00595094">
      <w:pPr>
        <w:jc w:val="center"/>
        <w:rPr>
          <w:rFonts w:ascii="Arial" w:hAnsi="Arial" w:cs="Arial"/>
          <w:b/>
          <w:bCs/>
          <w:sz w:val="32"/>
          <w:szCs w:val="32"/>
          <w:u w:val="single"/>
        </w:rPr>
      </w:pPr>
      <w:r w:rsidRPr="00595094">
        <w:rPr>
          <w:rFonts w:ascii="Arial" w:hAnsi="Arial" w:cs="Arial"/>
          <w:b/>
          <w:bCs/>
          <w:sz w:val="32"/>
          <w:szCs w:val="32"/>
          <w:u w:val="single"/>
        </w:rPr>
        <w:t>FAQ</w:t>
      </w:r>
    </w:p>
    <w:p w14:paraId="68CB84EB" w14:textId="62B70BE0" w:rsidR="005F132B" w:rsidRDefault="005F132B"/>
    <w:p w14:paraId="2F1C568F" w14:textId="7FD75EF3" w:rsidR="005F132B" w:rsidRPr="00665E26" w:rsidRDefault="005F132B" w:rsidP="005F132B">
      <w:pPr>
        <w:pStyle w:val="NormalWeb"/>
        <w:shd w:val="clear" w:color="auto" w:fill="FFFFFF"/>
        <w:rPr>
          <w:rFonts w:ascii="Arial" w:hAnsi="Arial" w:cs="Arial"/>
          <w:color w:val="343F4E"/>
        </w:rPr>
      </w:pPr>
      <w:r w:rsidRPr="00665E26">
        <w:rPr>
          <w:rStyle w:val="Strong"/>
          <w:rFonts w:ascii="Arial" w:hAnsi="Arial" w:cs="Arial"/>
          <w:color w:val="343F4E"/>
        </w:rPr>
        <w:t>Submitter for Notice of Funding Opportunity </w:t>
      </w:r>
      <w:r w:rsidRPr="00665E26">
        <w:rPr>
          <w:rFonts w:ascii="Arial" w:hAnsi="Arial" w:cs="Arial"/>
          <w:color w:val="343F4E"/>
        </w:rPr>
        <w:t> (9/6/2023)</w:t>
      </w:r>
    </w:p>
    <w:p w14:paraId="130A31F0" w14:textId="4D24A827" w:rsidR="005F132B" w:rsidRPr="00665E26" w:rsidRDefault="005F132B" w:rsidP="009579BD">
      <w:pPr>
        <w:pStyle w:val="NormalWeb"/>
        <w:shd w:val="clear" w:color="auto" w:fill="FFFFFF"/>
        <w:rPr>
          <w:rFonts w:ascii="Arial" w:hAnsi="Arial" w:cs="Arial"/>
          <w:color w:val="343F4E"/>
        </w:rPr>
      </w:pPr>
      <w:r w:rsidRPr="00665E26">
        <w:rPr>
          <w:rStyle w:val="Strong"/>
          <w:rFonts w:ascii="Arial" w:hAnsi="Arial" w:cs="Arial"/>
          <w:color w:val="343F4E"/>
        </w:rPr>
        <w:t>Question:</w:t>
      </w:r>
      <w:r w:rsidRPr="00665E26">
        <w:rPr>
          <w:rFonts w:ascii="Arial" w:hAnsi="Arial" w:cs="Arial"/>
          <w:color w:val="343F4E"/>
        </w:rPr>
        <w:t>  In the NOFO, two-page limits are given, 30 pages and 25 pages. Could you please clarify. </w:t>
      </w:r>
    </w:p>
    <w:p w14:paraId="37F4E927" w14:textId="77777777" w:rsidR="005F132B" w:rsidRPr="00665E26" w:rsidRDefault="005F132B" w:rsidP="005F132B">
      <w:pPr>
        <w:pStyle w:val="NormalWeb"/>
        <w:shd w:val="clear" w:color="auto" w:fill="FFFFFF"/>
        <w:rPr>
          <w:rFonts w:ascii="Arial" w:hAnsi="Arial" w:cs="Arial"/>
          <w:color w:val="343F4E"/>
        </w:rPr>
      </w:pPr>
      <w:r w:rsidRPr="00665E26">
        <w:rPr>
          <w:rStyle w:val="Strong"/>
          <w:rFonts w:ascii="Arial" w:hAnsi="Arial" w:cs="Arial"/>
          <w:color w:val="343F4E"/>
        </w:rPr>
        <w:t>Answer:</w:t>
      </w:r>
      <w:r w:rsidRPr="00665E26">
        <w:rPr>
          <w:rFonts w:ascii="Arial" w:hAnsi="Arial" w:cs="Arial"/>
          <w:color w:val="343F4E"/>
        </w:rPr>
        <w:t>  The correct page limit requirement is 25 pages.</w:t>
      </w:r>
    </w:p>
    <w:p w14:paraId="1007C7DA" w14:textId="776DFD08" w:rsidR="009579BD" w:rsidRPr="00665E26" w:rsidRDefault="009579BD" w:rsidP="009579BD">
      <w:pPr>
        <w:rPr>
          <w:rFonts w:ascii="Arial" w:hAnsi="Arial" w:cs="Arial"/>
          <w:sz w:val="24"/>
          <w:szCs w:val="24"/>
        </w:rPr>
      </w:pPr>
      <w:r w:rsidRPr="00665E26">
        <w:rPr>
          <w:rStyle w:val="Strong"/>
          <w:rFonts w:ascii="Arial" w:hAnsi="Arial" w:cs="Arial"/>
          <w:color w:val="343F4E"/>
          <w:sz w:val="24"/>
          <w:szCs w:val="24"/>
        </w:rPr>
        <w:t>Question:</w:t>
      </w:r>
      <w:r w:rsidRPr="00665E26">
        <w:rPr>
          <w:rFonts w:ascii="Arial" w:hAnsi="Arial" w:cs="Arial"/>
          <w:color w:val="343F4E"/>
          <w:sz w:val="24"/>
          <w:szCs w:val="24"/>
        </w:rPr>
        <w:t> </w:t>
      </w:r>
      <w:r w:rsidRPr="00665E26">
        <w:rPr>
          <w:rFonts w:ascii="Arial" w:hAnsi="Arial" w:cs="Arial"/>
          <w:sz w:val="24"/>
          <w:szCs w:val="24"/>
        </w:rPr>
        <w:t xml:space="preserve"> While </w:t>
      </w:r>
      <w:proofErr w:type="gramStart"/>
      <w:r w:rsidRPr="00665E26">
        <w:rPr>
          <w:rFonts w:ascii="Arial" w:hAnsi="Arial" w:cs="Arial"/>
          <w:sz w:val="24"/>
          <w:szCs w:val="24"/>
        </w:rPr>
        <w:t>a majority of</w:t>
      </w:r>
      <w:proofErr w:type="gramEnd"/>
      <w:r w:rsidRPr="00665E26">
        <w:rPr>
          <w:rFonts w:ascii="Arial" w:hAnsi="Arial" w:cs="Arial"/>
          <w:sz w:val="24"/>
          <w:szCs w:val="24"/>
        </w:rPr>
        <w:t xml:space="preserve"> the work will be done within the UTC consortium, does the program allow us to subcontract small part of the work to industry subconsultants? </w:t>
      </w:r>
    </w:p>
    <w:p w14:paraId="03F244C8" w14:textId="04241609" w:rsidR="009579BD" w:rsidRPr="00665E26" w:rsidRDefault="009579BD" w:rsidP="009579BD">
      <w:pPr>
        <w:rPr>
          <w:rFonts w:ascii="Arial" w:hAnsi="Arial" w:cs="Arial"/>
          <w:sz w:val="24"/>
          <w:szCs w:val="24"/>
        </w:rPr>
      </w:pPr>
      <w:r w:rsidRPr="00665E26">
        <w:rPr>
          <w:rStyle w:val="Strong"/>
          <w:rFonts w:ascii="Arial" w:hAnsi="Arial" w:cs="Arial"/>
          <w:color w:val="343F4E"/>
          <w:sz w:val="24"/>
          <w:szCs w:val="24"/>
        </w:rPr>
        <w:t>Answer:</w:t>
      </w:r>
      <w:r w:rsidRPr="00665E26">
        <w:rPr>
          <w:rFonts w:ascii="Arial" w:hAnsi="Arial" w:cs="Arial"/>
          <w:sz w:val="24"/>
          <w:szCs w:val="24"/>
        </w:rPr>
        <w:t xml:space="preserve"> Yes, it would be permissible to partner with industry entities on a reasonable scale.</w:t>
      </w:r>
    </w:p>
    <w:p w14:paraId="36A3B6EF" w14:textId="625B4FA6" w:rsidR="00670C9E" w:rsidRPr="00665E26" w:rsidRDefault="00670C9E" w:rsidP="00670C9E">
      <w:pPr>
        <w:rPr>
          <w:rFonts w:ascii="Arial" w:hAnsi="Arial" w:cs="Arial"/>
          <w:sz w:val="24"/>
          <w:szCs w:val="24"/>
        </w:rPr>
      </w:pPr>
      <w:r w:rsidRPr="00665E26">
        <w:rPr>
          <w:rStyle w:val="Strong"/>
          <w:rFonts w:ascii="Arial" w:hAnsi="Arial" w:cs="Arial"/>
          <w:color w:val="343F4E"/>
          <w:sz w:val="24"/>
          <w:szCs w:val="24"/>
        </w:rPr>
        <w:t>Question:</w:t>
      </w:r>
      <w:r w:rsidRPr="00665E26">
        <w:rPr>
          <w:rFonts w:ascii="Arial" w:hAnsi="Arial" w:cs="Arial"/>
          <w:sz w:val="24"/>
          <w:szCs w:val="24"/>
        </w:rPr>
        <w:t>  Can a consortium partner of a UTC team be the lead?</w:t>
      </w:r>
    </w:p>
    <w:p w14:paraId="3FA519B6" w14:textId="1A69E557" w:rsidR="00670C9E" w:rsidRPr="00665E26" w:rsidRDefault="00670C9E" w:rsidP="00670C9E">
      <w:pPr>
        <w:rPr>
          <w:rFonts w:ascii="Arial" w:hAnsi="Arial" w:cs="Arial"/>
          <w:sz w:val="24"/>
          <w:szCs w:val="24"/>
        </w:rPr>
      </w:pPr>
      <w:r w:rsidRPr="00665E26">
        <w:rPr>
          <w:rStyle w:val="Strong"/>
          <w:rFonts w:ascii="Arial" w:hAnsi="Arial" w:cs="Arial"/>
          <w:color w:val="343F4E"/>
          <w:sz w:val="24"/>
          <w:szCs w:val="24"/>
        </w:rPr>
        <w:t>Answer:</w:t>
      </w:r>
      <w:r w:rsidRPr="00665E26">
        <w:rPr>
          <w:rFonts w:ascii="Arial" w:hAnsi="Arial" w:cs="Arial"/>
          <w:sz w:val="24"/>
          <w:szCs w:val="24"/>
        </w:rPr>
        <w:t xml:space="preserve">  A Consortia ‘Member’ (Institution of Higher Education) is eligible to apply as a Lead; other Consortia ‘Partner(s)’ (Industry organization or Private entity) is not eligible for apply as a Lead. All academic institutions that are part of a recently awarded BIL UTC (leads and members) are eligible to apply.</w:t>
      </w:r>
    </w:p>
    <w:p w14:paraId="4C8D1B4B" w14:textId="77777777" w:rsidR="009470A5" w:rsidRPr="00665E26" w:rsidRDefault="009470A5" w:rsidP="009470A5">
      <w:pPr>
        <w:rPr>
          <w:rFonts w:ascii="Arial" w:hAnsi="Arial" w:cs="Arial"/>
          <w:color w:val="343F4E"/>
          <w:sz w:val="24"/>
          <w:szCs w:val="24"/>
          <w:shd w:val="clear" w:color="auto" w:fill="FFFFFF"/>
        </w:rPr>
      </w:pPr>
      <w:r w:rsidRPr="00665E26">
        <w:rPr>
          <w:rStyle w:val="Strong"/>
          <w:rFonts w:ascii="Arial" w:hAnsi="Arial" w:cs="Arial"/>
          <w:color w:val="343F4E"/>
          <w:sz w:val="24"/>
          <w:szCs w:val="24"/>
          <w:shd w:val="clear" w:color="auto" w:fill="FFFFFF"/>
        </w:rPr>
        <w:t>Question: </w:t>
      </w:r>
      <w:r w:rsidRPr="00665E26">
        <w:rPr>
          <w:rFonts w:ascii="Arial" w:hAnsi="Arial" w:cs="Arial"/>
          <w:color w:val="343F4E"/>
          <w:sz w:val="24"/>
          <w:szCs w:val="24"/>
          <w:shd w:val="clear" w:color="auto" w:fill="FFFFFF"/>
        </w:rPr>
        <w:t xml:space="preserve">In the </w:t>
      </w:r>
      <w:r w:rsidRPr="00665E26">
        <w:rPr>
          <w:rFonts w:cstheme="minorHAnsi"/>
          <w:sz w:val="24"/>
          <w:szCs w:val="24"/>
        </w:rPr>
        <w:t>FY2023ABTCNOFO</w:t>
      </w:r>
      <w:r w:rsidRPr="00665E26">
        <w:rPr>
          <w:rFonts w:cstheme="minorHAnsi"/>
          <w:color w:val="343F4E"/>
          <w:sz w:val="24"/>
          <w:szCs w:val="24"/>
          <w:shd w:val="clear" w:color="auto" w:fill="FFFFFF"/>
        </w:rPr>
        <w:t xml:space="preserve"> </w:t>
      </w:r>
      <w:r w:rsidRPr="00665E26">
        <w:rPr>
          <w:rFonts w:ascii="Arial" w:hAnsi="Arial" w:cs="Arial"/>
          <w:color w:val="343F4E"/>
          <w:sz w:val="24"/>
          <w:szCs w:val="24"/>
          <w:shd w:val="clear" w:color="auto" w:fill="FFFFFF"/>
        </w:rPr>
        <w:t>opportunity, there is no clear field to upload attachments for the main proposal and budget information. The only possible place to add an attachment would be in field 15 of the SF424 cover page, after the title – is this where we are supposed to upload the proposal and supporting documents?</w:t>
      </w:r>
    </w:p>
    <w:p w14:paraId="6F2DAB38" w14:textId="5C5CDCCB" w:rsidR="009470A5" w:rsidRPr="00665E26" w:rsidRDefault="009470A5" w:rsidP="009470A5">
      <w:pPr>
        <w:rPr>
          <w:rFonts w:ascii="Arial" w:hAnsi="Arial" w:cs="Arial"/>
          <w:sz w:val="24"/>
          <w:szCs w:val="24"/>
        </w:rPr>
      </w:pPr>
      <w:r w:rsidRPr="00665E26">
        <w:rPr>
          <w:rStyle w:val="Strong"/>
          <w:rFonts w:ascii="Arial" w:hAnsi="Arial" w:cs="Arial"/>
          <w:color w:val="343F4E"/>
          <w:sz w:val="24"/>
          <w:szCs w:val="24"/>
          <w:shd w:val="clear" w:color="auto" w:fill="FFFFFF"/>
        </w:rPr>
        <w:t>Answer: </w:t>
      </w:r>
      <w:r w:rsidRPr="00665E26">
        <w:rPr>
          <w:rFonts w:ascii="Arial" w:hAnsi="Arial" w:cs="Arial"/>
          <w:color w:val="343F4E"/>
          <w:sz w:val="24"/>
          <w:szCs w:val="24"/>
          <w:shd w:val="clear" w:color="auto" w:fill="FFFFFF"/>
        </w:rPr>
        <w:t> Yes, that is the correct place.</w:t>
      </w:r>
    </w:p>
    <w:p w14:paraId="43EEC7C1" w14:textId="336D0FED" w:rsidR="00665E26" w:rsidRPr="00665E26" w:rsidRDefault="00665E26" w:rsidP="00665E26">
      <w:pPr>
        <w:pStyle w:val="ListParagraph"/>
        <w:ind w:left="0"/>
        <w:rPr>
          <w:rFonts w:ascii="Arial" w:hAnsi="Arial" w:cs="Arial"/>
          <w:sz w:val="24"/>
          <w:szCs w:val="24"/>
        </w:rPr>
      </w:pPr>
      <w:r w:rsidRPr="00665E26">
        <w:rPr>
          <w:rStyle w:val="Strong"/>
          <w:rFonts w:ascii="Arial" w:hAnsi="Arial" w:cs="Arial"/>
          <w:color w:val="343F4E"/>
          <w:sz w:val="24"/>
          <w:szCs w:val="24"/>
        </w:rPr>
        <w:t>Question:</w:t>
      </w:r>
      <w:r w:rsidRPr="00665E26">
        <w:rPr>
          <w:rFonts w:ascii="Arial" w:hAnsi="Arial" w:cs="Arial"/>
          <w:sz w:val="24"/>
          <w:szCs w:val="24"/>
        </w:rPr>
        <w:t xml:space="preserve"> Reading this solicitation in your email, it seems like only UTCs announced in 2022 are eligible for this solicitation.  However, the solicitation at Grants.gov says “ </w:t>
      </w:r>
      <w:r w:rsidRPr="00665E26">
        <w:rPr>
          <w:rFonts w:ascii="Arial" w:hAnsi="Arial" w:cs="Arial"/>
          <w:color w:val="212121"/>
          <w:sz w:val="24"/>
          <w:szCs w:val="24"/>
          <w:shd w:val="clear" w:color="auto" w:fill="F9F9F9"/>
        </w:rPr>
        <w:t>This procurement is limited to proposals from University Transportation Centers and its sub-tier team consisting of one or more individuals, entities and/or professional organizations with either Not-for-Profit or For-Profit status”, which is not specific to 2022 UTCs.  Which one is correct?</w:t>
      </w:r>
    </w:p>
    <w:p w14:paraId="048A33A0" w14:textId="77777777" w:rsidR="00665E26" w:rsidRDefault="00665E26" w:rsidP="00665E26">
      <w:pPr>
        <w:rPr>
          <w:rStyle w:val="Strong"/>
          <w:rFonts w:ascii="Arial" w:hAnsi="Arial" w:cs="Arial"/>
          <w:color w:val="343F4E"/>
          <w:sz w:val="24"/>
          <w:szCs w:val="24"/>
          <w:shd w:val="clear" w:color="auto" w:fill="FFFFFF"/>
        </w:rPr>
      </w:pPr>
    </w:p>
    <w:p w14:paraId="464043F5" w14:textId="25A6A164" w:rsidR="00665E26" w:rsidRPr="00665E26" w:rsidRDefault="00665E26" w:rsidP="00665E26">
      <w:pPr>
        <w:rPr>
          <w:rFonts w:ascii="Arial" w:hAnsi="Arial" w:cs="Arial"/>
          <w:sz w:val="24"/>
          <w:szCs w:val="24"/>
        </w:rPr>
      </w:pPr>
      <w:r w:rsidRPr="00665E26">
        <w:rPr>
          <w:rStyle w:val="Strong"/>
          <w:rFonts w:ascii="Arial" w:hAnsi="Arial" w:cs="Arial"/>
          <w:color w:val="343F4E"/>
          <w:sz w:val="24"/>
          <w:szCs w:val="24"/>
          <w:shd w:val="clear" w:color="auto" w:fill="FFFFFF"/>
        </w:rPr>
        <w:t>Answer:</w:t>
      </w:r>
      <w:r w:rsidRPr="00665E26">
        <w:rPr>
          <w:rFonts w:ascii="Arial" w:hAnsi="Arial" w:cs="Arial"/>
          <w:sz w:val="24"/>
          <w:szCs w:val="24"/>
        </w:rPr>
        <w:t xml:space="preserve"> Please refer to Eligibility requirements as described in Section C.1, which is as follow:</w:t>
      </w:r>
    </w:p>
    <w:p w14:paraId="2A7BEA51" w14:textId="77777777" w:rsidR="00665E26" w:rsidRPr="00665E26" w:rsidRDefault="00665E26" w:rsidP="00665E26">
      <w:pPr>
        <w:rPr>
          <w:rFonts w:ascii="Arial" w:hAnsi="Arial" w:cs="Arial"/>
          <w:sz w:val="24"/>
          <w:szCs w:val="24"/>
        </w:rPr>
      </w:pPr>
      <w:r w:rsidRPr="00665E26">
        <w:rPr>
          <w:rFonts w:ascii="Arial" w:hAnsi="Arial" w:cs="Arial"/>
          <w:sz w:val="24"/>
          <w:szCs w:val="24"/>
        </w:rPr>
        <w:t>Eligible applicant must be a current DOT-funded</w:t>
      </w:r>
      <w:r w:rsidRPr="00665E26">
        <w:rPr>
          <w:rFonts w:ascii="Arial" w:hAnsi="Arial" w:cs="Arial"/>
          <w:color w:val="000000"/>
          <w:sz w:val="24"/>
          <w:szCs w:val="24"/>
        </w:rPr>
        <w:t xml:space="preserve"> </w:t>
      </w:r>
      <w:r w:rsidRPr="00665E26">
        <w:rPr>
          <w:rFonts w:ascii="Arial" w:hAnsi="Arial" w:cs="Arial"/>
          <w:sz w:val="24"/>
          <w:szCs w:val="24"/>
        </w:rPr>
        <w:t xml:space="preserve">University Transportation Center (UTC) with capabilities in research and technology transfer related to bridge materials, approaches and technologies and associated sciences of a scope that covers the requested services. Additionally, only those UTCs which are currently funded by U.S. </w:t>
      </w:r>
      <w:r w:rsidRPr="00665E26">
        <w:rPr>
          <w:rFonts w:ascii="Arial" w:hAnsi="Arial" w:cs="Arial"/>
          <w:sz w:val="24"/>
          <w:szCs w:val="24"/>
        </w:rPr>
        <w:lastRenderedPageBreak/>
        <w:t xml:space="preserve">DOT under the provisions and budget authorization of the Infrastructure Improvements and Jobs Act (IIJA), also known as the Bipartisan Infrastructure Law (BIL) are eligible to submit proposals. </w:t>
      </w:r>
    </w:p>
    <w:p w14:paraId="1483B3DD" w14:textId="3CD494EC" w:rsidR="00665E26" w:rsidRPr="00665E26" w:rsidRDefault="00665E26" w:rsidP="00665E26">
      <w:pPr>
        <w:rPr>
          <w:rFonts w:ascii="Arial" w:hAnsi="Arial" w:cs="Arial"/>
          <w:sz w:val="24"/>
          <w:szCs w:val="24"/>
        </w:rPr>
      </w:pPr>
      <w:r w:rsidRPr="00665E26">
        <w:rPr>
          <w:rStyle w:val="Strong"/>
          <w:rFonts w:ascii="Arial" w:hAnsi="Arial" w:cs="Arial"/>
          <w:color w:val="343F4E"/>
          <w:sz w:val="24"/>
          <w:szCs w:val="24"/>
        </w:rPr>
        <w:t>Question:</w:t>
      </w:r>
      <w:r w:rsidRPr="00665E26">
        <w:rPr>
          <w:rFonts w:ascii="Arial" w:hAnsi="Arial" w:cs="Arial"/>
          <w:sz w:val="24"/>
          <w:szCs w:val="24"/>
        </w:rPr>
        <w:t xml:space="preserve"> The NOFO says “</w:t>
      </w:r>
      <w:r w:rsidRPr="00665E26">
        <w:rPr>
          <w:rFonts w:ascii="Arial" w:hAnsi="Arial" w:cs="Arial"/>
          <w:color w:val="212121"/>
          <w:sz w:val="24"/>
          <w:szCs w:val="24"/>
          <w:shd w:val="clear" w:color="auto" w:fill="F9F9F9"/>
        </w:rPr>
        <w:t>The significant evaluation factors include, but not limited to, the UTC team’s experience in (</w:t>
      </w:r>
      <w:proofErr w:type="spellStart"/>
      <w:r w:rsidRPr="00665E26">
        <w:rPr>
          <w:rFonts w:ascii="Arial" w:hAnsi="Arial" w:cs="Arial"/>
          <w:color w:val="212121"/>
          <w:sz w:val="24"/>
          <w:szCs w:val="24"/>
          <w:shd w:val="clear" w:color="auto" w:fill="F9F9F9"/>
        </w:rPr>
        <w:t>i</w:t>
      </w:r>
      <w:proofErr w:type="spellEnd"/>
      <w:r w:rsidRPr="00665E26">
        <w:rPr>
          <w:rFonts w:ascii="Arial" w:hAnsi="Arial" w:cs="Arial"/>
          <w:color w:val="212121"/>
          <w:sz w:val="24"/>
          <w:szCs w:val="24"/>
          <w:shd w:val="clear" w:color="auto" w:fill="F9F9F9"/>
        </w:rPr>
        <w:t>) bridge technology(</w:t>
      </w:r>
      <w:proofErr w:type="spellStart"/>
      <w:r w:rsidRPr="00665E26">
        <w:rPr>
          <w:rFonts w:ascii="Arial" w:hAnsi="Arial" w:cs="Arial"/>
          <w:color w:val="212121"/>
          <w:sz w:val="24"/>
          <w:szCs w:val="24"/>
          <w:shd w:val="clear" w:color="auto" w:fill="F9F9F9"/>
        </w:rPr>
        <w:t>ies</w:t>
      </w:r>
      <w:proofErr w:type="spellEnd"/>
      <w:r w:rsidRPr="00665E26">
        <w:rPr>
          <w:rFonts w:ascii="Arial" w:hAnsi="Arial" w:cs="Arial"/>
          <w:color w:val="212121"/>
          <w:sz w:val="24"/>
          <w:szCs w:val="24"/>
          <w:shd w:val="clear" w:color="auto" w:fill="F9F9F9"/>
        </w:rPr>
        <w:t xml:space="preserve">), (ii) research &amp; transportation issues assessment, (iii) computerized database and AI architecture design, robotics, (iv) </w:t>
      </w:r>
      <w:r w:rsidRPr="00665E26">
        <w:rPr>
          <w:rFonts w:ascii="Arial" w:hAnsi="Arial" w:cs="Arial"/>
          <w:b/>
          <w:bCs/>
          <w:color w:val="212121"/>
          <w:sz w:val="24"/>
          <w:szCs w:val="24"/>
          <w:shd w:val="clear" w:color="auto" w:fill="F9F9F9"/>
        </w:rPr>
        <w:t>remote inspection technology capabilities,</w:t>
      </w:r>
      <w:r w:rsidRPr="00665E26">
        <w:rPr>
          <w:rFonts w:ascii="Arial" w:hAnsi="Arial" w:cs="Arial"/>
          <w:color w:val="212121"/>
          <w:sz w:val="24"/>
          <w:szCs w:val="24"/>
          <w:shd w:val="clear" w:color="auto" w:fill="F9F9F9"/>
        </w:rPr>
        <w:t xml:space="preserve"> (v) evaluating environmental effects (on bridges), and (vi) other scientific disciplines of relevance to the bridge technology issues. “</w:t>
      </w:r>
      <w:r w:rsidRPr="00665E26">
        <w:rPr>
          <w:rFonts w:ascii="Arial" w:hAnsi="Arial" w:cs="Arial"/>
          <w:sz w:val="24"/>
          <w:szCs w:val="24"/>
        </w:rPr>
        <w:t xml:space="preserve">   Since evaluation will be based on remote inspection technology capabilities, is the ABCT is expected to propose and carry out fundamental research?  By “Clearinghouse”, I understand dissemination of technology, which may require evaluation of research outcomes, but not carrying out actual research.</w:t>
      </w:r>
    </w:p>
    <w:p w14:paraId="2B8600F6" w14:textId="19563746" w:rsidR="00665E26" w:rsidRDefault="00665E26" w:rsidP="00665E26">
      <w:pPr>
        <w:rPr>
          <w:rFonts w:ascii="Arial" w:hAnsi="Arial" w:cs="Arial"/>
          <w:sz w:val="24"/>
          <w:szCs w:val="24"/>
        </w:rPr>
      </w:pPr>
      <w:r w:rsidRPr="00665E26">
        <w:rPr>
          <w:rStyle w:val="Strong"/>
          <w:rFonts w:ascii="Arial" w:hAnsi="Arial" w:cs="Arial"/>
          <w:color w:val="343F4E"/>
          <w:sz w:val="24"/>
          <w:szCs w:val="24"/>
          <w:shd w:val="clear" w:color="auto" w:fill="FFFFFF"/>
        </w:rPr>
        <w:t>Answer:</w:t>
      </w:r>
      <w:r w:rsidRPr="00665E26">
        <w:rPr>
          <w:rFonts w:ascii="Arial" w:hAnsi="Arial" w:cs="Arial"/>
          <w:sz w:val="24"/>
          <w:szCs w:val="24"/>
        </w:rPr>
        <w:t xml:space="preserve"> The ABTC is not expected to conduct actual research activities but to serve as a “clearinghouse” of advanced bridge technologies. </w:t>
      </w:r>
    </w:p>
    <w:p w14:paraId="3BEED0DE" w14:textId="4016A311" w:rsidR="00840AB6" w:rsidRPr="00840AB6" w:rsidRDefault="00840AB6" w:rsidP="00840AB6">
      <w:pPr>
        <w:rPr>
          <w:rFonts w:ascii="Arial" w:hAnsi="Arial" w:cs="Arial"/>
          <w:sz w:val="24"/>
          <w:szCs w:val="24"/>
        </w:rPr>
      </w:pPr>
      <w:r w:rsidRPr="00840AB6">
        <w:rPr>
          <w:rStyle w:val="Strong"/>
          <w:rFonts w:ascii="Arial" w:hAnsi="Arial" w:cs="Arial"/>
          <w:color w:val="343F4E"/>
          <w:sz w:val="24"/>
          <w:szCs w:val="24"/>
        </w:rPr>
        <w:t>Question:</w:t>
      </w:r>
      <w:r w:rsidRPr="00840AB6">
        <w:rPr>
          <w:rFonts w:ascii="Arial" w:hAnsi="Arial" w:cs="Arial"/>
          <w:sz w:val="24"/>
          <w:szCs w:val="24"/>
        </w:rPr>
        <w:t xml:space="preserve">  What can be considered for Cost share/match ?</w:t>
      </w:r>
    </w:p>
    <w:p w14:paraId="5F7BBFFD" w14:textId="362588FB" w:rsidR="00840AB6" w:rsidRPr="00840AB6" w:rsidRDefault="00840AB6" w:rsidP="00840AB6">
      <w:pPr>
        <w:rPr>
          <w:rFonts w:ascii="Arial" w:hAnsi="Arial" w:cs="Arial"/>
          <w:sz w:val="24"/>
          <w:szCs w:val="24"/>
        </w:rPr>
      </w:pPr>
      <w:r w:rsidRPr="00840AB6">
        <w:rPr>
          <w:rStyle w:val="Strong"/>
          <w:rFonts w:ascii="Arial" w:hAnsi="Arial" w:cs="Arial"/>
          <w:color w:val="343F4E"/>
          <w:sz w:val="24"/>
          <w:szCs w:val="24"/>
          <w:shd w:val="clear" w:color="auto" w:fill="FFFFFF"/>
        </w:rPr>
        <w:t>Answer:</w:t>
      </w:r>
      <w:r w:rsidRPr="00840AB6">
        <w:rPr>
          <w:rFonts w:ascii="Arial" w:hAnsi="Arial" w:cs="Arial"/>
          <w:sz w:val="24"/>
          <w:szCs w:val="24"/>
        </w:rPr>
        <w:t xml:space="preserve">  Total funding for a Center’s operation must include the US DOT funding plus non-Federal matching funds. No other sources of Federal funds, including from non-US DOT Departments and Agencies, may be counted toward the match requirement.</w:t>
      </w:r>
    </w:p>
    <w:p w14:paraId="5D814559" w14:textId="49394DEE" w:rsidR="00840AB6" w:rsidRDefault="00840AB6" w:rsidP="00840AB6">
      <w:pPr>
        <w:rPr>
          <w:rFonts w:ascii="Arial" w:hAnsi="Arial" w:cs="Arial"/>
          <w:sz w:val="24"/>
          <w:szCs w:val="24"/>
        </w:rPr>
      </w:pPr>
      <w:r w:rsidRPr="00840AB6">
        <w:rPr>
          <w:rFonts w:ascii="Arial" w:hAnsi="Arial" w:cs="Arial"/>
          <w:sz w:val="24"/>
          <w:szCs w:val="24"/>
        </w:rPr>
        <w:t>The non-Federal matching funds may be cash or in-kind, must be used to accomplish program objectives and the purpose of the agreement, and must be fully documented in the Center’s records. Recipients will have the length of the grant period to obtain and to spend the full amount of required matching funds. Any restrictions under the grant or in Federal grant regulations 2 CFR Part 200 on allowability of costs apply to matching funds as well as the Federal funds.</w:t>
      </w:r>
    </w:p>
    <w:p w14:paraId="4630B62A" w14:textId="302C7DE4" w:rsidR="004C6DC5" w:rsidRPr="004C6DC5" w:rsidRDefault="004C6DC5" w:rsidP="004C6DC5">
      <w:pPr>
        <w:rPr>
          <w:rFonts w:ascii="Arial" w:hAnsi="Arial" w:cs="Arial"/>
          <w:sz w:val="24"/>
          <w:szCs w:val="24"/>
        </w:rPr>
      </w:pPr>
      <w:bookmarkStart w:id="0" w:name="_Hlk147304342"/>
      <w:r w:rsidRPr="004C6DC5">
        <w:rPr>
          <w:rStyle w:val="Strong"/>
          <w:rFonts w:ascii="Arial" w:hAnsi="Arial" w:cs="Arial"/>
          <w:color w:val="343F4E"/>
          <w:sz w:val="24"/>
          <w:szCs w:val="24"/>
        </w:rPr>
        <w:t>Question:</w:t>
      </w:r>
      <w:bookmarkEnd w:id="0"/>
      <w:r w:rsidRPr="004C6DC5">
        <w:rPr>
          <w:rFonts w:ascii="Arial" w:hAnsi="Arial" w:cs="Arial"/>
          <w:sz w:val="24"/>
          <w:szCs w:val="24"/>
        </w:rPr>
        <w:t xml:space="preserve"> Are construction costs allowed for match?</w:t>
      </w:r>
    </w:p>
    <w:p w14:paraId="55C93E73" w14:textId="71C20837" w:rsidR="004C6DC5" w:rsidRDefault="004C6DC5" w:rsidP="004C6DC5">
      <w:pPr>
        <w:rPr>
          <w:rFonts w:ascii="Arial" w:hAnsi="Arial" w:cs="Arial"/>
          <w:sz w:val="24"/>
          <w:szCs w:val="24"/>
        </w:rPr>
      </w:pPr>
      <w:bookmarkStart w:id="1" w:name="_Hlk147304352"/>
      <w:r w:rsidRPr="004C6DC5">
        <w:rPr>
          <w:rStyle w:val="Strong"/>
          <w:rFonts w:ascii="Arial" w:hAnsi="Arial" w:cs="Arial"/>
          <w:color w:val="343F4E"/>
          <w:sz w:val="24"/>
          <w:szCs w:val="24"/>
          <w:shd w:val="clear" w:color="auto" w:fill="FFFFFF"/>
        </w:rPr>
        <w:t>Answer:</w:t>
      </w:r>
      <w:bookmarkEnd w:id="1"/>
      <w:r w:rsidRPr="004C6DC5">
        <w:rPr>
          <w:rFonts w:ascii="Arial" w:hAnsi="Arial" w:cs="Arial"/>
          <w:sz w:val="24"/>
          <w:szCs w:val="24"/>
        </w:rPr>
        <w:t xml:space="preserve"> Per section ‘D.5 Funding Restrictions’ of the NOFO document, construction costs are not eligible.</w:t>
      </w:r>
    </w:p>
    <w:p w14:paraId="75355F2F" w14:textId="5CAF322A" w:rsidR="0087106A" w:rsidRPr="0087106A" w:rsidRDefault="0087106A" w:rsidP="0087106A">
      <w:pPr>
        <w:rPr>
          <w:rFonts w:ascii="Arial" w:hAnsi="Arial" w:cs="Arial"/>
          <w:color w:val="000000"/>
          <w:sz w:val="24"/>
          <w:szCs w:val="24"/>
        </w:rPr>
      </w:pPr>
      <w:r w:rsidRPr="0087106A">
        <w:rPr>
          <w:rStyle w:val="Strong"/>
          <w:rFonts w:ascii="Arial" w:hAnsi="Arial" w:cs="Arial"/>
          <w:color w:val="343F4E"/>
          <w:sz w:val="24"/>
          <w:szCs w:val="24"/>
        </w:rPr>
        <w:t>Question:</w:t>
      </w:r>
      <w:r w:rsidRPr="0087106A">
        <w:rPr>
          <w:rStyle w:val="Strong"/>
          <w:rFonts w:ascii="Arial" w:hAnsi="Arial" w:cs="Arial"/>
          <w:color w:val="343F4E"/>
          <w:sz w:val="24"/>
          <w:szCs w:val="24"/>
        </w:rPr>
        <w:t xml:space="preserve"> </w:t>
      </w:r>
      <w:r w:rsidRPr="0087106A">
        <w:rPr>
          <w:rFonts w:ascii="Arial" w:hAnsi="Arial" w:cs="Arial"/>
          <w:color w:val="000000"/>
          <w:sz w:val="24"/>
          <w:szCs w:val="24"/>
        </w:rPr>
        <w:t>Can tables in the ABTC proposal be font 10 or 11?</w:t>
      </w:r>
    </w:p>
    <w:p w14:paraId="1B9179AC" w14:textId="1C02FFC5" w:rsidR="0087106A" w:rsidRPr="0087106A" w:rsidRDefault="0087106A" w:rsidP="0087106A">
      <w:pPr>
        <w:rPr>
          <w:rFonts w:ascii="Arial" w:hAnsi="Arial" w:cs="Arial"/>
          <w:sz w:val="24"/>
          <w:szCs w:val="24"/>
        </w:rPr>
      </w:pPr>
      <w:r w:rsidRPr="0087106A">
        <w:rPr>
          <w:rStyle w:val="Strong"/>
          <w:rFonts w:ascii="Arial" w:hAnsi="Arial" w:cs="Arial"/>
          <w:color w:val="343F4E"/>
          <w:sz w:val="24"/>
          <w:szCs w:val="24"/>
          <w:shd w:val="clear" w:color="auto" w:fill="FFFFFF"/>
        </w:rPr>
        <w:t>Answer:</w:t>
      </w:r>
      <w:r w:rsidRPr="0087106A">
        <w:rPr>
          <w:rFonts w:ascii="Arial" w:hAnsi="Arial" w:cs="Arial"/>
          <w:color w:val="000000"/>
          <w:sz w:val="24"/>
          <w:szCs w:val="24"/>
        </w:rPr>
        <w:t xml:space="preserve"> The minimum font size for Tables shall be no smaller than 9.</w:t>
      </w:r>
    </w:p>
    <w:p w14:paraId="3BC22762" w14:textId="77777777" w:rsidR="0087106A" w:rsidRPr="004C6DC5" w:rsidRDefault="0087106A" w:rsidP="004C6DC5">
      <w:pPr>
        <w:rPr>
          <w:rFonts w:ascii="Arial" w:hAnsi="Arial" w:cs="Arial"/>
          <w:sz w:val="24"/>
          <w:szCs w:val="24"/>
        </w:rPr>
      </w:pPr>
    </w:p>
    <w:p w14:paraId="79A7EDB1" w14:textId="77777777" w:rsidR="004C6DC5" w:rsidRPr="00840AB6" w:rsidRDefault="004C6DC5" w:rsidP="00840AB6">
      <w:pPr>
        <w:rPr>
          <w:rFonts w:ascii="Arial" w:hAnsi="Arial" w:cs="Arial"/>
          <w:sz w:val="24"/>
          <w:szCs w:val="24"/>
        </w:rPr>
      </w:pPr>
    </w:p>
    <w:p w14:paraId="1B93381F" w14:textId="77777777" w:rsidR="00840AB6" w:rsidRPr="00840AB6" w:rsidRDefault="00840AB6" w:rsidP="00665E26">
      <w:pPr>
        <w:rPr>
          <w:rFonts w:ascii="Arial" w:hAnsi="Arial" w:cs="Arial"/>
          <w:sz w:val="24"/>
          <w:szCs w:val="24"/>
        </w:rPr>
      </w:pPr>
    </w:p>
    <w:p w14:paraId="234F8EC8" w14:textId="49A1409A" w:rsidR="005F132B" w:rsidRPr="00840AB6" w:rsidRDefault="005F132B" w:rsidP="005F132B">
      <w:pPr>
        <w:pStyle w:val="NormalWeb"/>
        <w:shd w:val="clear" w:color="auto" w:fill="FFFFFF"/>
        <w:rPr>
          <w:rFonts w:ascii="Arial" w:hAnsi="Arial" w:cs="Arial"/>
        </w:rPr>
      </w:pPr>
    </w:p>
    <w:sectPr w:rsidR="005F132B" w:rsidRPr="00840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30AA0"/>
    <w:multiLevelType w:val="hybridMultilevel"/>
    <w:tmpl w:val="F3906B54"/>
    <w:lvl w:ilvl="0" w:tplc="3EBCFB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72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1B"/>
    <w:rsid w:val="00094014"/>
    <w:rsid w:val="002D121B"/>
    <w:rsid w:val="004C6DC5"/>
    <w:rsid w:val="00595094"/>
    <w:rsid w:val="005A39B0"/>
    <w:rsid w:val="005B581C"/>
    <w:rsid w:val="005F132B"/>
    <w:rsid w:val="00653F22"/>
    <w:rsid w:val="00665E26"/>
    <w:rsid w:val="00670C9E"/>
    <w:rsid w:val="00840AB6"/>
    <w:rsid w:val="0087106A"/>
    <w:rsid w:val="009470A5"/>
    <w:rsid w:val="009579BD"/>
    <w:rsid w:val="00B33FAC"/>
    <w:rsid w:val="00B83B30"/>
    <w:rsid w:val="00E76D95"/>
    <w:rsid w:val="00F0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0DC0"/>
  <w15:chartTrackingRefBased/>
  <w15:docId w15:val="{F9D57030-8F92-43AF-8ED4-FBE679E3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D121B"/>
    <w:pPr>
      <w:spacing w:after="0" w:line="240" w:lineRule="auto"/>
    </w:pPr>
    <w:rPr>
      <w:rFonts w:ascii="Calibri" w:hAnsi="Calibri" w:cs="Calibri"/>
    </w:rPr>
  </w:style>
  <w:style w:type="paragraph" w:styleId="NormalWeb">
    <w:name w:val="Normal (Web)"/>
    <w:basedOn w:val="Normal"/>
    <w:uiPriority w:val="99"/>
    <w:unhideWhenUsed/>
    <w:rsid w:val="005F13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132B"/>
    <w:rPr>
      <w:b/>
      <w:bCs/>
    </w:rPr>
  </w:style>
  <w:style w:type="paragraph" w:styleId="ListParagraph">
    <w:name w:val="List Paragraph"/>
    <w:basedOn w:val="Normal"/>
    <w:uiPriority w:val="34"/>
    <w:qFormat/>
    <w:rsid w:val="00665E26"/>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674704">
      <w:bodyDiv w:val="1"/>
      <w:marLeft w:val="0"/>
      <w:marRight w:val="0"/>
      <w:marTop w:val="0"/>
      <w:marBottom w:val="0"/>
      <w:divBdr>
        <w:top w:val="none" w:sz="0" w:space="0" w:color="auto"/>
        <w:left w:val="none" w:sz="0" w:space="0" w:color="auto"/>
        <w:bottom w:val="none" w:sz="0" w:space="0" w:color="auto"/>
        <w:right w:val="none" w:sz="0" w:space="0" w:color="auto"/>
      </w:divBdr>
    </w:div>
    <w:div w:id="1102534529">
      <w:bodyDiv w:val="1"/>
      <w:marLeft w:val="0"/>
      <w:marRight w:val="0"/>
      <w:marTop w:val="0"/>
      <w:marBottom w:val="0"/>
      <w:divBdr>
        <w:top w:val="none" w:sz="0" w:space="0" w:color="auto"/>
        <w:left w:val="none" w:sz="0" w:space="0" w:color="auto"/>
        <w:bottom w:val="none" w:sz="0" w:space="0" w:color="auto"/>
        <w:right w:val="none" w:sz="0" w:space="0" w:color="auto"/>
      </w:divBdr>
    </w:div>
    <w:div w:id="1175655260">
      <w:bodyDiv w:val="1"/>
      <w:marLeft w:val="0"/>
      <w:marRight w:val="0"/>
      <w:marTop w:val="0"/>
      <w:marBottom w:val="0"/>
      <w:divBdr>
        <w:top w:val="none" w:sz="0" w:space="0" w:color="auto"/>
        <w:left w:val="none" w:sz="0" w:space="0" w:color="auto"/>
        <w:bottom w:val="none" w:sz="0" w:space="0" w:color="auto"/>
        <w:right w:val="none" w:sz="0" w:space="0" w:color="auto"/>
      </w:divBdr>
    </w:div>
    <w:div w:id="1259288164">
      <w:bodyDiv w:val="1"/>
      <w:marLeft w:val="0"/>
      <w:marRight w:val="0"/>
      <w:marTop w:val="0"/>
      <w:marBottom w:val="0"/>
      <w:divBdr>
        <w:top w:val="none" w:sz="0" w:space="0" w:color="auto"/>
        <w:left w:val="none" w:sz="0" w:space="0" w:color="auto"/>
        <w:bottom w:val="none" w:sz="0" w:space="0" w:color="auto"/>
        <w:right w:val="none" w:sz="0" w:space="0" w:color="auto"/>
      </w:divBdr>
    </w:div>
    <w:div w:id="1369602330">
      <w:bodyDiv w:val="1"/>
      <w:marLeft w:val="0"/>
      <w:marRight w:val="0"/>
      <w:marTop w:val="0"/>
      <w:marBottom w:val="0"/>
      <w:divBdr>
        <w:top w:val="none" w:sz="0" w:space="0" w:color="auto"/>
        <w:left w:val="none" w:sz="0" w:space="0" w:color="auto"/>
        <w:bottom w:val="none" w:sz="0" w:space="0" w:color="auto"/>
        <w:right w:val="none" w:sz="0" w:space="0" w:color="auto"/>
      </w:divBdr>
    </w:div>
    <w:div w:id="1369800349">
      <w:bodyDiv w:val="1"/>
      <w:marLeft w:val="0"/>
      <w:marRight w:val="0"/>
      <w:marTop w:val="0"/>
      <w:marBottom w:val="0"/>
      <w:divBdr>
        <w:top w:val="none" w:sz="0" w:space="0" w:color="auto"/>
        <w:left w:val="none" w:sz="0" w:space="0" w:color="auto"/>
        <w:bottom w:val="none" w:sz="0" w:space="0" w:color="auto"/>
        <w:right w:val="none" w:sz="0" w:space="0" w:color="auto"/>
      </w:divBdr>
    </w:div>
    <w:div w:id="1571843823">
      <w:bodyDiv w:val="1"/>
      <w:marLeft w:val="0"/>
      <w:marRight w:val="0"/>
      <w:marTop w:val="0"/>
      <w:marBottom w:val="0"/>
      <w:divBdr>
        <w:top w:val="none" w:sz="0" w:space="0" w:color="auto"/>
        <w:left w:val="none" w:sz="0" w:space="0" w:color="auto"/>
        <w:bottom w:val="none" w:sz="0" w:space="0" w:color="auto"/>
        <w:right w:val="none" w:sz="0" w:space="0" w:color="auto"/>
      </w:divBdr>
    </w:div>
    <w:div w:id="2055345377">
      <w:bodyDiv w:val="1"/>
      <w:marLeft w:val="0"/>
      <w:marRight w:val="0"/>
      <w:marTop w:val="0"/>
      <w:marBottom w:val="0"/>
      <w:divBdr>
        <w:top w:val="none" w:sz="0" w:space="0" w:color="auto"/>
        <w:left w:val="none" w:sz="0" w:space="0" w:color="auto"/>
        <w:bottom w:val="none" w:sz="0" w:space="0" w:color="auto"/>
        <w:right w:val="none" w:sz="0" w:space="0" w:color="auto"/>
      </w:divBdr>
    </w:div>
    <w:div w:id="21236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Caesar (OST)</dc:creator>
  <cp:keywords/>
  <dc:description/>
  <cp:lastModifiedBy>Boyd, Charlotte (OST)</cp:lastModifiedBy>
  <cp:revision>7</cp:revision>
  <dcterms:created xsi:type="dcterms:W3CDTF">2023-09-18T19:58:00Z</dcterms:created>
  <dcterms:modified xsi:type="dcterms:W3CDTF">2023-10-04T13:32:00Z</dcterms:modified>
</cp:coreProperties>
</file>