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6236" w:rsidRDefault="00486236" w:rsidP="00486236">
      <w:pPr>
        <w:shd w:val="clear" w:color="auto" w:fill="FFFFFF"/>
        <w:jc w:val="center"/>
        <w:rPr>
          <w:rFonts w:ascii="Times New Roman" w:hAnsi="Times New Roman" w:cs="Times New Roman"/>
          <w:b/>
          <w:color w:val="201F1E"/>
        </w:rPr>
      </w:pPr>
      <w:r>
        <w:rPr>
          <w:rFonts w:ascii="Times New Roman" w:hAnsi="Times New Roman" w:cs="Times New Roman"/>
          <w:b/>
          <w:color w:val="201F1E"/>
        </w:rPr>
        <w:t>Question and Answer Document</w:t>
      </w:r>
    </w:p>
    <w:p w:rsidR="00486236" w:rsidRDefault="00486236" w:rsidP="00486236">
      <w:pPr>
        <w:shd w:val="clear" w:color="auto" w:fill="FFFFFF"/>
        <w:jc w:val="center"/>
        <w:rPr>
          <w:rFonts w:ascii="Times New Roman" w:hAnsi="Times New Roman" w:cs="Times New Roman"/>
          <w:b/>
          <w:color w:val="201F1E"/>
        </w:rPr>
      </w:pPr>
      <w:r>
        <w:rPr>
          <w:rFonts w:ascii="Times New Roman" w:hAnsi="Times New Roman" w:cs="Times New Roman"/>
          <w:b/>
          <w:color w:val="201F1E"/>
        </w:rPr>
        <w:t xml:space="preserve">Funding Opportunity: </w:t>
      </w:r>
      <w:bookmarkStart w:id="0" w:name="_GoBack"/>
      <w:r w:rsidRPr="00486236">
        <w:rPr>
          <w:rFonts w:ascii="Times New Roman" w:hAnsi="Times New Roman" w:cs="Times New Roman"/>
          <w:b/>
          <w:color w:val="201F1E"/>
        </w:rPr>
        <w:t>SFOP0006918</w:t>
      </w:r>
      <w:bookmarkEnd w:id="0"/>
    </w:p>
    <w:p w:rsidR="00486236" w:rsidRPr="00486236" w:rsidRDefault="00486236" w:rsidP="00486236">
      <w:pPr>
        <w:shd w:val="clear" w:color="auto" w:fill="FFFFFF"/>
        <w:jc w:val="center"/>
        <w:rPr>
          <w:rFonts w:ascii="Times New Roman" w:hAnsi="Times New Roman" w:cs="Times New Roman"/>
          <w:b/>
          <w:color w:val="201F1E"/>
        </w:rPr>
      </w:pPr>
      <w:r w:rsidRPr="00486236">
        <w:rPr>
          <w:rFonts w:ascii="Times New Roman" w:hAnsi="Times New Roman" w:cs="Times New Roman"/>
          <w:b/>
          <w:color w:val="201F1E"/>
        </w:rPr>
        <w:t>Data for Jurisdictional Sourcing: Spurring Jurisdictional Approaches and REDD+ Action</w:t>
      </w:r>
    </w:p>
    <w:p w:rsidR="00486236" w:rsidRDefault="00486236" w:rsidP="009A3C14">
      <w:pPr>
        <w:shd w:val="clear" w:color="auto" w:fill="FFFFFF"/>
        <w:rPr>
          <w:rFonts w:ascii="Times New Roman" w:hAnsi="Times New Roman" w:cs="Times New Roman"/>
          <w:color w:val="201F1E"/>
        </w:rPr>
      </w:pPr>
    </w:p>
    <w:p w:rsidR="009A3C14" w:rsidRDefault="009A3C14" w:rsidP="009A3C14">
      <w:pPr>
        <w:numPr>
          <w:ilvl w:val="0"/>
          <w:numId w:val="1"/>
        </w:numPr>
        <w:shd w:val="clear" w:color="auto" w:fill="FFFFFF"/>
        <w:rPr>
          <w:rFonts w:ascii="Calibri" w:hAnsi="Calibri"/>
          <w:color w:val="201F1E"/>
          <w:sz w:val="22"/>
          <w:szCs w:val="22"/>
        </w:rPr>
      </w:pPr>
      <w:r>
        <w:rPr>
          <w:rFonts w:ascii="Times New Roman" w:hAnsi="Times New Roman" w:cs="Times New Roman"/>
          <w:color w:val="201F1E"/>
        </w:rPr>
        <w:t>The NOFO is focused on “jurisdictional sourcing;” however, some of listed methodologies are more holistic and engage companies in ways other than sourcing.  In these cases, </w:t>
      </w:r>
      <w:r>
        <w:rPr>
          <w:rFonts w:ascii="Times New Roman" w:hAnsi="Times New Roman" w:cs="Times New Roman"/>
          <w:color w:val="000000"/>
        </w:rPr>
        <w:t>is it reasonable to assume that the gap analysis and action plans should be focused on performance/reporting needed not only for sourcing explicitly, but for corporate engagement more generally?</w:t>
      </w:r>
    </w:p>
    <w:p w:rsidR="009A3C14" w:rsidRPr="001E1B1D" w:rsidRDefault="009A3C14" w:rsidP="009A3C14">
      <w:pPr>
        <w:pStyle w:val="NormalWeb"/>
        <w:shd w:val="clear" w:color="auto" w:fill="FFFFFF"/>
        <w:ind w:left="360"/>
        <w:rPr>
          <w:rFonts w:ascii="Calibri" w:hAnsi="Calibri"/>
          <w:i/>
          <w:color w:val="201F1E"/>
          <w:sz w:val="22"/>
          <w:szCs w:val="22"/>
        </w:rPr>
      </w:pPr>
      <w:r>
        <w:rPr>
          <w:rFonts w:ascii="Times New Roman" w:hAnsi="Times New Roman" w:cs="Times New Roman"/>
          <w:color w:val="201F1E"/>
          <w:sz w:val="22"/>
          <w:szCs w:val="22"/>
        </w:rPr>
        <w:t> </w:t>
      </w:r>
    </w:p>
    <w:p w:rsidR="009A3C14" w:rsidRPr="001E1B1D" w:rsidRDefault="001E1B1D" w:rsidP="009A3C14">
      <w:pPr>
        <w:pStyle w:val="NormalWeb"/>
        <w:shd w:val="clear" w:color="auto" w:fill="FFFFFF"/>
        <w:ind w:left="360"/>
        <w:rPr>
          <w:i/>
          <w:sz w:val="22"/>
          <w:szCs w:val="22"/>
        </w:rPr>
      </w:pPr>
      <w:r w:rsidRPr="001E1B1D">
        <w:rPr>
          <w:rFonts w:ascii="Times New Roman" w:hAnsi="Times New Roman" w:cs="Times New Roman"/>
          <w:i/>
          <w:sz w:val="22"/>
          <w:szCs w:val="22"/>
        </w:rPr>
        <w:tab/>
      </w:r>
      <w:r w:rsidR="009A3C14" w:rsidRPr="001E1B1D">
        <w:rPr>
          <w:rFonts w:ascii="Times New Roman" w:hAnsi="Times New Roman" w:cs="Times New Roman"/>
          <w:i/>
          <w:sz w:val="22"/>
          <w:szCs w:val="22"/>
        </w:rPr>
        <w:t xml:space="preserve">Given the focus on issues of sourcing, the primary focus of the technical assistance should be on </w:t>
      </w:r>
      <w:r w:rsidRPr="001E1B1D">
        <w:rPr>
          <w:rFonts w:ascii="Times New Roman" w:hAnsi="Times New Roman" w:cs="Times New Roman"/>
          <w:i/>
          <w:sz w:val="22"/>
          <w:szCs w:val="22"/>
        </w:rPr>
        <w:tab/>
      </w:r>
      <w:r w:rsidR="009A3C14" w:rsidRPr="001E1B1D">
        <w:rPr>
          <w:rFonts w:ascii="Times New Roman" w:hAnsi="Times New Roman" w:cs="Times New Roman"/>
          <w:i/>
          <w:sz w:val="22"/>
          <w:szCs w:val="22"/>
        </w:rPr>
        <w:t xml:space="preserve">agriculture sourcing elements of these methodologies, but broader elements may be incorporated </w:t>
      </w:r>
      <w:r w:rsidRPr="001E1B1D">
        <w:rPr>
          <w:rFonts w:ascii="Times New Roman" w:hAnsi="Times New Roman" w:cs="Times New Roman"/>
          <w:i/>
          <w:sz w:val="22"/>
          <w:szCs w:val="22"/>
        </w:rPr>
        <w:tab/>
      </w:r>
      <w:r w:rsidR="009A3C14" w:rsidRPr="001E1B1D">
        <w:rPr>
          <w:rFonts w:ascii="Times New Roman" w:hAnsi="Times New Roman" w:cs="Times New Roman"/>
          <w:i/>
          <w:sz w:val="22"/>
          <w:szCs w:val="22"/>
        </w:rPr>
        <w:t>to address other non-sourcing elements of the listed methodologies.</w:t>
      </w:r>
    </w:p>
    <w:p w:rsidR="009A3C14" w:rsidRDefault="009A3C14" w:rsidP="009A3C14">
      <w:pPr>
        <w:pStyle w:val="NormalWeb"/>
        <w:shd w:val="clear" w:color="auto" w:fill="FFFFFF"/>
        <w:ind w:left="360"/>
        <w:rPr>
          <w:rFonts w:ascii="Calibri" w:hAnsi="Calibri"/>
          <w:color w:val="201F1E"/>
          <w:sz w:val="22"/>
          <w:szCs w:val="22"/>
        </w:rPr>
      </w:pPr>
    </w:p>
    <w:p w:rsidR="009A3C14" w:rsidRDefault="009A3C14" w:rsidP="009A3C14">
      <w:pPr>
        <w:numPr>
          <w:ilvl w:val="0"/>
          <w:numId w:val="2"/>
        </w:numPr>
        <w:shd w:val="clear" w:color="auto" w:fill="FFFFFF"/>
        <w:rPr>
          <w:rFonts w:ascii="Calibri" w:hAnsi="Calibri"/>
          <w:color w:val="000000"/>
          <w:sz w:val="22"/>
          <w:szCs w:val="22"/>
        </w:rPr>
      </w:pPr>
      <w:r>
        <w:rPr>
          <w:rFonts w:ascii="Times New Roman" w:hAnsi="Times New Roman" w:cs="Times New Roman"/>
        </w:rPr>
        <w:t>Do we understand correctly that we do not need to pre-define local partners we would work with in Phases 2 and 3 and that the most suitable partners to assist in the development and implementation of Action Plans could be defined once the shortlisted jurisdictions have been selected?</w:t>
      </w:r>
    </w:p>
    <w:p w:rsidR="009A3C14" w:rsidRDefault="009A3C14" w:rsidP="009A3C14">
      <w:pPr>
        <w:pStyle w:val="NormalWeb"/>
        <w:shd w:val="clear" w:color="auto" w:fill="FFFFFF"/>
        <w:rPr>
          <w:rFonts w:ascii="Calibri" w:hAnsi="Calibri"/>
          <w:color w:val="201F1E"/>
          <w:sz w:val="22"/>
          <w:szCs w:val="22"/>
        </w:rPr>
      </w:pPr>
      <w:r>
        <w:rPr>
          <w:rFonts w:ascii="Times New Roman" w:hAnsi="Times New Roman" w:cs="Times New Roman"/>
          <w:color w:val="201F1E"/>
        </w:rPr>
        <w:t> </w:t>
      </w:r>
    </w:p>
    <w:p w:rsidR="009A3C14" w:rsidRPr="001E1B1D" w:rsidRDefault="001E1B1D" w:rsidP="009A3C14">
      <w:pPr>
        <w:pStyle w:val="NormalWeb"/>
        <w:shd w:val="clear" w:color="auto" w:fill="FFFFFF"/>
        <w:rPr>
          <w:rFonts w:ascii="Calibri" w:hAnsi="Calibri"/>
          <w:i/>
          <w:sz w:val="22"/>
          <w:szCs w:val="22"/>
        </w:rPr>
      </w:pPr>
      <w:r>
        <w:rPr>
          <w:rFonts w:ascii="Times New Roman" w:hAnsi="Times New Roman" w:cs="Times New Roman"/>
        </w:rPr>
        <w:tab/>
      </w:r>
      <w:r w:rsidR="009A3C14" w:rsidRPr="001E1B1D">
        <w:rPr>
          <w:rFonts w:ascii="Times New Roman" w:hAnsi="Times New Roman" w:cs="Times New Roman"/>
          <w:i/>
        </w:rPr>
        <w:t>Yes</w:t>
      </w:r>
      <w:r>
        <w:rPr>
          <w:rFonts w:ascii="Times New Roman" w:hAnsi="Times New Roman" w:cs="Times New Roman"/>
          <w:i/>
        </w:rPr>
        <w:t>.</w:t>
      </w:r>
    </w:p>
    <w:p w:rsidR="009A3C14" w:rsidRDefault="009A3C14" w:rsidP="009A3C14">
      <w:pPr>
        <w:pStyle w:val="NormalWeb"/>
        <w:shd w:val="clear" w:color="auto" w:fill="FFFFFF"/>
        <w:rPr>
          <w:rFonts w:ascii="Calibri" w:hAnsi="Calibri"/>
          <w:color w:val="201F1E"/>
          <w:sz w:val="22"/>
          <w:szCs w:val="22"/>
        </w:rPr>
      </w:pPr>
    </w:p>
    <w:p w:rsidR="009A3C14" w:rsidRDefault="009A3C14" w:rsidP="009A3C14">
      <w:pPr>
        <w:numPr>
          <w:ilvl w:val="0"/>
          <w:numId w:val="3"/>
        </w:numPr>
        <w:shd w:val="clear" w:color="auto" w:fill="FFFFFF"/>
        <w:rPr>
          <w:rFonts w:ascii="Calibri" w:hAnsi="Calibri"/>
          <w:color w:val="201F1E"/>
          <w:sz w:val="22"/>
          <w:szCs w:val="22"/>
        </w:rPr>
      </w:pPr>
      <w:r>
        <w:rPr>
          <w:rFonts w:ascii="Times New Roman" w:hAnsi="Times New Roman" w:cs="Times New Roman"/>
          <w:color w:val="201F1E"/>
        </w:rPr>
        <w:t>Can the 4-5 shortlisted areas (for gap analysis and action plan development and implementation) be countries, sub-national jurisdictions, or other large-scale regions (e.g., a biome or physiographic area)?</w:t>
      </w:r>
    </w:p>
    <w:p w:rsidR="009A3C14" w:rsidRDefault="009A3C14" w:rsidP="009A3C14">
      <w:pPr>
        <w:rPr>
          <w:color w:val="000000"/>
        </w:rPr>
      </w:pPr>
    </w:p>
    <w:p w:rsidR="009A3C14" w:rsidRPr="001E1B1D" w:rsidRDefault="001E1B1D" w:rsidP="009A3C14">
      <w:pPr>
        <w:rPr>
          <w:rFonts w:ascii="Times New Roman" w:hAnsi="Times New Roman" w:cs="Times New Roman"/>
          <w:i/>
        </w:rPr>
      </w:pPr>
      <w:r>
        <w:tab/>
      </w:r>
      <w:r w:rsidR="009A3C14" w:rsidRPr="001E1B1D">
        <w:rPr>
          <w:rFonts w:ascii="Times New Roman" w:hAnsi="Times New Roman" w:cs="Times New Roman"/>
          <w:i/>
        </w:rPr>
        <w:t xml:space="preserve">Any of those listed. For large-scale regions, there would need to be some kind of </w:t>
      </w:r>
      <w:r w:rsidRPr="001E1B1D">
        <w:rPr>
          <w:rFonts w:ascii="Times New Roman" w:hAnsi="Times New Roman" w:cs="Times New Roman"/>
          <w:i/>
        </w:rPr>
        <w:tab/>
      </w:r>
      <w:r w:rsidR="009A3C14" w:rsidRPr="001E1B1D">
        <w:rPr>
          <w:rFonts w:ascii="Times New Roman" w:hAnsi="Times New Roman" w:cs="Times New Roman"/>
          <w:i/>
        </w:rPr>
        <w:t>nationally-defined approach to addressing issues in the biome.</w:t>
      </w:r>
    </w:p>
    <w:p w:rsidR="00234288" w:rsidRDefault="001E1B1D"/>
    <w:sectPr w:rsidR="0023428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53A1" w:rsidRDefault="00B153A1" w:rsidP="00B153A1">
      <w:r>
        <w:separator/>
      </w:r>
    </w:p>
  </w:endnote>
  <w:endnote w:type="continuationSeparator" w:id="0">
    <w:p w:rsidR="00B153A1" w:rsidRDefault="00B153A1" w:rsidP="00B153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53A1" w:rsidRDefault="00B153A1" w:rsidP="00B153A1">
      <w:r>
        <w:separator/>
      </w:r>
    </w:p>
  </w:footnote>
  <w:footnote w:type="continuationSeparator" w:id="0">
    <w:p w:rsidR="00B153A1" w:rsidRDefault="00B153A1" w:rsidP="00B153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C27377"/>
    <w:multiLevelType w:val="multilevel"/>
    <w:tmpl w:val="F1BECA8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EA35310"/>
    <w:multiLevelType w:val="multilevel"/>
    <w:tmpl w:val="9BC43CA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AC264EF"/>
    <w:multiLevelType w:val="multilevel"/>
    <w:tmpl w:val="C172B1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53A1"/>
    <w:rsid w:val="001A765E"/>
    <w:rsid w:val="001E1B1D"/>
    <w:rsid w:val="00486236"/>
    <w:rsid w:val="00615166"/>
    <w:rsid w:val="009A3C14"/>
    <w:rsid w:val="00B153A1"/>
    <w:rsid w:val="00B82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DFAB64"/>
  <w15:chartTrackingRefBased/>
  <w15:docId w15:val="{544EB649-9581-46D5-9D16-E488D4E82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3C14"/>
    <w:pPr>
      <w:spacing w:after="0" w:line="240" w:lineRule="auto"/>
    </w:pPr>
    <w:rPr>
      <w:rFonts w:ascii="MS PGothic" w:eastAsia="MS PGothic" w:hAnsi="MS PGothic" w:cs="MS PGothic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A3C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937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213</Words>
  <Characters>1220</Characters>
  <Application>Microsoft Office Word</Application>
  <DocSecurity>4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U.S. Department of State</Company>
  <LinksUpToDate>false</LinksUpToDate>
  <CharactersWithSpaces>1431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Hall, Emily E</dc:creator>
  <cp:keywords/>
  <dc:description/>
  <cp:lastModifiedBy>Grzelak, Meghan  B</cp:lastModifiedBy>
  <cp:revision>2</cp:revision>
  <dcterms:created xsi:type="dcterms:W3CDTF">2020-06-19T18:03:00Z</dcterms:created>
  <dcterms:modified xsi:type="dcterms:W3CDTF">2020-06-19T18:03:00Z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665d9ee-429a-4d5f-97cc-cfb56e044a6e_Enabled">
    <vt:lpwstr>True</vt:lpwstr>
  </property>
  <property fmtid="{D5CDD505-2E9C-101B-9397-08002B2CF9AE}" pid="3" name="MSIP_Label_1665d9ee-429a-4d5f-97cc-cfb56e044a6e_SiteId">
    <vt:lpwstr>66cf5074-5afe-48d1-a691-a12b2121f44b</vt:lpwstr>
  </property>
  <property fmtid="{D5CDD505-2E9C-101B-9397-08002B2CF9AE}" pid="4" name="MSIP_Label_1665d9ee-429a-4d5f-97cc-cfb56e044a6e_Owner">
    <vt:lpwstr>HallEE@state.gov</vt:lpwstr>
  </property>
  <property fmtid="{D5CDD505-2E9C-101B-9397-08002B2CF9AE}" pid="5" name="MSIP_Label_1665d9ee-429a-4d5f-97cc-cfb56e044a6e_SetDate">
    <vt:lpwstr>2020-06-19T15:24:43.3190411Z</vt:lpwstr>
  </property>
  <property fmtid="{D5CDD505-2E9C-101B-9397-08002B2CF9AE}" pid="6" name="MSIP_Label_1665d9ee-429a-4d5f-97cc-cfb56e044a6e_Name">
    <vt:lpwstr>Unclassified</vt:lpwstr>
  </property>
  <property fmtid="{D5CDD505-2E9C-101B-9397-08002B2CF9AE}" pid="7" name="MSIP_Label_1665d9ee-429a-4d5f-97cc-cfb56e044a6e_Application">
    <vt:lpwstr>Microsoft Azure Information Protection</vt:lpwstr>
  </property>
  <property fmtid="{D5CDD505-2E9C-101B-9397-08002B2CF9AE}" pid="8" name="MSIP_Label_1665d9ee-429a-4d5f-97cc-cfb56e044a6e_ActionId">
    <vt:lpwstr>79da9e6c-9c1c-4a75-be28-acd2beace61a</vt:lpwstr>
  </property>
  <property fmtid="{D5CDD505-2E9C-101B-9397-08002B2CF9AE}" pid="9" name="MSIP_Label_1665d9ee-429a-4d5f-97cc-cfb56e044a6e_Extended_MSFT_Method">
    <vt:lpwstr>Manual</vt:lpwstr>
  </property>
  <property fmtid="{D5CDD505-2E9C-101B-9397-08002B2CF9AE}" pid="10" name="Sensitivity">
    <vt:lpwstr>Unclassified</vt:lpwstr>
  </property>
</Properties>
</file>