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236" w:rsidRDefault="00486236" w:rsidP="00486236">
      <w:pPr>
        <w:shd w:val="clear" w:color="auto" w:fill="FFFFFF"/>
        <w:jc w:val="center"/>
        <w:rPr>
          <w:rFonts w:ascii="Times New Roman" w:hAnsi="Times New Roman" w:cs="Times New Roman"/>
          <w:b/>
          <w:color w:val="201F1E"/>
        </w:rPr>
      </w:pPr>
      <w:r>
        <w:rPr>
          <w:rFonts w:ascii="Times New Roman" w:hAnsi="Times New Roman" w:cs="Times New Roman"/>
          <w:b/>
          <w:color w:val="201F1E"/>
        </w:rPr>
        <w:t>Question and Answer Document</w:t>
      </w:r>
      <w:r w:rsidR="002E7E6D">
        <w:rPr>
          <w:rFonts w:ascii="Times New Roman" w:hAnsi="Times New Roman" w:cs="Times New Roman"/>
          <w:b/>
          <w:color w:val="201F1E"/>
        </w:rPr>
        <w:t xml:space="preserve"> – June 26, 2020</w:t>
      </w:r>
    </w:p>
    <w:p w:rsidR="00486236" w:rsidRDefault="00486236" w:rsidP="00486236">
      <w:pPr>
        <w:shd w:val="clear" w:color="auto" w:fill="FFFFFF"/>
        <w:jc w:val="center"/>
        <w:rPr>
          <w:rFonts w:ascii="Times New Roman" w:hAnsi="Times New Roman" w:cs="Times New Roman"/>
          <w:b/>
          <w:color w:val="201F1E"/>
        </w:rPr>
      </w:pPr>
      <w:r>
        <w:rPr>
          <w:rFonts w:ascii="Times New Roman" w:hAnsi="Times New Roman" w:cs="Times New Roman"/>
          <w:b/>
          <w:color w:val="201F1E"/>
        </w:rPr>
        <w:t xml:space="preserve">Funding Opportunity: </w:t>
      </w:r>
      <w:r w:rsidRPr="00486236">
        <w:rPr>
          <w:rFonts w:ascii="Times New Roman" w:hAnsi="Times New Roman" w:cs="Times New Roman"/>
          <w:b/>
          <w:color w:val="201F1E"/>
        </w:rPr>
        <w:t>SFOP0006918</w:t>
      </w:r>
    </w:p>
    <w:p w:rsidR="00486236" w:rsidRPr="00486236" w:rsidRDefault="00486236" w:rsidP="00486236">
      <w:pPr>
        <w:shd w:val="clear" w:color="auto" w:fill="FFFFFF"/>
        <w:jc w:val="center"/>
        <w:rPr>
          <w:rFonts w:ascii="Times New Roman" w:hAnsi="Times New Roman" w:cs="Times New Roman"/>
          <w:b/>
          <w:color w:val="201F1E"/>
        </w:rPr>
      </w:pPr>
      <w:r w:rsidRPr="00486236">
        <w:rPr>
          <w:rFonts w:ascii="Times New Roman" w:hAnsi="Times New Roman" w:cs="Times New Roman"/>
          <w:b/>
          <w:color w:val="201F1E"/>
        </w:rPr>
        <w:t>Data for Jurisdictional Sourcing: Spurring Jurisdictional Approaches and REDD+ Action</w:t>
      </w:r>
    </w:p>
    <w:p w:rsidR="00486236" w:rsidRDefault="00486236" w:rsidP="009A3C14">
      <w:pPr>
        <w:shd w:val="clear" w:color="auto" w:fill="FFFFFF"/>
        <w:rPr>
          <w:rFonts w:ascii="Times New Roman" w:hAnsi="Times New Roman" w:cs="Times New Roman"/>
          <w:color w:val="201F1E"/>
        </w:rPr>
      </w:pPr>
    </w:p>
    <w:p w:rsidR="009A3C14" w:rsidRDefault="009A3C14" w:rsidP="009A3C14">
      <w:pPr>
        <w:numPr>
          <w:ilvl w:val="0"/>
          <w:numId w:val="1"/>
        </w:numPr>
        <w:shd w:val="clear" w:color="auto" w:fill="FFFFFF"/>
        <w:rPr>
          <w:rFonts w:ascii="Calibri" w:hAnsi="Calibri"/>
          <w:color w:val="201F1E"/>
          <w:sz w:val="22"/>
          <w:szCs w:val="22"/>
        </w:rPr>
      </w:pPr>
      <w:r>
        <w:rPr>
          <w:rFonts w:ascii="Times New Roman" w:hAnsi="Times New Roman" w:cs="Times New Roman"/>
          <w:color w:val="201F1E"/>
        </w:rPr>
        <w:t>The NOFO is focused on “jurisdictional sourcing;” however, some of listed methodologies are more holistic and engage companies in ways other than sourcing.  In these cases, </w:t>
      </w:r>
      <w:r>
        <w:rPr>
          <w:rFonts w:ascii="Times New Roman" w:hAnsi="Times New Roman" w:cs="Times New Roman"/>
          <w:color w:val="000000"/>
        </w:rPr>
        <w:t>is it reasonable to assume that the gap analysis and action plans should be focused on performance/reporting needed not only for sourcing explicitly, but for corporate engagement more generally?</w:t>
      </w:r>
    </w:p>
    <w:p w:rsidR="009A3C14" w:rsidRPr="001E1B1D" w:rsidRDefault="009A3C14" w:rsidP="009A3C14">
      <w:pPr>
        <w:pStyle w:val="NormalWeb"/>
        <w:shd w:val="clear" w:color="auto" w:fill="FFFFFF"/>
        <w:ind w:left="360"/>
        <w:rPr>
          <w:rFonts w:ascii="Calibri" w:hAnsi="Calibri"/>
          <w:i/>
          <w:color w:val="201F1E"/>
          <w:sz w:val="22"/>
          <w:szCs w:val="22"/>
        </w:rPr>
      </w:pPr>
      <w:r>
        <w:rPr>
          <w:rFonts w:ascii="Times New Roman" w:hAnsi="Times New Roman" w:cs="Times New Roman"/>
          <w:color w:val="201F1E"/>
          <w:sz w:val="22"/>
          <w:szCs w:val="22"/>
        </w:rPr>
        <w:t> </w:t>
      </w:r>
    </w:p>
    <w:p w:rsidR="009A3C14" w:rsidRPr="001E1B1D" w:rsidRDefault="001E1B1D" w:rsidP="009A3C14">
      <w:pPr>
        <w:pStyle w:val="NormalWeb"/>
        <w:shd w:val="clear" w:color="auto" w:fill="FFFFFF"/>
        <w:ind w:left="360"/>
        <w:rPr>
          <w:i/>
          <w:sz w:val="22"/>
          <w:szCs w:val="22"/>
        </w:rPr>
      </w:pPr>
      <w:r w:rsidRPr="001E1B1D">
        <w:rPr>
          <w:rFonts w:ascii="Times New Roman" w:hAnsi="Times New Roman" w:cs="Times New Roman"/>
          <w:i/>
          <w:sz w:val="22"/>
          <w:szCs w:val="22"/>
        </w:rPr>
        <w:tab/>
      </w:r>
      <w:r w:rsidR="009A3C14" w:rsidRPr="001E1B1D">
        <w:rPr>
          <w:rFonts w:ascii="Times New Roman" w:hAnsi="Times New Roman" w:cs="Times New Roman"/>
          <w:i/>
          <w:sz w:val="22"/>
          <w:szCs w:val="22"/>
        </w:rPr>
        <w:t xml:space="preserve">Given the focus on issues of sourcing, the primary focus of the technical assistance should be on </w:t>
      </w:r>
      <w:r w:rsidRPr="001E1B1D">
        <w:rPr>
          <w:rFonts w:ascii="Times New Roman" w:hAnsi="Times New Roman" w:cs="Times New Roman"/>
          <w:i/>
          <w:sz w:val="22"/>
          <w:szCs w:val="22"/>
        </w:rPr>
        <w:tab/>
      </w:r>
      <w:r w:rsidR="009A3C14" w:rsidRPr="001E1B1D">
        <w:rPr>
          <w:rFonts w:ascii="Times New Roman" w:hAnsi="Times New Roman" w:cs="Times New Roman"/>
          <w:i/>
          <w:sz w:val="22"/>
          <w:szCs w:val="22"/>
        </w:rPr>
        <w:t xml:space="preserve">agriculture sourcing elements of these methodologies, but broader elements may be incorporated </w:t>
      </w:r>
      <w:r w:rsidRPr="001E1B1D">
        <w:rPr>
          <w:rFonts w:ascii="Times New Roman" w:hAnsi="Times New Roman" w:cs="Times New Roman"/>
          <w:i/>
          <w:sz w:val="22"/>
          <w:szCs w:val="22"/>
        </w:rPr>
        <w:tab/>
      </w:r>
      <w:r w:rsidR="009A3C14" w:rsidRPr="001E1B1D">
        <w:rPr>
          <w:rFonts w:ascii="Times New Roman" w:hAnsi="Times New Roman" w:cs="Times New Roman"/>
          <w:i/>
          <w:sz w:val="22"/>
          <w:szCs w:val="22"/>
        </w:rPr>
        <w:t>to address other non-sourcing elements of the listed methodologies.</w:t>
      </w:r>
    </w:p>
    <w:p w:rsidR="009A3C14" w:rsidRDefault="009A3C14" w:rsidP="009A3C14">
      <w:pPr>
        <w:pStyle w:val="NormalWeb"/>
        <w:shd w:val="clear" w:color="auto" w:fill="FFFFFF"/>
        <w:ind w:left="360"/>
        <w:rPr>
          <w:rFonts w:ascii="Calibri" w:hAnsi="Calibri"/>
          <w:color w:val="201F1E"/>
          <w:sz w:val="22"/>
          <w:szCs w:val="22"/>
        </w:rPr>
      </w:pPr>
    </w:p>
    <w:p w:rsidR="009A3C14" w:rsidRDefault="009A3C14" w:rsidP="009A3C14">
      <w:pPr>
        <w:numPr>
          <w:ilvl w:val="0"/>
          <w:numId w:val="2"/>
        </w:numPr>
        <w:shd w:val="clear" w:color="auto" w:fill="FFFFFF"/>
        <w:rPr>
          <w:rFonts w:ascii="Calibri" w:hAnsi="Calibri"/>
          <w:color w:val="000000"/>
          <w:sz w:val="22"/>
          <w:szCs w:val="22"/>
        </w:rPr>
      </w:pPr>
      <w:r>
        <w:rPr>
          <w:rFonts w:ascii="Times New Roman" w:hAnsi="Times New Roman" w:cs="Times New Roman"/>
        </w:rPr>
        <w:t>Do we understand correctly that we do not need to pre-define local partners we would work with in Phases 2 and 3 and that the most suitable partners to assist in the development and implementation of Action Plans could be defined once the shortlisted jurisdictions have been selected?</w:t>
      </w:r>
    </w:p>
    <w:p w:rsidR="009A3C14" w:rsidRDefault="009A3C14" w:rsidP="009A3C14">
      <w:pPr>
        <w:pStyle w:val="NormalWeb"/>
        <w:shd w:val="clear" w:color="auto" w:fill="FFFFFF"/>
        <w:rPr>
          <w:rFonts w:ascii="Calibri" w:hAnsi="Calibri"/>
          <w:color w:val="201F1E"/>
          <w:sz w:val="22"/>
          <w:szCs w:val="22"/>
        </w:rPr>
      </w:pPr>
      <w:r>
        <w:rPr>
          <w:rFonts w:ascii="Times New Roman" w:hAnsi="Times New Roman" w:cs="Times New Roman"/>
          <w:color w:val="201F1E"/>
        </w:rPr>
        <w:t> </w:t>
      </w:r>
    </w:p>
    <w:p w:rsidR="009A3C14" w:rsidRPr="001E1B1D" w:rsidRDefault="001E1B1D" w:rsidP="009A3C14">
      <w:pPr>
        <w:pStyle w:val="NormalWeb"/>
        <w:shd w:val="clear" w:color="auto" w:fill="FFFFFF"/>
        <w:rPr>
          <w:rFonts w:ascii="Calibri" w:hAnsi="Calibri"/>
          <w:i/>
          <w:sz w:val="22"/>
          <w:szCs w:val="22"/>
        </w:rPr>
      </w:pPr>
      <w:r>
        <w:rPr>
          <w:rFonts w:ascii="Times New Roman" w:hAnsi="Times New Roman" w:cs="Times New Roman"/>
        </w:rPr>
        <w:tab/>
      </w:r>
      <w:r w:rsidR="009A3C14" w:rsidRPr="001E1B1D">
        <w:rPr>
          <w:rFonts w:ascii="Times New Roman" w:hAnsi="Times New Roman" w:cs="Times New Roman"/>
          <w:i/>
        </w:rPr>
        <w:t>Yes</w:t>
      </w:r>
      <w:r>
        <w:rPr>
          <w:rFonts w:ascii="Times New Roman" w:hAnsi="Times New Roman" w:cs="Times New Roman"/>
          <w:i/>
        </w:rPr>
        <w:t>.</w:t>
      </w:r>
      <w:bookmarkStart w:id="0" w:name="_GoBack"/>
      <w:bookmarkEnd w:id="0"/>
    </w:p>
    <w:p w:rsidR="009A3C14" w:rsidRDefault="009A3C14" w:rsidP="009A3C14">
      <w:pPr>
        <w:pStyle w:val="NormalWeb"/>
        <w:shd w:val="clear" w:color="auto" w:fill="FFFFFF"/>
        <w:rPr>
          <w:rFonts w:ascii="Calibri" w:hAnsi="Calibri"/>
          <w:color w:val="201F1E"/>
          <w:sz w:val="22"/>
          <w:szCs w:val="22"/>
        </w:rPr>
      </w:pPr>
    </w:p>
    <w:p w:rsidR="009A3C14" w:rsidRDefault="009A3C14" w:rsidP="009A3C14">
      <w:pPr>
        <w:numPr>
          <w:ilvl w:val="0"/>
          <w:numId w:val="3"/>
        </w:numPr>
        <w:shd w:val="clear" w:color="auto" w:fill="FFFFFF"/>
        <w:rPr>
          <w:rFonts w:ascii="Calibri" w:hAnsi="Calibri"/>
          <w:color w:val="201F1E"/>
          <w:sz w:val="22"/>
          <w:szCs w:val="22"/>
        </w:rPr>
      </w:pPr>
      <w:r>
        <w:rPr>
          <w:rFonts w:ascii="Times New Roman" w:hAnsi="Times New Roman" w:cs="Times New Roman"/>
          <w:color w:val="201F1E"/>
        </w:rPr>
        <w:t>Can the 4-5 shortlisted areas (for gap analysis and action plan development and implementation) be countries, sub-national jurisdictions, or other large-scale regions (e.g., a biome or physiographic area)?</w:t>
      </w:r>
    </w:p>
    <w:p w:rsidR="009A3C14" w:rsidRDefault="009A3C14" w:rsidP="009A3C14">
      <w:pPr>
        <w:rPr>
          <w:color w:val="000000"/>
        </w:rPr>
      </w:pPr>
    </w:p>
    <w:p w:rsidR="009A3C14" w:rsidRPr="001E1B1D" w:rsidRDefault="001E1B1D" w:rsidP="009A3C14">
      <w:pPr>
        <w:rPr>
          <w:rFonts w:ascii="Times New Roman" w:hAnsi="Times New Roman" w:cs="Times New Roman"/>
          <w:i/>
        </w:rPr>
      </w:pPr>
      <w:r>
        <w:tab/>
      </w:r>
      <w:r w:rsidR="009A3C14" w:rsidRPr="001E1B1D">
        <w:rPr>
          <w:rFonts w:ascii="Times New Roman" w:hAnsi="Times New Roman" w:cs="Times New Roman"/>
          <w:i/>
        </w:rPr>
        <w:t xml:space="preserve">Any of those listed. For large-scale regions, there would need to be some kind of </w:t>
      </w:r>
      <w:r w:rsidRPr="001E1B1D">
        <w:rPr>
          <w:rFonts w:ascii="Times New Roman" w:hAnsi="Times New Roman" w:cs="Times New Roman"/>
          <w:i/>
        </w:rPr>
        <w:tab/>
      </w:r>
      <w:r w:rsidR="009A3C14" w:rsidRPr="001E1B1D">
        <w:rPr>
          <w:rFonts w:ascii="Times New Roman" w:hAnsi="Times New Roman" w:cs="Times New Roman"/>
          <w:i/>
        </w:rPr>
        <w:t>nationally-defined approach to addressing issues in the biome.</w:t>
      </w:r>
    </w:p>
    <w:p w:rsidR="00234288" w:rsidRDefault="002E7E6D"/>
    <w:p w:rsidR="00AC5074" w:rsidRPr="00AC5074" w:rsidRDefault="00AC5074" w:rsidP="00AC5074">
      <w:pPr>
        <w:pStyle w:val="NormalWeb"/>
        <w:numPr>
          <w:ilvl w:val="0"/>
          <w:numId w:val="3"/>
        </w:numPr>
        <w:rPr>
          <w:rFonts w:ascii="Times" w:eastAsiaTheme="minorHAnsi" w:hAnsi="Times" w:cs="Times"/>
          <w:color w:val="000000"/>
          <w:lang w:eastAsia="en-US"/>
        </w:rPr>
      </w:pPr>
      <w:r w:rsidRPr="00AC5074">
        <w:rPr>
          <w:rFonts w:ascii="Times" w:hAnsi="Times" w:cs="Times"/>
          <w:color w:val="000000"/>
        </w:rPr>
        <w:t>There are 18 countries listed as possible jurisdictions that may be project beneficiaries. Is it expected that the implementer will include all 18 countries in the readiness assessment in Stage 1? </w:t>
      </w:r>
    </w:p>
    <w:p w:rsidR="00AC5074" w:rsidRDefault="00AC5074" w:rsidP="00AC5074">
      <w:pPr>
        <w:pStyle w:val="NormalWeb"/>
        <w:rPr>
          <w:rFonts w:ascii="Times" w:hAnsi="Times" w:cs="Times"/>
          <w:color w:val="000000"/>
          <w:sz w:val="27"/>
          <w:szCs w:val="27"/>
        </w:rPr>
      </w:pPr>
    </w:p>
    <w:p w:rsidR="00AC5074" w:rsidRPr="00AC5074" w:rsidRDefault="00AC5074" w:rsidP="00AC5074">
      <w:pPr>
        <w:pStyle w:val="NormalWeb"/>
        <w:ind w:left="720"/>
        <w:rPr>
          <w:rFonts w:ascii="Times" w:hAnsi="Times" w:cs="Times"/>
          <w:color w:val="000000"/>
        </w:rPr>
      </w:pPr>
      <w:r>
        <w:rPr>
          <w:rFonts w:ascii="Times" w:hAnsi="Times" w:cs="Times"/>
          <w:color w:val="C82613"/>
          <w:sz w:val="27"/>
          <w:szCs w:val="27"/>
        </w:rPr>
        <w:t>​</w:t>
      </w:r>
      <w:r w:rsidRPr="00AC5074">
        <w:rPr>
          <w:rFonts w:ascii="Times" w:hAnsi="Times" w:cs="Times"/>
          <w:i/>
        </w:rPr>
        <w:t>No, if the implementer can provide a rationale for why countries are poor candidates for the program (eg., small commodity export market) and highly unlikely to be able to be successful partners, those countries could be excluded from the initial assessment.</w:t>
      </w:r>
    </w:p>
    <w:p w:rsidR="00AC5074" w:rsidRPr="00AC5074" w:rsidRDefault="00AC5074" w:rsidP="00AC5074">
      <w:pPr>
        <w:pStyle w:val="NormalWeb"/>
        <w:rPr>
          <w:rFonts w:ascii="Times" w:hAnsi="Times" w:cs="Times"/>
          <w:color w:val="000000"/>
        </w:rPr>
      </w:pPr>
    </w:p>
    <w:p w:rsidR="00AC5074" w:rsidRPr="00AC5074" w:rsidRDefault="00AC5074" w:rsidP="00AC5074">
      <w:pPr>
        <w:pStyle w:val="NormalWeb"/>
        <w:numPr>
          <w:ilvl w:val="0"/>
          <w:numId w:val="3"/>
        </w:numPr>
        <w:rPr>
          <w:rFonts w:ascii="Times" w:hAnsi="Times" w:cs="Times"/>
          <w:color w:val="000000"/>
        </w:rPr>
      </w:pPr>
      <w:r w:rsidRPr="00AC5074">
        <w:rPr>
          <w:rFonts w:ascii="Times" w:hAnsi="Times" w:cs="Times"/>
          <w:color w:val="000000"/>
        </w:rPr>
        <w:t>Of the 18, are there any preliminary priority countries that DoS has identified for Stage 1? </w:t>
      </w:r>
    </w:p>
    <w:p w:rsidR="00AC5074" w:rsidRPr="00AC5074" w:rsidRDefault="00AC5074" w:rsidP="00AC5074">
      <w:pPr>
        <w:pStyle w:val="NormalWeb"/>
        <w:rPr>
          <w:rFonts w:ascii="Times" w:hAnsi="Times" w:cs="Times"/>
          <w:color w:val="000000"/>
        </w:rPr>
      </w:pPr>
    </w:p>
    <w:p w:rsidR="00AC5074" w:rsidRPr="00AC5074" w:rsidRDefault="00AC5074" w:rsidP="00AC5074">
      <w:pPr>
        <w:pStyle w:val="NormalWeb"/>
        <w:ind w:left="720"/>
        <w:rPr>
          <w:rFonts w:ascii="Times" w:hAnsi="Times" w:cs="Times"/>
          <w:i/>
        </w:rPr>
      </w:pPr>
      <w:r w:rsidRPr="00AC5074">
        <w:rPr>
          <w:rFonts w:ascii="Times" w:hAnsi="Times" w:cs="Times"/>
          <w:i/>
        </w:rPr>
        <w:t>We have not identified priority countries. Any country who is a candidate for a successful program should be considered. </w:t>
      </w:r>
    </w:p>
    <w:p w:rsidR="00AC5074" w:rsidRDefault="00AC5074" w:rsidP="00AC5074">
      <w:pPr>
        <w:pStyle w:val="NormalWeb"/>
        <w:rPr>
          <w:rFonts w:ascii="Times" w:hAnsi="Times" w:cs="Times"/>
          <w:color w:val="000000"/>
          <w:sz w:val="27"/>
          <w:szCs w:val="27"/>
        </w:rPr>
      </w:pPr>
    </w:p>
    <w:p w:rsidR="00AC5074" w:rsidRPr="00AC5074" w:rsidRDefault="00AC5074" w:rsidP="00AC5074">
      <w:pPr>
        <w:pStyle w:val="NormalWeb"/>
        <w:numPr>
          <w:ilvl w:val="0"/>
          <w:numId w:val="3"/>
        </w:numPr>
        <w:rPr>
          <w:rFonts w:ascii="Times New Roman" w:hAnsi="Times New Roman" w:cs="Times New Roman"/>
        </w:rPr>
      </w:pPr>
      <w:r w:rsidRPr="00AC5074">
        <w:rPr>
          <w:rFonts w:ascii="Times New Roman" w:hAnsi="Times New Roman" w:cs="Times New Roman"/>
        </w:rPr>
        <w:t>Are countries or jurisdictions that are currently engaged in CJA, VSA or Landscale considered priorities for the project, or is there a preference to engage new jurisdictions that are not working with any of these standards? </w:t>
      </w:r>
    </w:p>
    <w:p w:rsidR="00AC5074" w:rsidRPr="00AC5074" w:rsidRDefault="00AC5074" w:rsidP="00AC5074">
      <w:pPr>
        <w:pStyle w:val="NormalWeb"/>
        <w:rPr>
          <w:rFonts w:ascii="Times New Roman" w:hAnsi="Times New Roman" w:cs="Times New Roman"/>
        </w:rPr>
      </w:pPr>
    </w:p>
    <w:p w:rsidR="00AC5074" w:rsidRPr="00AC5074" w:rsidRDefault="00AC5074" w:rsidP="00AC5074">
      <w:pPr>
        <w:pStyle w:val="NormalWeb"/>
        <w:ind w:left="720"/>
        <w:rPr>
          <w:rFonts w:ascii="Times New Roman" w:hAnsi="Times New Roman" w:cs="Times New Roman"/>
          <w:i/>
        </w:rPr>
      </w:pPr>
      <w:r w:rsidRPr="00AC5074">
        <w:rPr>
          <w:rFonts w:ascii="Times New Roman" w:hAnsi="Times New Roman" w:cs="Times New Roman"/>
          <w:i/>
        </w:rPr>
        <w:lastRenderedPageBreak/>
        <w:t>Jurisdictions pursuing CJA, VSA, or Landscale are likely to present clearer opportunities for engagement but are not priorities per se. </w:t>
      </w:r>
    </w:p>
    <w:p w:rsidR="00AC5074" w:rsidRPr="00AC5074" w:rsidRDefault="00AC5074" w:rsidP="00AC5074">
      <w:pPr>
        <w:pStyle w:val="NormalWeb"/>
        <w:rPr>
          <w:rFonts w:ascii="Times New Roman" w:hAnsi="Times New Roman" w:cs="Times New Roman"/>
        </w:rPr>
      </w:pPr>
    </w:p>
    <w:p w:rsidR="00AC5074" w:rsidRPr="00AC5074" w:rsidRDefault="00AC5074" w:rsidP="00AC5074">
      <w:pPr>
        <w:pStyle w:val="NormalWeb"/>
        <w:numPr>
          <w:ilvl w:val="0"/>
          <w:numId w:val="3"/>
        </w:numPr>
        <w:rPr>
          <w:rFonts w:ascii="Times New Roman" w:hAnsi="Times New Roman" w:cs="Times New Roman"/>
        </w:rPr>
      </w:pPr>
      <w:r w:rsidRPr="00AC5074">
        <w:rPr>
          <w:rFonts w:ascii="Times New Roman" w:hAnsi="Times New Roman" w:cs="Times New Roman"/>
        </w:rPr>
        <w:t>For the readiness assessment, does the implementer determine ‘other variables’ (ref. Example-Table 1), or have these already been determined/will be verified by DoS? Can these variables be shared with applicants for this funding opportunity? </w:t>
      </w:r>
    </w:p>
    <w:p w:rsidR="00AC5074" w:rsidRPr="00AC5074" w:rsidRDefault="00AC5074" w:rsidP="00AC5074">
      <w:pPr>
        <w:pStyle w:val="NormalWeb"/>
        <w:rPr>
          <w:rFonts w:ascii="Times New Roman" w:hAnsi="Times New Roman" w:cs="Times New Roman"/>
        </w:rPr>
      </w:pPr>
    </w:p>
    <w:p w:rsidR="00AC5074" w:rsidRPr="00AC5074" w:rsidRDefault="00AC5074" w:rsidP="00AC5074">
      <w:pPr>
        <w:pStyle w:val="NormalWeb"/>
        <w:ind w:left="720"/>
        <w:rPr>
          <w:rFonts w:ascii="Times New Roman" w:hAnsi="Times New Roman" w:cs="Times New Roman"/>
        </w:rPr>
      </w:pPr>
      <w:r w:rsidRPr="00AC5074">
        <w:rPr>
          <w:rFonts w:ascii="Times New Roman" w:hAnsi="Times New Roman" w:cs="Times New Roman"/>
        </w:rPr>
        <w:t>​</w:t>
      </w:r>
      <w:r w:rsidRPr="00AC5074">
        <w:rPr>
          <w:rFonts w:ascii="Times New Roman" w:hAnsi="Times New Roman" w:cs="Times New Roman"/>
          <w:i/>
        </w:rPr>
        <w:t>These variables will be determined by the implementer through both an understanding of possible additional variables or engagement with CJA, VSA, and Landscale and other relevant stakeholders.</w:t>
      </w:r>
    </w:p>
    <w:p w:rsidR="00AC5074" w:rsidRPr="00AC5074" w:rsidRDefault="00AC5074" w:rsidP="00AC5074">
      <w:pPr>
        <w:pStyle w:val="NormalWeb"/>
        <w:rPr>
          <w:rFonts w:ascii="Times New Roman" w:hAnsi="Times New Roman" w:cs="Times New Roman"/>
        </w:rPr>
      </w:pPr>
    </w:p>
    <w:p w:rsidR="00AC5074" w:rsidRPr="00AC5074" w:rsidRDefault="00AC5074" w:rsidP="00AC5074">
      <w:pPr>
        <w:pStyle w:val="NormalWeb"/>
        <w:numPr>
          <w:ilvl w:val="0"/>
          <w:numId w:val="3"/>
        </w:numPr>
        <w:rPr>
          <w:rFonts w:ascii="Times New Roman" w:hAnsi="Times New Roman" w:cs="Times New Roman"/>
        </w:rPr>
      </w:pPr>
      <w:r w:rsidRPr="00AC5074">
        <w:rPr>
          <w:rFonts w:ascii="Times New Roman" w:hAnsi="Times New Roman" w:cs="Times New Roman"/>
        </w:rPr>
        <w:t>Given that CJA, VSA and Landscale are designed for different jurisdictional scales, will this project focus on one particular scale (e.g. national, sub-national, district, municipal)?</w:t>
      </w:r>
    </w:p>
    <w:p w:rsidR="00AC5074" w:rsidRPr="00AC5074" w:rsidRDefault="00AC5074" w:rsidP="00AC5074">
      <w:pPr>
        <w:pStyle w:val="NormalWeb"/>
        <w:rPr>
          <w:rFonts w:ascii="Times New Roman" w:hAnsi="Times New Roman" w:cs="Times New Roman"/>
        </w:rPr>
      </w:pPr>
    </w:p>
    <w:p w:rsidR="00AC5074" w:rsidRPr="00AC5074" w:rsidRDefault="00AC5074" w:rsidP="00AC5074">
      <w:pPr>
        <w:pStyle w:val="NormalWeb"/>
        <w:ind w:left="720"/>
        <w:rPr>
          <w:rFonts w:ascii="Times New Roman" w:hAnsi="Times New Roman" w:cs="Times New Roman"/>
          <w:i/>
        </w:rPr>
      </w:pPr>
      <w:r w:rsidRPr="00AC5074">
        <w:rPr>
          <w:rFonts w:ascii="Times New Roman" w:hAnsi="Times New Roman" w:cs="Times New Roman"/>
        </w:rPr>
        <w:t>​</w:t>
      </w:r>
      <w:r w:rsidRPr="00AC5074">
        <w:rPr>
          <w:rFonts w:ascii="Times New Roman" w:hAnsi="Times New Roman" w:cs="Times New Roman"/>
          <w:i/>
        </w:rPr>
        <w:t>The program should engage at the appropriate scale to deliver sustainable shifts in capacity to enable participation in sustainable sourcing initiatives.</w:t>
      </w:r>
    </w:p>
    <w:p w:rsidR="00AC5074" w:rsidRPr="00AC5074" w:rsidRDefault="00AC5074" w:rsidP="00AC5074">
      <w:pPr>
        <w:pStyle w:val="NormalWeb"/>
        <w:rPr>
          <w:rFonts w:ascii="Times New Roman" w:hAnsi="Times New Roman" w:cs="Times New Roman"/>
        </w:rPr>
      </w:pPr>
    </w:p>
    <w:p w:rsidR="00AC5074" w:rsidRPr="00AC5074" w:rsidRDefault="00AC5074" w:rsidP="00AC5074">
      <w:pPr>
        <w:pStyle w:val="NormalWeb"/>
        <w:numPr>
          <w:ilvl w:val="0"/>
          <w:numId w:val="3"/>
        </w:numPr>
        <w:rPr>
          <w:rFonts w:ascii="Times New Roman" w:hAnsi="Times New Roman" w:cs="Times New Roman"/>
        </w:rPr>
      </w:pPr>
      <w:r w:rsidRPr="00AC5074">
        <w:rPr>
          <w:rFonts w:ascii="Times New Roman" w:hAnsi="Times New Roman" w:cs="Times New Roman"/>
        </w:rPr>
        <w:t>The notice refers to the selection of “4-5 countries” and “4-5 jurisdictions” interchangeably. In Stage 2, does DoS expect the implementer to assess gaps for one (national or subnational) jurisdiction per country, or is there a possibility that multiple subnational jurisdictions within some of the 4-5 countries will be selected? Is there a possibility that the assessment could focus on multiple states or smaller subnational jurisdictions within a given country, leading to fewer than 4-5 countries overall? </w:t>
      </w:r>
    </w:p>
    <w:p w:rsidR="00AC5074" w:rsidRPr="00AC5074" w:rsidRDefault="00AC5074" w:rsidP="00AC5074">
      <w:pPr>
        <w:pStyle w:val="NormalWeb"/>
        <w:rPr>
          <w:rFonts w:ascii="Times New Roman" w:hAnsi="Times New Roman" w:cs="Times New Roman"/>
        </w:rPr>
      </w:pPr>
    </w:p>
    <w:p w:rsidR="00AC5074" w:rsidRPr="00AC5074" w:rsidRDefault="00AC5074" w:rsidP="00AC5074">
      <w:pPr>
        <w:pStyle w:val="NormalWeb"/>
        <w:ind w:left="720"/>
        <w:rPr>
          <w:rFonts w:ascii="Times New Roman" w:hAnsi="Times New Roman" w:cs="Times New Roman"/>
          <w:i/>
        </w:rPr>
      </w:pPr>
      <w:r w:rsidRPr="00AC5074">
        <w:rPr>
          <w:rFonts w:ascii="Times New Roman" w:hAnsi="Times New Roman" w:cs="Times New Roman"/>
          <w:i/>
        </w:rPr>
        <w:t>It is envisioned that the implementer will work in 4-5 countries. If resources allow, multiple subnational jurisdictions within those countries could be part of the program implementation.</w:t>
      </w:r>
    </w:p>
    <w:p w:rsidR="00AC5074" w:rsidRPr="00AC5074" w:rsidRDefault="00AC5074" w:rsidP="00AC5074">
      <w:pPr>
        <w:pStyle w:val="NormalWeb"/>
        <w:rPr>
          <w:rFonts w:ascii="Times New Roman" w:hAnsi="Times New Roman" w:cs="Times New Roman"/>
        </w:rPr>
      </w:pPr>
    </w:p>
    <w:p w:rsidR="00AC5074" w:rsidRPr="00AC5074" w:rsidRDefault="00AC5074" w:rsidP="00AC5074">
      <w:pPr>
        <w:pStyle w:val="NormalWeb"/>
        <w:numPr>
          <w:ilvl w:val="0"/>
          <w:numId w:val="3"/>
        </w:numPr>
        <w:rPr>
          <w:rFonts w:ascii="Times New Roman" w:hAnsi="Times New Roman" w:cs="Times New Roman"/>
        </w:rPr>
      </w:pPr>
      <w:r w:rsidRPr="00AC5074">
        <w:rPr>
          <w:rFonts w:ascii="Times New Roman" w:hAnsi="Times New Roman" w:cs="Times New Roman"/>
        </w:rPr>
        <w:t>Since engagement between jurisdictions and commodity companies/corporations is a key aspect of the Action Plans, does DoS have a preference for which segments of the commodity value/supply chain the implementer should focus its engagement with? (e.g. producers, commodity traders, consumer goods companies)</w:t>
      </w:r>
    </w:p>
    <w:p w:rsidR="00AC5074" w:rsidRPr="00AC5074" w:rsidRDefault="00AC5074" w:rsidP="00AC5074">
      <w:pPr>
        <w:rPr>
          <w:rFonts w:ascii="Times New Roman" w:hAnsi="Times New Roman" w:cs="Times New Roman"/>
        </w:rPr>
      </w:pPr>
    </w:p>
    <w:p w:rsidR="00AC5074" w:rsidRPr="00AC5074" w:rsidRDefault="00AC5074" w:rsidP="00AC5074">
      <w:pPr>
        <w:ind w:left="720"/>
        <w:rPr>
          <w:rFonts w:ascii="Times New Roman" w:hAnsi="Times New Roman" w:cs="Times New Roman"/>
          <w:i/>
        </w:rPr>
      </w:pPr>
      <w:r w:rsidRPr="00AC5074">
        <w:rPr>
          <w:rFonts w:ascii="Times New Roman" w:hAnsi="Times New Roman" w:cs="Times New Roman"/>
          <w:i/>
        </w:rPr>
        <w:t>The implementer should engage with the appropriate segments of the supply chain to improve a jurisdiction's ability to participate in jurisdictional sourcing initiatives.</w:t>
      </w:r>
    </w:p>
    <w:p w:rsidR="00AC5074" w:rsidRDefault="00AC5074"/>
    <w:sectPr w:rsidR="00AC50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3A1" w:rsidRDefault="00B153A1" w:rsidP="00B153A1">
      <w:r>
        <w:separator/>
      </w:r>
    </w:p>
  </w:endnote>
  <w:endnote w:type="continuationSeparator" w:id="0">
    <w:p w:rsidR="00B153A1" w:rsidRDefault="00B153A1" w:rsidP="00B15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3A1" w:rsidRDefault="00B153A1" w:rsidP="00B153A1">
      <w:r>
        <w:separator/>
      </w:r>
    </w:p>
  </w:footnote>
  <w:footnote w:type="continuationSeparator" w:id="0">
    <w:p w:rsidR="00B153A1" w:rsidRDefault="00B153A1" w:rsidP="00B153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27377"/>
    <w:multiLevelType w:val="multilevel"/>
    <w:tmpl w:val="F1BECA8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EA35310"/>
    <w:multiLevelType w:val="multilevel"/>
    <w:tmpl w:val="9BC43CA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AC264EF"/>
    <w:multiLevelType w:val="multilevel"/>
    <w:tmpl w:val="C172B1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3A1"/>
    <w:rsid w:val="001A765E"/>
    <w:rsid w:val="001E1B1D"/>
    <w:rsid w:val="002E7E6D"/>
    <w:rsid w:val="00486236"/>
    <w:rsid w:val="00615166"/>
    <w:rsid w:val="009A3C14"/>
    <w:rsid w:val="00AC5074"/>
    <w:rsid w:val="00B153A1"/>
    <w:rsid w:val="00B82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56C5F"/>
  <w15:chartTrackingRefBased/>
  <w15:docId w15:val="{544EB649-9581-46D5-9D16-E488D4E8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C14"/>
    <w:pPr>
      <w:spacing w:after="0" w:line="240" w:lineRule="auto"/>
    </w:pPr>
    <w:rPr>
      <w:rFonts w:ascii="MS PGothic" w:eastAsia="MS PGothic" w:hAnsi="MS PGothic" w:cs="MS PGothic"/>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3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318509">
      <w:bodyDiv w:val="1"/>
      <w:marLeft w:val="0"/>
      <w:marRight w:val="0"/>
      <w:marTop w:val="0"/>
      <w:marBottom w:val="0"/>
      <w:divBdr>
        <w:top w:val="none" w:sz="0" w:space="0" w:color="auto"/>
        <w:left w:val="none" w:sz="0" w:space="0" w:color="auto"/>
        <w:bottom w:val="none" w:sz="0" w:space="0" w:color="auto"/>
        <w:right w:val="none" w:sz="0" w:space="0" w:color="auto"/>
      </w:divBdr>
    </w:div>
    <w:div w:id="1127547974">
      <w:bodyDiv w:val="1"/>
      <w:marLeft w:val="0"/>
      <w:marRight w:val="0"/>
      <w:marTop w:val="0"/>
      <w:marBottom w:val="0"/>
      <w:divBdr>
        <w:top w:val="none" w:sz="0" w:space="0" w:color="auto"/>
        <w:left w:val="none" w:sz="0" w:space="0" w:color="auto"/>
        <w:bottom w:val="none" w:sz="0" w:space="0" w:color="auto"/>
        <w:right w:val="none" w:sz="0" w:space="0" w:color="auto"/>
      </w:divBdr>
    </w:div>
    <w:div w:id="213937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Emily E</dc:creator>
  <cp:keywords/>
  <dc:description/>
  <cp:lastModifiedBy>Meghan Grzelak</cp:lastModifiedBy>
  <cp:revision>4</cp:revision>
  <dcterms:created xsi:type="dcterms:W3CDTF">2020-06-19T18:03:00Z</dcterms:created>
  <dcterms:modified xsi:type="dcterms:W3CDTF">2020-06-26T21:45:00Z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HallEE@state.gov</vt:lpwstr>
  </property>
  <property fmtid="{D5CDD505-2E9C-101B-9397-08002B2CF9AE}" pid="5" name="MSIP_Label_1665d9ee-429a-4d5f-97cc-cfb56e044a6e_SetDate">
    <vt:lpwstr>2020-06-19T15:24:43.3190411Z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79da9e6c-9c1c-4a75-be28-acd2beace61a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