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CD2CFD" w:rsidRPr="0009235F" w:rsidRDefault="00CD2CFD" w:rsidP="00FF207B">
                            <w:pPr>
                              <w:jc w:val="center"/>
                              <w:rPr>
                                <w:b/>
                                <w:sz w:val="28"/>
                                <w:szCs w:val="28"/>
                              </w:rPr>
                            </w:pPr>
                            <w:r>
                              <w:rPr>
                                <w:b/>
                                <w:sz w:val="28"/>
                                <w:szCs w:val="28"/>
                              </w:rPr>
                              <w:t>NPS Heritage Initiatives Knowledge T</w:t>
                            </w:r>
                            <w:r w:rsidRPr="00DB0EC4">
                              <w:rPr>
                                <w:b/>
                                <w:sz w:val="28"/>
                                <w:szCs w:val="28"/>
                              </w:rPr>
                              <w:t>ransfer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CD2CFD" w:rsidRPr="0009235F" w:rsidRDefault="00CD2CFD" w:rsidP="00FF207B">
                      <w:pPr>
                        <w:jc w:val="center"/>
                        <w:rPr>
                          <w:b/>
                          <w:sz w:val="28"/>
                          <w:szCs w:val="28"/>
                        </w:rPr>
                      </w:pPr>
                      <w:r>
                        <w:rPr>
                          <w:b/>
                          <w:sz w:val="28"/>
                          <w:szCs w:val="28"/>
                        </w:rPr>
                        <w:t>NPS Heritage Initiatives Knowledge T</w:t>
                      </w:r>
                      <w:r w:rsidRPr="00DB0EC4">
                        <w:rPr>
                          <w:b/>
                          <w:sz w:val="28"/>
                          <w:szCs w:val="28"/>
                        </w:rPr>
                        <w:t>ransfer</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54 USC Sec. 101702(a)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CD2CFD" w:rsidRDefault="00CD2CFD" w:rsidP="008156E7">
      <w:pPr>
        <w:pStyle w:val="NoSpacing"/>
        <w:jc w:val="center"/>
        <w:rPr>
          <w:b/>
          <w:caps/>
        </w:rPr>
      </w:pPr>
      <w:r w:rsidRPr="00CD2CFD">
        <w:rPr>
          <w:b/>
          <w:caps/>
        </w:rPr>
        <w:t>P15AS00378</w:t>
      </w:r>
    </w:p>
    <w:p w:rsidR="006450DD" w:rsidRDefault="006450DD" w:rsidP="008156E7">
      <w:pPr>
        <w:pStyle w:val="NoSpacing"/>
        <w:jc w:val="center"/>
        <w:rPr>
          <w:caps/>
        </w:rPr>
      </w:pPr>
    </w:p>
    <w:p w:rsidR="000B360E" w:rsidRDefault="000B360E" w:rsidP="008156E7">
      <w:pPr>
        <w:pStyle w:val="NoSpacing"/>
        <w:jc w:val="center"/>
        <w:rPr>
          <w:caps/>
        </w:rPr>
      </w:pPr>
      <w:r>
        <w:rPr>
          <w:caps/>
        </w:rPr>
        <w:t>CFDA No.</w:t>
      </w:r>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CD2CFD">
        <w:t>September 2,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CD2CFD"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CD2CFD">
              <w:rPr>
                <w:rFonts w:eastAsia="Times New Roman" w:cs="Times New Roman"/>
                <w:b/>
                <w:sz w:val="28"/>
                <w:szCs w:val="24"/>
              </w:rPr>
              <w:t>CLOSING DATE &amp; TIME</w:t>
            </w:r>
          </w:p>
          <w:p w:rsidR="000B360E" w:rsidRPr="000B360E" w:rsidRDefault="00CD2CFD" w:rsidP="00CD2CFD">
            <w:pPr>
              <w:widowControl w:val="0"/>
              <w:autoSpaceDE w:val="0"/>
              <w:autoSpaceDN w:val="0"/>
              <w:adjustRightInd w:val="0"/>
              <w:spacing w:after="0" w:line="360" w:lineRule="auto"/>
              <w:jc w:val="center"/>
              <w:rPr>
                <w:rFonts w:eastAsia="Times New Roman" w:cs="Times New Roman"/>
                <w:b/>
                <w:szCs w:val="24"/>
              </w:rPr>
            </w:pPr>
            <w:r w:rsidRPr="00CD2CFD">
              <w:rPr>
                <w:rFonts w:eastAsia="Times New Roman" w:cs="Times New Roman"/>
                <w:b/>
                <w:szCs w:val="24"/>
              </w:rPr>
              <w:t>September 12</w:t>
            </w:r>
            <w:r w:rsidR="00CA7159" w:rsidRPr="00CD2CFD">
              <w:rPr>
                <w:rFonts w:eastAsia="Times New Roman" w:cs="Times New Roman"/>
                <w:b/>
                <w:szCs w:val="24"/>
              </w:rPr>
              <w:t>, 201</w:t>
            </w:r>
            <w:r w:rsidR="00E25ECD" w:rsidRPr="00CD2CFD">
              <w:rPr>
                <w:rFonts w:eastAsia="Times New Roman" w:cs="Times New Roman"/>
                <w:b/>
                <w:szCs w:val="24"/>
              </w:rPr>
              <w:t>5</w:t>
            </w:r>
            <w:r w:rsidR="000B360E" w:rsidRPr="00CD2CFD">
              <w:rPr>
                <w:rFonts w:eastAsia="Times New Roman" w:cs="Times New Roman"/>
                <w:b/>
                <w:szCs w:val="24"/>
              </w:rPr>
              <w:t xml:space="preserve">, </w:t>
            </w:r>
            <w:r w:rsidRPr="00CD2CFD">
              <w:rPr>
                <w:rFonts w:eastAsia="Times New Roman" w:cs="Times New Roman"/>
                <w:b/>
                <w:szCs w:val="24"/>
              </w:rPr>
              <w:t>10:00</w:t>
            </w:r>
            <w:r w:rsidR="000B360E" w:rsidRPr="00CD2CFD">
              <w:rPr>
                <w:rFonts w:eastAsia="Times New Roman" w:cs="Times New Roman"/>
                <w:b/>
                <w:szCs w:val="24"/>
              </w:rPr>
              <w:t xml:space="preserve"> </w:t>
            </w:r>
            <w:r w:rsidRPr="00CD2CFD">
              <w:rPr>
                <w:rFonts w:eastAsia="Times New Roman" w:cs="Times New Roman"/>
                <w:b/>
                <w:szCs w:val="24"/>
              </w:rPr>
              <w:t>a</w:t>
            </w:r>
            <w:r w:rsidR="000B360E" w:rsidRPr="00CD2CFD">
              <w:rPr>
                <w:rFonts w:eastAsia="Times New Roman" w:cs="Times New Roman"/>
                <w:b/>
                <w:szCs w:val="24"/>
              </w:rPr>
              <w:t xml:space="preserve">.m., Eastern </w:t>
            </w:r>
            <w:r w:rsidRPr="00CD2CFD">
              <w:rPr>
                <w:rFonts w:eastAsia="Times New Roman" w:cs="Times New Roman"/>
                <w:b/>
                <w:szCs w:val="24"/>
              </w:rPr>
              <w:t>Standard</w:t>
            </w:r>
            <w:r w:rsidR="006F4D59" w:rsidRPr="00CD2CFD">
              <w:rPr>
                <w:rFonts w:eastAsia="Times New Roman" w:cs="Times New Roman"/>
                <w:b/>
                <w:szCs w:val="24"/>
              </w:rPr>
              <w:t xml:space="preserve"> </w:t>
            </w:r>
            <w:r w:rsidR="000B360E" w:rsidRPr="00CD2CFD">
              <w:rPr>
                <w:rFonts w:eastAsia="Times New Roman" w:cs="Times New Roman"/>
                <w:b/>
                <w:szCs w:val="24"/>
              </w:rPr>
              <w:t>Time</w:t>
            </w:r>
            <w:bookmarkStart w:id="0" w:name="_GoBack"/>
            <w:bookmarkEnd w:id="0"/>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DB0EC4" w:rsidRDefault="00B31BED" w:rsidP="00DB0EC4">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DB0EC4">
        <w:rPr>
          <w:rFonts w:eastAsia="Times New Roman" w:cs="Times New Roman"/>
          <w:szCs w:val="24"/>
        </w:rPr>
        <w:t xml:space="preserve">The </w:t>
      </w:r>
      <w:r w:rsidR="00DB0EC4" w:rsidRPr="00DB0EC4">
        <w:rPr>
          <w:rFonts w:eastAsia="Times New Roman" w:cs="Times New Roman"/>
          <w:szCs w:val="24"/>
        </w:rPr>
        <w:t>cooperator, in collaboration with NPS staff, will develop a process and model products for transferring the knowledge embedded in National Historic Landmark theme studies into thematic interpretive products for the use of parks as well as partners.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Background</w:t>
      </w:r>
      <w:r w:rsidRPr="00DB0EC4">
        <w:rPr>
          <w:rFonts w:eastAsia="Times New Roman" w:cs="Times New Roman"/>
          <w:szCs w:val="24"/>
        </w:rPr>
        <w:t>:</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The National Park Service Cultural Resource programs produce a broad range of research products relevant to both parks and communities. These programs, including the National Historic Landmark (NHL) program, the National Register of Historic Places (NRHP), Historic American Buildings Survey (HABS), Historic American Engineering Record (HAER), and Historic American Landscapes Survey (HALS), produce extensive high quality documentation; however, much of it remains unknown to park interpreters who frequently require up-to-date scholarly research to improve and expand interpretive products.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NPS has four current heritage initiatives (Latino, Asian American Pacific Islander, Women’s History, and LGBTQ). Each of these has two main objectives: 1. to increase representation of places associated with the histories of these groups in the National Register of Historic Places and as National Historic Landmarks and 2. to improve and expand interpretation about these groups within national park units.  The Latino theme study was completed in 2013. The AAPI and LGBTQ theme studies are scheduled for completion in mid-2016.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In 2011 the Organization of American Historians (OAH) released a report, </w:t>
      </w:r>
      <w:r w:rsidRPr="00DB0EC4">
        <w:rPr>
          <w:rFonts w:eastAsia="Times New Roman" w:cs="Times New Roman"/>
          <w:i/>
          <w:szCs w:val="24"/>
        </w:rPr>
        <w:t>Imperiled Promise: The State of History in the National Park Service</w:t>
      </w:r>
      <w:r w:rsidRPr="00DB0EC4">
        <w:rPr>
          <w:rFonts w:eastAsia="Times New Roman" w:cs="Times New Roman"/>
          <w:szCs w:val="24"/>
        </w:rPr>
        <w:t>, which makes recommendations about the practice and presentation of history in the National Park Service.  That report calls for much better integration of research and interpretation to improve the quality and representativeness of what visitors can learn about the past and its meaning.  Although the OAH focuses on history, the recommendations are applicable to all of the cultural resource fields, including archeology.  It is important for the cooperator to take a very broad view of history in this project and consider all of cultural resources, not only the specific work done by those in the career field of history.</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This project supports the Cultural Resources Challenge goal to tell all Americans’ stories and supports the spirit of the ONE NPS objective -- articulated in the NPS Urban Agenda -- to thoroughly integrate parks and programs. We’ve identified the need for assistance from a university with highly regarded public history program that takes a broad view of the past to include archeology.  We are mindful of the NPS need to explore and adapt cutting-edge approaches and processes from the academic world as well as the need to increase the capacity of public historians in academia to work effectively with the National Park Service, particularly with the NPS emphasis on relevance, diversity and inclusion.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The Public History Program at Middle Tennessee State University strives to produce graduates who are prepared to meet the rigors of professional practice in historic preservation, public archaeology, museum management, archival management, and oral history. Toward that end, the curriculum, which is seated in the discipline of history, integrates experiential learning and the principles of reflective practice with scholarly knowledge. Professional development courses are designed to meet or exceed the guidelines for graduate study promulgated by professional organizations in the five named arenas of practice.</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  </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Middle Tennessee State University’s graduate programs in public history are distinctive in including significant coursework and faculty-led projects in archaeology. Public archaeology graduate courses focus on preparation for interdisciplinary partnerships, in which graduates must be conversant across related fields that share the responsibility for curating and interpreting archaeological collections in the public interest in compliance with heritage legislation. Overlapping best practices, legal obligations, and professional ethics among archaeologists, public historians, museum and collections managers, cultural resource managers, and historic preservationists are emphasized in terms of their role in guiding collaborative interpretive efforts with descendant communities who have experienced marginalization within traditional historical narratives.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The majority of MTSU’s doctoral students have substantial professional experience working on sites of heritage tourism, including museums and historic buildings and landscapes. With the stated aim of using material evidence to produce more inclusive and representative portrayals of the past, MTSU Public History courses in archaeology challenge students to apply their interdisciplinary training in creating exhibits, tours, and other public content to the dissemination of archaeological evidence. Those who focus on archaeology within MTSU’s Program in Public History receive practical training in field and lab methods, community engagement, archaeological reporting for state and federal agencies, and the </w:t>
      </w:r>
      <w:r w:rsidRPr="00DB0EC4">
        <w:rPr>
          <w:rFonts w:eastAsia="Times New Roman" w:cs="Times New Roman"/>
          <w:szCs w:val="24"/>
        </w:rPr>
        <w:lastRenderedPageBreak/>
        <w:t xml:space="preserve">curation of archaeological collections to professional standards. Along with a foundational understanding of archaeological evidence and methodology, MTSU graduate seminars review scholarly discussions of the interpretation of patterns in landscape and material culture and public criticism of archaeological practice and exhibitions.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DB0EC4" w:rsidP="00DB0EC4">
      <w:pPr>
        <w:widowControl w:val="0"/>
        <w:autoSpaceDE w:val="0"/>
        <w:autoSpaceDN w:val="0"/>
        <w:adjustRightInd w:val="0"/>
        <w:spacing w:after="0" w:line="240" w:lineRule="auto"/>
        <w:rPr>
          <w:rFonts w:eastAsia="Times New Roman" w:cs="Times New Roman"/>
          <w:szCs w:val="24"/>
        </w:rPr>
      </w:pPr>
      <w:bookmarkStart w:id="1" w:name="h.wnjxw5eycwto" w:colFirst="0" w:colLast="0"/>
      <w:bookmarkEnd w:id="1"/>
      <w:r w:rsidRPr="00DB0EC4">
        <w:rPr>
          <w:rFonts w:eastAsia="Times New Roman" w:cs="Times New Roman"/>
          <w:szCs w:val="24"/>
        </w:rPr>
        <w:t xml:space="preserve">Recognizing that professional standards and best practices are constantly evolving, the Public History Program also partners with on- and off-campus centers and organizations to develop short-term and long-term projects that produce tangible public history products.  Partners include Stones River National Battlefield and the Tennessee Civil War Heritage Area, which is administered by the MTSU Center for Historic Preservation.  Master’s students additionally serve an internship with a partnering agency to help develop professional skills suitable for entry-level positions.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 </w:t>
      </w:r>
    </w:p>
    <w:p w:rsidR="00DB0EC4" w:rsidRDefault="00DB0EC4" w:rsidP="00DB0EC4">
      <w:pPr>
        <w:widowControl w:val="0"/>
        <w:autoSpaceDE w:val="0"/>
        <w:autoSpaceDN w:val="0"/>
        <w:adjustRightInd w:val="0"/>
        <w:spacing w:after="0" w:line="240" w:lineRule="auto"/>
        <w:rPr>
          <w:rFonts w:eastAsia="Times New Roman" w:cs="Times New Roman"/>
          <w:szCs w:val="24"/>
        </w:rPr>
      </w:pPr>
      <w:bookmarkStart w:id="2" w:name="h.l206iotuvdsp" w:colFirst="0" w:colLast="0"/>
      <w:bookmarkEnd w:id="2"/>
      <w:r w:rsidRPr="00DB0EC4">
        <w:rPr>
          <w:rFonts w:eastAsia="Times New Roman" w:cs="Times New Roman"/>
          <w:szCs w:val="24"/>
        </w:rPr>
        <w:t xml:space="preserve">A particularly distinctive and important aspect of the MTSU Program in Public History is that doctoral candidates, who are expected to develop professional skills at the management level, devote the third year of their studies to a professional residency at a host institution, during which time they produce a major work product under the guidance of an experienced mentor.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bookmarkStart w:id="3" w:name="h.gjdgxs" w:colFirst="0" w:colLast="0"/>
      <w:bookmarkEnd w:id="3"/>
      <w:r w:rsidRPr="00DB0EC4">
        <w:rPr>
          <w:rFonts w:eastAsia="Times New Roman" w:cs="Times New Roman"/>
          <w:szCs w:val="24"/>
        </w:rPr>
        <w:t>NPS staff in cultural resources and interpretation are ideal mentors for a Ph.D. student resident (Resident), who will gain valuable career experience while meeting mission objectives of the Service.</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Default="00B31BED" w:rsidP="00DB0EC4">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r w:rsidR="00DB0EC4" w:rsidRPr="00DB0EC4">
        <w:rPr>
          <w:rFonts w:eastAsia="Times New Roman" w:cs="Times New Roman"/>
          <w:szCs w:val="24"/>
        </w:rPr>
        <w:t xml:space="preserve">NPS staff will work with the Resident to refine specific tasks and will supervise, provide timely assistance and review, and assess progress throughout the project. Key NPS staff will serves to mentor the Resident in the successful completion of their residency. Briefly, the tasks are the following.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1. Analyze</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Analyze and compare structure and content of both NHL theme studies and common interpretive and educational frameworks.  Such frameworks may be NPS-specific, such as the Interpretive Design Research Framework currently nearing completion, and the Teaching with Historic Places (TwHP) program, which develops lesson plans about historic places that are listed in the National Register of Historic Places.  Frameworks may also be successful models developed and implemented outside of NPS but appropriate and promising for NPS use.</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Critically assess ways in which NPS has experimented with drawing on the Latino theme study for interpretive and educational products and draw lessons from those experiences for an effective and replicable process.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2. Develop phase one.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a.  Develop a draft process for creating interpretive products from the NHL theme studies produced for the Heritage Initiatives (Latino, Asian American Pacific Islander, and LGBTQ).  Include evaluation criteria and process for evaluation and refinement.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b.  Develop recommendations for a schedule and required work effort to carry out the process.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c.  Develop a pilot set of interpretive products based on theme studies.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d.  Provide overview and guidance for field testing of pilot products, including evaluation criteria and evaluation process..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e.  Oversee field testing and evaluation of pilot products.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3. Evaluate and refine results of phase one.</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Evaluate results of testing pilot products according to evaluation criteria and process. Incorporate results of evaluation into process and products.  Perform an additional round of field tests with refined products.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lastRenderedPageBreak/>
        <w:t>4. Develop phase two</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Using the results of evaluation, develop an additional set of interpretive products based on the theme studies.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5. Finalize</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Finalize process, products, and recommendations to NPS for next steps.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b/>
          <w:szCs w:val="24"/>
        </w:rPr>
        <w:t>ROLE OF COOPERATOR IN THIS PROJECT:</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The Cooperator will:</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1. Collaboratively undertake project work entitled, “NPS Heritage Initiatives knowledge transfer.”</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2. Appoint Dr. Kathryn Sikes as Principal Investigator (PI)</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3. In collaboration with NPS project representatives, the PIs will select an appropriate Ph.D. student to dedicate their year of residency to this project (referred to as “Resident”.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Resident, in collaboration with NPS project representatives and PI, will conduct Project Tasks 1-5.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Resident will commence work September 1, 2016 and finalize project by May 30, 2017. Task benchmarks will be adjusted as necessary during the course of the project.</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Resident will follow all rules and procedures necessitated by using federal equipment and occupying federal facilities. Residency is contingent upon a successfully completed security background check.</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Resident will acknowledge the NPS and the Southern Appalachian CESU in any peer-reviewed publication generated from this project. Resident is free to use the products they create and acknowledges that products produced as part of the residency are the property of NPS.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Pr>
          <w:rFonts w:eastAsia="Times New Roman" w:cs="Times New Roman"/>
          <w:szCs w:val="24"/>
        </w:rPr>
        <w:t>4. P</w:t>
      </w:r>
      <w:r w:rsidRPr="00DB0EC4">
        <w:rPr>
          <w:rFonts w:eastAsia="Times New Roman" w:cs="Times New Roman"/>
          <w:szCs w:val="24"/>
        </w:rPr>
        <w:t>rovide Resident academic support through monthly check-ins.  Resident participates in the Public History Program’s residency seminar and uses that learning to enrich and improve their project.</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b/>
          <w:szCs w:val="24"/>
        </w:rPr>
        <w:t>ROLE OF NPS IN THIS PROJECT:</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The NPS will:</w:t>
      </w: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Provide financial assistance to the Cooperator as specified in the Agreement.  Tuition and stipend for Resident totals $24,300.</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Designate Stephen P. Cussen as the Agreement Technical Representative (ATR)</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 xml:space="preserve">Designate one or more NPS project representatives (from the Cultural Resources and Interpretation, Education and Volunteers associateships) to mentor Resident.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 xml:space="preserve">Fund and facilitate the necessary security background check and work with Resident for successful onboarding to work in federal facility.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Collaboratively assist with Project Tasks 1-5 with information, contacts, and resources. Provide timely and comprehensive review of draft materials.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pStyle w:val="ListParagraph"/>
        <w:widowControl w:val="0"/>
        <w:numPr>
          <w:ilvl w:val="0"/>
          <w:numId w:val="15"/>
        </w:numPr>
        <w:autoSpaceDE w:val="0"/>
        <w:autoSpaceDN w:val="0"/>
        <w:adjustRightInd w:val="0"/>
        <w:spacing w:after="0" w:line="240" w:lineRule="auto"/>
        <w:ind w:left="360"/>
        <w:rPr>
          <w:rFonts w:eastAsia="Times New Roman" w:cs="Times New Roman"/>
          <w:szCs w:val="24"/>
        </w:rPr>
      </w:pPr>
      <w:r w:rsidRPr="00DB0EC4">
        <w:rPr>
          <w:rFonts w:eastAsia="Times New Roman" w:cs="Times New Roman"/>
          <w:szCs w:val="24"/>
        </w:rPr>
        <w:t>Provide a workstation with appropriate equipment (computer, software, office supplies, telephone).</w:t>
      </w:r>
    </w:p>
    <w:p w:rsidR="00490353" w:rsidRDefault="00490353" w:rsidP="00DB0EC4">
      <w:pPr>
        <w:widowControl w:val="0"/>
        <w:autoSpaceDE w:val="0"/>
        <w:autoSpaceDN w:val="0"/>
        <w:adjustRightInd w:val="0"/>
        <w:spacing w:after="0" w:line="240" w:lineRule="auto"/>
        <w:rPr>
          <w:rFonts w:eastAsia="Times New Roman" w:cs="Times New Roman"/>
          <w:szCs w:val="24"/>
        </w:rPr>
      </w:pPr>
    </w:p>
    <w:p w:rsidR="00DB0EC4" w:rsidRDefault="00B31BED" w:rsidP="00DB0EC4">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lastRenderedPageBreak/>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p>
    <w:p w:rsid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1. Clearly stated and feasible method and process for creating interpretive products from NHL theme studies.</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2. Interpretive products based on one or more of the Latino, AAPI and LGBTQ theme studies. The nature and number of products will be determined collaboratively as the project progresses.</w:t>
      </w:r>
    </w:p>
    <w:p w:rsidR="00DB0EC4" w:rsidRDefault="00DB0EC4" w:rsidP="00DB0EC4">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The period of performance shall be from January 3, 2016 to September 30, 2017.  </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 master schedule for the project denotes the milestones of products (including draft documents), project implementation phases and work periods. This master schedule will be due at the project kick-off meeting.</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 xml:space="preserve">Draft milestones are as follows.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January 2016 - notice to proceed, kick-off meeting</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May 2016 - selection of student finalized</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August 2016 - student presents residency proposal; NPS representatives, PI and Resident meet to finalize details.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September 2016 - task 1</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December 2016 - task 2</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January 2017 - task 3</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April 2017 - task 4</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May 2017 - task 5</w:t>
      </w:r>
    </w:p>
    <w:p w:rsidR="00DB0EC4" w:rsidRDefault="00DB0EC4" w:rsidP="00DB0EC4">
      <w:pPr>
        <w:widowControl w:val="0"/>
        <w:autoSpaceDE w:val="0"/>
        <w:autoSpaceDN w:val="0"/>
        <w:adjustRightInd w:val="0"/>
        <w:spacing w:after="0" w:line="240" w:lineRule="auto"/>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Standard office workstation.</w:t>
      </w:r>
    </w:p>
    <w:p w:rsidR="00DB0EC4" w:rsidRDefault="00DB0EC4" w:rsidP="00DB0EC4">
      <w:pPr>
        <w:widowControl w:val="0"/>
        <w:autoSpaceDE w:val="0"/>
        <w:autoSpaceDN w:val="0"/>
        <w:adjustRightInd w:val="0"/>
        <w:spacing w:after="0" w:line="240" w:lineRule="auto"/>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DB0EC4">
      <w:pPr>
        <w:widowControl w:val="0"/>
        <w:autoSpaceDE w:val="0"/>
        <w:autoSpaceDN w:val="0"/>
        <w:adjustRightInd w:val="0"/>
        <w:spacing w:after="0" w:line="240" w:lineRule="auto"/>
        <w:rPr>
          <w:rFonts w:eastAsia="Times New Roman" w:cs="Times New Roman"/>
          <w:szCs w:val="24"/>
        </w:rPr>
      </w:pP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155EBB">
        <w:rPr>
          <w:rFonts w:eastAsia="Times New Roman" w:cs="Times New Roman"/>
          <w:b/>
          <w:szCs w:val="24"/>
        </w:rPr>
        <w:t>ATR Name:</w:t>
      </w:r>
      <w:r w:rsidRPr="00DB0EC4">
        <w:rPr>
          <w:rFonts w:eastAsia="Times New Roman" w:cs="Times New Roman"/>
          <w:szCs w:val="24"/>
        </w:rPr>
        <w:t xml:space="preserve"> Stephen P. Cussen</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Address:1201 Eye Street, NW #2204</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Washington, D.C. 20005</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Office Phone: (202)354-2245</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E-mail: stephen_cussen@nps.gov</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DB0EC4" w:rsidRPr="00155EBB" w:rsidRDefault="00DB0EC4" w:rsidP="00DB0EC4">
      <w:pPr>
        <w:widowControl w:val="0"/>
        <w:autoSpaceDE w:val="0"/>
        <w:autoSpaceDN w:val="0"/>
        <w:adjustRightInd w:val="0"/>
        <w:spacing w:after="0" w:line="240" w:lineRule="auto"/>
        <w:rPr>
          <w:rFonts w:eastAsia="Times New Roman" w:cs="Times New Roman"/>
          <w:b/>
          <w:szCs w:val="24"/>
        </w:rPr>
      </w:pPr>
      <w:r w:rsidRPr="00155EBB">
        <w:rPr>
          <w:rFonts w:eastAsia="Times New Roman" w:cs="Times New Roman"/>
          <w:b/>
          <w:szCs w:val="24"/>
        </w:rPr>
        <w:t xml:space="preserve">NPS representative: </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Barbara Little</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Program Manager, Cultural Resources Office of Outreach and Education</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Address:1201 Eye Street, NW #2204</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Washington, D.C. 20005</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Office Phone: (202)354-2130</w:t>
      </w:r>
    </w:p>
    <w:p w:rsidR="00DB0EC4" w:rsidRDefault="00DB0EC4" w:rsidP="00DB0EC4">
      <w:pPr>
        <w:widowControl w:val="0"/>
        <w:autoSpaceDE w:val="0"/>
        <w:autoSpaceDN w:val="0"/>
        <w:adjustRightInd w:val="0"/>
        <w:spacing w:after="0" w:line="240" w:lineRule="auto"/>
        <w:rPr>
          <w:rFonts w:eastAsia="Times New Roman" w:cs="Times New Roman"/>
          <w:szCs w:val="24"/>
        </w:rPr>
      </w:pPr>
      <w:r w:rsidRPr="00DB0EC4">
        <w:rPr>
          <w:rFonts w:eastAsia="Times New Roman" w:cs="Times New Roman"/>
          <w:szCs w:val="24"/>
        </w:rPr>
        <w:t>barbara_little@nps.gov</w:t>
      </w:r>
    </w:p>
    <w:p w:rsidR="00DB0EC4" w:rsidRPr="00DB0EC4" w:rsidRDefault="00DB0EC4" w:rsidP="00DB0EC4">
      <w:pPr>
        <w:widowControl w:val="0"/>
        <w:autoSpaceDE w:val="0"/>
        <w:autoSpaceDN w:val="0"/>
        <w:adjustRightInd w:val="0"/>
        <w:spacing w:after="0" w:line="240" w:lineRule="auto"/>
        <w:rPr>
          <w:rFonts w:eastAsia="Times New Roman" w:cs="Times New Roman"/>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r w:rsidRPr="000F2E9D">
        <w:rPr>
          <w:rFonts w:eastAsia="Times New Roman" w:cs="Times New Roman"/>
          <w:b/>
          <w:szCs w:val="24"/>
        </w:rPr>
        <w:lastRenderedPageBreak/>
        <w:t>SECTION II.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Estimated Total Program Funding:  </w:t>
      </w:r>
      <w:r w:rsidRPr="00155EBB">
        <w:rPr>
          <w:rFonts w:eastAsia="Times New Roman" w:cs="Times New Roman"/>
          <w:szCs w:val="24"/>
        </w:rPr>
        <w:t>$</w:t>
      </w:r>
      <w:r w:rsidR="00155EBB" w:rsidRPr="00155EBB">
        <w:rPr>
          <w:rFonts w:eastAsia="Times New Roman" w:cs="Times New Roman"/>
          <w:szCs w:val="24"/>
        </w:rPr>
        <w:t>28,553.00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r w:rsidRPr="000F2E9D">
        <w:rPr>
          <w:rFonts w:eastAsia="Times New Roman" w:cs="Times New Roman"/>
          <w:b/>
          <w:szCs w:val="24"/>
        </w:rPr>
        <w:t xml:space="preserve">SECTION III.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b/>
          <w:szCs w:val="24"/>
        </w:rPr>
        <w:t>SECTION IV.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CD2CFD"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CD2CFD"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The project budget should follow the budget categories in SF-424 A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cell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r>
        <w:rPr>
          <w:rFonts w:eastAsia="Times New Roman" w:cs="Times New Roman"/>
          <w:szCs w:val="24"/>
        </w:rPr>
        <w:t>i.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CD2CFD">
        <w:rPr>
          <w:rFonts w:eastAsia="Times New Roman" w:cs="Times New Roman"/>
          <w:szCs w:val="24"/>
        </w:rPr>
        <w:t>The electronic submission into Grants.gov</w:t>
      </w:r>
      <w:r w:rsidRPr="00CD2CFD">
        <w:rPr>
          <w:rFonts w:eastAsia="Times New Roman" w:cs="Times New Roman"/>
          <w:color w:val="0000FF"/>
          <w:szCs w:val="24"/>
        </w:rPr>
        <w:t xml:space="preserve"> </w:t>
      </w:r>
      <w:r w:rsidRPr="00CD2CFD">
        <w:rPr>
          <w:rFonts w:eastAsia="Times New Roman" w:cs="Times New Roman"/>
          <w:szCs w:val="24"/>
        </w:rPr>
        <w:t xml:space="preserve">is due by </w:t>
      </w:r>
      <w:r w:rsidR="00CD2CFD" w:rsidRPr="00CD2CFD">
        <w:rPr>
          <w:rFonts w:eastAsia="Times New Roman" w:cs="Times New Roman"/>
          <w:b/>
          <w:szCs w:val="24"/>
        </w:rPr>
        <w:t>September 12</w:t>
      </w:r>
      <w:r w:rsidRPr="00CD2CFD">
        <w:rPr>
          <w:rFonts w:eastAsia="Times New Roman" w:cs="Times New Roman"/>
          <w:b/>
          <w:szCs w:val="24"/>
        </w:rPr>
        <w:t>, 201</w:t>
      </w:r>
      <w:r w:rsidR="00CD2CFD" w:rsidRPr="00CD2CFD">
        <w:rPr>
          <w:rFonts w:eastAsia="Times New Roman" w:cs="Times New Roman"/>
          <w:b/>
          <w:szCs w:val="24"/>
        </w:rPr>
        <w:t>5</w:t>
      </w:r>
      <w:r w:rsidRPr="00CD2CFD">
        <w:rPr>
          <w:rFonts w:eastAsia="Times New Roman" w:cs="Times New Roman"/>
          <w:b/>
          <w:szCs w:val="24"/>
        </w:rPr>
        <w:t xml:space="preserve"> @ </w:t>
      </w:r>
      <w:r w:rsidR="00CD2CFD" w:rsidRPr="00CD2CFD">
        <w:rPr>
          <w:rFonts w:eastAsia="Times New Roman" w:cs="Times New Roman"/>
          <w:b/>
          <w:szCs w:val="24"/>
        </w:rPr>
        <w:t>10:00 a</w:t>
      </w:r>
      <w:r w:rsidRPr="00CD2CFD">
        <w:rPr>
          <w:rFonts w:eastAsia="Times New Roman" w:cs="Times New Roman"/>
          <w:b/>
          <w:szCs w:val="24"/>
        </w:rPr>
        <w:t xml:space="preserve">.m. Eastern </w:t>
      </w:r>
      <w:r w:rsidR="00CD2CFD" w:rsidRPr="00CD2CFD">
        <w:rPr>
          <w:rFonts w:eastAsia="Times New Roman" w:cs="Times New Roman"/>
          <w:b/>
          <w:szCs w:val="24"/>
        </w:rPr>
        <w:t xml:space="preserve">Standard </w:t>
      </w:r>
      <w:r w:rsidRPr="00CD2CFD">
        <w:rPr>
          <w:rFonts w:eastAsia="Times New Roman" w:cs="Times New Roman"/>
          <w:b/>
          <w:szCs w:val="24"/>
        </w:rPr>
        <w:t>Time</w:t>
      </w:r>
      <w:r w:rsidRPr="00CD2CFD">
        <w:rPr>
          <w:rFonts w:eastAsia="Times New Roman" w:cs="Times New Roman"/>
          <w:szCs w:val="24"/>
        </w:rPr>
        <w:t>. An application package received after the closing date and time will</w:t>
      </w:r>
      <w:r w:rsidRPr="00CD2CFD">
        <w:rPr>
          <w:rFonts w:eastAsia="Times New Roman" w:cs="Times New Roman"/>
          <w:color w:val="0000FF"/>
          <w:szCs w:val="24"/>
        </w:rPr>
        <w:t xml:space="preserve"> </w:t>
      </w:r>
      <w:r w:rsidRPr="00CD2CFD">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is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4" w:name="_Toc177798750"/>
      <w:bookmarkStart w:id="5"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4"/>
      <w:r w:rsidRPr="000F2E9D">
        <w:rPr>
          <w:rFonts w:eastAsia="Times New Roman" w:cs="Times New Roman"/>
          <w:b/>
          <w:szCs w:val="24"/>
        </w:rPr>
        <w:t xml:space="preserve"> - </w:t>
      </w:r>
      <w:bookmarkEnd w:id="5"/>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r>
        <w:rPr>
          <w:rFonts w:eastAsia="Times New Roman" w:cs="Times New Roman"/>
          <w:b/>
          <w:caps/>
          <w:szCs w:val="24"/>
        </w:rPr>
        <w:t>SECTION V</w:t>
      </w:r>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Electronic  Equipment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CD2CFD"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CD2CFD"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CD2CFD"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D2CFD"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D2CFD"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D2CFD"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(Nonprocurement)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D2CFD"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Buy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 </w:t>
      </w:r>
      <w:r w:rsidRPr="00A4065F">
        <w:rPr>
          <w:rFonts w:eastAsia="Times New Roman" w:cs="Times New Roman"/>
          <w:szCs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Additionally, a unilateral amendment may be utilized if it should become necessary to suspend or terminate the agreement in accordance with 43 CFR, Subpart C, Section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i.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agency(ies)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The copyright in any work developed under a grant, subgrant, or contract under a grant or subgrant;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(b)  Any rights of copyright to which a grantee, subgrantee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r w:rsidR="00731A89">
        <w:rPr>
          <w:rFonts w:eastAsia="Times New Roman" w:cs="Times New Roman"/>
          <w:szCs w:val="24"/>
        </w:rPr>
        <w:t>NPS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(Hr, Wk, Yr)</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Schl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CFD" w:rsidRDefault="00CD2CFD" w:rsidP="00A4065F">
      <w:pPr>
        <w:spacing w:after="0" w:line="240" w:lineRule="auto"/>
      </w:pPr>
      <w:r>
        <w:separator/>
      </w:r>
    </w:p>
  </w:endnote>
  <w:endnote w:type="continuationSeparator" w:id="0">
    <w:p w:rsidR="00CD2CFD" w:rsidRDefault="00CD2CFD"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CFD" w:rsidRDefault="00CD2C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2CFD" w:rsidRDefault="00CD2C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CFD" w:rsidRDefault="00CD2CFD">
    <w:pPr>
      <w:pStyle w:val="Footer"/>
    </w:pPr>
    <w:r>
      <w:t xml:space="preserve">Page | </w:t>
    </w:r>
    <w:r>
      <w:fldChar w:fldCharType="begin"/>
    </w:r>
    <w:r>
      <w:instrText xml:space="preserve"> PAGE   \* MERGEFORMAT </w:instrText>
    </w:r>
    <w:r>
      <w:fldChar w:fldCharType="separate"/>
    </w:r>
    <w:r w:rsidR="009449EB">
      <w:rPr>
        <w:noProof/>
      </w:rPr>
      <w:t>22</w:t>
    </w:r>
    <w:r>
      <w:rPr>
        <w:noProof/>
      </w:rPr>
      <w:fldChar w:fldCharType="end"/>
    </w:r>
  </w:p>
  <w:p w:rsidR="00CD2CFD" w:rsidRDefault="00CD2CFD">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CFD" w:rsidRDefault="00CD2CF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9449EB" w:rsidRPr="009449EB">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CD2CFD" w:rsidRDefault="00CD2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CFD" w:rsidRDefault="00CD2CFD" w:rsidP="00A4065F">
      <w:pPr>
        <w:spacing w:after="0" w:line="240" w:lineRule="auto"/>
      </w:pPr>
      <w:r>
        <w:separator/>
      </w:r>
    </w:p>
  </w:footnote>
  <w:footnote w:type="continuationSeparator" w:id="0">
    <w:p w:rsidR="00CD2CFD" w:rsidRDefault="00CD2CFD"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0A667B"/>
    <w:multiLevelType w:val="hybridMultilevel"/>
    <w:tmpl w:val="9B9AC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4"/>
  </w:num>
  <w:num w:numId="2">
    <w:abstractNumId w:val="5"/>
  </w:num>
  <w:num w:numId="3">
    <w:abstractNumId w:val="10"/>
  </w:num>
  <w:num w:numId="4">
    <w:abstractNumId w:val="13"/>
  </w:num>
  <w:num w:numId="5">
    <w:abstractNumId w:val="3"/>
  </w:num>
  <w:num w:numId="6">
    <w:abstractNumId w:val="8"/>
  </w:num>
  <w:num w:numId="7">
    <w:abstractNumId w:val="2"/>
  </w:num>
  <w:num w:numId="8">
    <w:abstractNumId w:val="1"/>
  </w:num>
  <w:num w:numId="9">
    <w:abstractNumId w:val="9"/>
  </w:num>
  <w:num w:numId="10">
    <w:abstractNumId w:val="11"/>
  </w:num>
  <w:num w:numId="11">
    <w:abstractNumId w:val="0"/>
  </w:num>
  <w:num w:numId="12">
    <w:abstractNumId w:val="7"/>
  </w:num>
  <w:num w:numId="13">
    <w:abstractNumId w:val="12"/>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55EBB"/>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4207B"/>
    <w:rsid w:val="007A4090"/>
    <w:rsid w:val="007B5BCE"/>
    <w:rsid w:val="007E1114"/>
    <w:rsid w:val="008156E7"/>
    <w:rsid w:val="008216E5"/>
    <w:rsid w:val="00821E8F"/>
    <w:rsid w:val="00864162"/>
    <w:rsid w:val="008A49B8"/>
    <w:rsid w:val="008B21BB"/>
    <w:rsid w:val="00911499"/>
    <w:rsid w:val="00914B38"/>
    <w:rsid w:val="0091648A"/>
    <w:rsid w:val="009449EB"/>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CD2CFD"/>
    <w:rsid w:val="00D33103"/>
    <w:rsid w:val="00D376F7"/>
    <w:rsid w:val="00D6477F"/>
    <w:rsid w:val="00D65848"/>
    <w:rsid w:val="00D75C7B"/>
    <w:rsid w:val="00D87FBA"/>
    <w:rsid w:val="00DB0EC4"/>
    <w:rsid w:val="00DC72A0"/>
    <w:rsid w:val="00E1207F"/>
    <w:rsid w:val="00E22238"/>
    <w:rsid w:val="00E25ECD"/>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41282-A0B3-4B0C-98B8-BAD0AE33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26</Pages>
  <Words>8670</Words>
  <Characters>49424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6</cp:revision>
  <dcterms:created xsi:type="dcterms:W3CDTF">2014-03-13T12:48:00Z</dcterms:created>
  <dcterms:modified xsi:type="dcterms:W3CDTF">2015-09-02T19:27:00Z</dcterms:modified>
</cp:coreProperties>
</file>