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03C35" w14:textId="6D1FAF13" w:rsidR="003D7C7F" w:rsidRPr="003D7C7F" w:rsidRDefault="003D7C7F">
      <w:pPr>
        <w:rPr>
          <w:rFonts w:ascii="Calibri" w:hAnsi="Calibri" w:cs="Calibri"/>
          <w:kern w:val="0"/>
          <w14:ligatures w14:val="none"/>
        </w:rPr>
      </w:pPr>
      <w:r w:rsidRPr="005F657B">
        <w:rPr>
          <w:rFonts w:ascii="Calibri" w:hAnsi="Calibri" w:cs="Calibri"/>
          <w:b/>
          <w:bCs/>
          <w:kern w:val="0"/>
          <w14:ligatures w14:val="none"/>
        </w:rPr>
        <w:t>DFOP0014330 Q&amp;A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  <w:t>Jordan Screening Development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</w:r>
      <w:r w:rsidRPr="003D7C7F">
        <w:rPr>
          <w:rFonts w:ascii="Calibri" w:hAnsi="Calibri" w:cs="Calibri"/>
          <w:b/>
          <w:bCs/>
        </w:rPr>
        <w:br/>
        <w:t xml:space="preserve">Q:  </w:t>
      </w:r>
      <w:r w:rsidRPr="003D7C7F">
        <w:rPr>
          <w:rFonts w:ascii="Calibri" w:hAnsi="Calibri" w:cs="Calibri"/>
        </w:rPr>
        <w:t>Are federally funded R&amp;D Centers (FFRDC’s) eligible to apply?</w:t>
      </w:r>
      <w:r w:rsidRPr="003D7C7F">
        <w:rPr>
          <w:rFonts w:ascii="Calibri" w:hAnsi="Calibri" w:cs="Calibri"/>
          <w:b/>
          <w:bCs/>
        </w:rPr>
        <w:br/>
        <w:t xml:space="preserve">A:  </w:t>
      </w:r>
      <w:r w:rsidR="36D621E3" w:rsidRPr="003D7C7F">
        <w:rPr>
          <w:rFonts w:ascii="Calibri" w:hAnsi="Calibri" w:cs="Calibri"/>
          <w:b/>
          <w:bCs/>
        </w:rPr>
        <w:t xml:space="preserve">The USG is willing to consider </w:t>
      </w:r>
      <w:r w:rsidRPr="003D7C7F">
        <w:rPr>
          <w:rFonts w:ascii="Calibri" w:hAnsi="Calibri" w:cs="Calibri"/>
          <w:b/>
          <w:bCs/>
        </w:rPr>
        <w:t>FFRDC</w:t>
      </w:r>
      <w:r w:rsidR="06499497" w:rsidRPr="003D7C7F">
        <w:rPr>
          <w:rFonts w:ascii="Calibri" w:hAnsi="Calibri" w:cs="Calibri"/>
          <w:b/>
          <w:bCs/>
        </w:rPr>
        <w:t>s and accompanying alternative funding mechanism, as lon</w:t>
      </w:r>
      <w:r w:rsidR="269A55AA" w:rsidRPr="003D7C7F">
        <w:rPr>
          <w:rFonts w:ascii="Calibri" w:hAnsi="Calibri" w:cs="Calibri"/>
          <w:b/>
          <w:bCs/>
        </w:rPr>
        <w:t xml:space="preserve">g as applicants follow all rules and requirements listed in the NOFO. </w:t>
      </w:r>
      <w:r w:rsidRPr="003D7C7F">
        <w:rPr>
          <w:rFonts w:ascii="Calibri" w:hAnsi="Calibri" w:cs="Calibri"/>
        </w:rPr>
        <w:t xml:space="preserve">  </w:t>
      </w:r>
    </w:p>
    <w:p w14:paraId="66FF2E93" w14:textId="1F0EE8F6" w:rsidR="003D7C7F" w:rsidRPr="003D7C7F" w:rsidRDefault="003D7C7F" w:rsidP="003D7C7F">
      <w:pPr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Q:  </w:t>
      </w:r>
      <w:r w:rsidRPr="210F84FE">
        <w:rPr>
          <w:rFonts w:ascii="Calibri" w:hAnsi="Calibri" w:cs="Calibri"/>
        </w:rPr>
        <w:t>Are for-profit organizations eligible for this funding opportunity?</w:t>
      </w:r>
      <w:r>
        <w:br/>
      </w:r>
      <w:r w:rsidRPr="210F84FE">
        <w:rPr>
          <w:rFonts w:ascii="Calibri" w:hAnsi="Calibri" w:cs="Calibri"/>
          <w:b/>
          <w:bCs/>
        </w:rPr>
        <w:t xml:space="preserve">A:  For-profit organizations are </w:t>
      </w:r>
      <w:r w:rsidRPr="210F84FE">
        <w:rPr>
          <w:rFonts w:ascii="Calibri" w:hAnsi="Calibri" w:cs="Calibri"/>
          <w:b/>
          <w:bCs/>
          <w:u w:val="single"/>
        </w:rPr>
        <w:t xml:space="preserve">not </w:t>
      </w:r>
      <w:r w:rsidRPr="210F84FE">
        <w:rPr>
          <w:rFonts w:ascii="Calibri" w:hAnsi="Calibri" w:cs="Calibri"/>
          <w:b/>
          <w:bCs/>
        </w:rPr>
        <w:t>eligible for this funding opportunity.</w:t>
      </w:r>
      <w:r w:rsidRPr="210F84FE">
        <w:rPr>
          <w:rFonts w:ascii="Calibri" w:hAnsi="Calibri" w:cs="Calibri"/>
        </w:rPr>
        <w:t xml:space="preserve">  </w:t>
      </w:r>
    </w:p>
    <w:p w14:paraId="7192E05B" w14:textId="4186C578" w:rsidR="003D7C7F" w:rsidRPr="003D7C7F" w:rsidRDefault="003D7C7F" w:rsidP="003D7C7F">
      <w:pPr>
        <w:spacing w:after="0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confirm it anticipates making one award resulting from responses to this NOFO?</w:t>
      </w:r>
    </w:p>
    <w:p w14:paraId="5F61B75D" w14:textId="440C59C5" w:rsidR="003D7C7F" w:rsidRPr="003D7C7F" w:rsidRDefault="003D7C7F" w:rsidP="003D7C7F">
      <w:pPr>
        <w:spacing w:after="0"/>
        <w:rPr>
          <w:rFonts w:ascii="Calibri" w:hAnsi="Calibri" w:cs="Calibri"/>
          <w:b/>
          <w:bCs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9166BB" w:rsidRPr="1A1A5695">
        <w:rPr>
          <w:rFonts w:ascii="Calibri" w:hAnsi="Calibri" w:cs="Calibri"/>
          <w:b/>
          <w:bCs/>
        </w:rPr>
        <w:t xml:space="preserve"> </w:t>
      </w:r>
      <w:r w:rsidR="00E45C11" w:rsidRPr="1A1A5695">
        <w:rPr>
          <w:rFonts w:ascii="Calibri" w:hAnsi="Calibri" w:cs="Calibri"/>
          <w:b/>
          <w:bCs/>
        </w:rPr>
        <w:t xml:space="preserve">The USG </w:t>
      </w:r>
      <w:r w:rsidR="5DC22D34" w:rsidRPr="1A1A5695">
        <w:rPr>
          <w:rFonts w:ascii="Calibri" w:hAnsi="Calibri" w:cs="Calibri"/>
          <w:b/>
          <w:bCs/>
        </w:rPr>
        <w:t xml:space="preserve">may </w:t>
      </w:r>
      <w:r w:rsidR="00E45C11" w:rsidRPr="1A1A5695">
        <w:rPr>
          <w:rFonts w:ascii="Calibri" w:hAnsi="Calibri" w:cs="Calibri"/>
          <w:b/>
          <w:bCs/>
        </w:rPr>
        <w:t>issu</w:t>
      </w:r>
      <w:r w:rsidR="4BA04DDD" w:rsidRPr="1A1A5695">
        <w:rPr>
          <w:rFonts w:ascii="Calibri" w:hAnsi="Calibri" w:cs="Calibri"/>
          <w:b/>
          <w:bCs/>
        </w:rPr>
        <w:t xml:space="preserve">e one or more awards resulting from responses to this NOFO. </w:t>
      </w:r>
      <w:r w:rsidR="009166BB" w:rsidRPr="1A1A5695">
        <w:rPr>
          <w:rFonts w:ascii="Calibri" w:hAnsi="Calibri" w:cs="Calibri"/>
          <w:b/>
          <w:bCs/>
        </w:rPr>
        <w:t xml:space="preserve">  </w:t>
      </w:r>
    </w:p>
    <w:p w14:paraId="7A860AD6" w14:textId="77777777" w:rsidR="003D7C7F" w:rsidRPr="003D7C7F" w:rsidRDefault="003D7C7F" w:rsidP="003D7C7F">
      <w:pPr>
        <w:spacing w:after="0"/>
        <w:rPr>
          <w:rFonts w:ascii="Calibri" w:hAnsi="Calibri" w:cs="Calibri"/>
        </w:rPr>
      </w:pPr>
    </w:p>
    <w:p w14:paraId="2AB5FA1F" w14:textId="788C0BC2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Acknowledging the requisite Gender Analysis should be a standalone document rather than a section of the proposal narrative, will DoS CT confirm the Gender Analysis is not included in the proposal narrative page count?</w:t>
      </w:r>
    </w:p>
    <w:p w14:paraId="4253B651" w14:textId="4F99D53D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 xml:space="preserve">A:  </w:t>
      </w:r>
      <w:r w:rsidR="009166BB">
        <w:rPr>
          <w:rFonts w:ascii="Calibri" w:hAnsi="Calibri" w:cs="Calibri"/>
          <w:b/>
          <w:bCs/>
        </w:rPr>
        <w:t xml:space="preserve">The Gender Analysis does </w:t>
      </w:r>
      <w:r w:rsidR="009166BB" w:rsidRPr="009166BB">
        <w:rPr>
          <w:rFonts w:ascii="Calibri" w:hAnsi="Calibri" w:cs="Calibri"/>
          <w:b/>
          <w:bCs/>
          <w:u w:val="single"/>
        </w:rPr>
        <w:t>not</w:t>
      </w:r>
      <w:r w:rsidR="009166BB">
        <w:rPr>
          <w:rFonts w:ascii="Calibri" w:hAnsi="Calibri" w:cs="Calibri"/>
          <w:b/>
          <w:bCs/>
        </w:rPr>
        <w:t xml:space="preserve"> count toward the 10-page limit of the proposal narrative.  </w:t>
      </w:r>
    </w:p>
    <w:p w14:paraId="79585C2B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224942DE" w14:textId="1E3255AE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</w:rPr>
        <w:t>Q:  Utilizing the provided template attachment, will DoS CT confirm the Logic Model is not included in the proposal narrative page count?</w:t>
      </w:r>
    </w:p>
    <w:p w14:paraId="51472E9A" w14:textId="7AA6F98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The Logic Model does </w:t>
      </w:r>
      <w:r w:rsidR="009166BB" w:rsidRPr="009166BB">
        <w:rPr>
          <w:rFonts w:ascii="Calibri" w:hAnsi="Calibri" w:cs="Calibri"/>
          <w:b/>
          <w:bCs/>
          <w:u w:val="single"/>
        </w:rPr>
        <w:t xml:space="preserve">not </w:t>
      </w:r>
      <w:r w:rsidR="009166BB">
        <w:rPr>
          <w:rFonts w:ascii="Calibri" w:hAnsi="Calibri" w:cs="Calibri"/>
          <w:b/>
          <w:bCs/>
        </w:rPr>
        <w:t xml:space="preserve">count toward the 10-page limit of the proposal narrative. </w:t>
      </w:r>
    </w:p>
    <w:p w14:paraId="03D9EB90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F96FCB0" w14:textId="51D09FB3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CT allow 10-point font for tables and graphics?</w:t>
      </w:r>
    </w:p>
    <w:p w14:paraId="7DC61619" w14:textId="3D8CA9F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</w:t>
      </w:r>
      <w:r w:rsidR="6C9DC6C9">
        <w:rPr>
          <w:rFonts w:ascii="Calibri" w:hAnsi="Calibri" w:cs="Calibri"/>
          <w:b/>
          <w:bCs/>
        </w:rPr>
        <w:t xml:space="preserve">Per the NOFO, </w:t>
      </w:r>
      <w:r w:rsidR="4574BDDD" w:rsidRPr="009166BB">
        <w:rPr>
          <w:rFonts w:ascii="Calibri" w:hAnsi="Calibri" w:cs="Calibri"/>
          <w:b/>
          <w:bCs/>
        </w:rPr>
        <w:t xml:space="preserve">proposals </w:t>
      </w:r>
      <w:r w:rsidR="00607523" w:rsidRPr="0AAE0EDF">
        <w:rPr>
          <w:rFonts w:ascii="Calibri" w:hAnsi="Calibri" w:cs="Calibri"/>
          <w:b/>
          <w:bCs/>
        </w:rPr>
        <w:t>must</w:t>
      </w:r>
      <w:r w:rsidR="009166BB" w:rsidRPr="009166BB">
        <w:rPr>
          <w:rFonts w:ascii="Calibri" w:hAnsi="Calibri" w:cs="Calibri"/>
          <w:b/>
          <w:bCs/>
        </w:rPr>
        <w:t xml:space="preserve"> be </w:t>
      </w:r>
      <w:r w:rsidR="009166BB" w:rsidRPr="009166BB">
        <w:rPr>
          <w:rFonts w:ascii="Calibri" w:hAnsi="Calibri" w:cs="Calibri"/>
          <w:b/>
          <w:bCs/>
          <w:kern w:val="0"/>
        </w:rPr>
        <w:t>single spaced with 12-point Times New Roman font and a minimum of 1-inch margins.</w:t>
      </w:r>
    </w:p>
    <w:p w14:paraId="2999B124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0E68D511" w14:textId="0CD34C8A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the completion of scope in less than 24 months deduct evaluation points?</w:t>
      </w:r>
    </w:p>
    <w:p w14:paraId="577A122D" w14:textId="330F21AB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4531252A" w:rsidRPr="210F84FE">
        <w:rPr>
          <w:rFonts w:ascii="Calibri" w:hAnsi="Calibri" w:cs="Calibri"/>
          <w:b/>
          <w:bCs/>
        </w:rPr>
        <w:t xml:space="preserve">The completion of scope in less than 24 months will </w:t>
      </w:r>
      <w:r w:rsidR="4531252A" w:rsidRPr="210F84FE">
        <w:rPr>
          <w:rFonts w:ascii="Calibri" w:hAnsi="Calibri" w:cs="Calibri"/>
          <w:b/>
          <w:bCs/>
          <w:u w:val="single"/>
        </w:rPr>
        <w:t xml:space="preserve">not </w:t>
      </w:r>
      <w:r w:rsidR="4531252A" w:rsidRPr="210F84FE">
        <w:rPr>
          <w:rFonts w:ascii="Calibri" w:hAnsi="Calibri" w:cs="Calibri"/>
          <w:b/>
          <w:bCs/>
        </w:rPr>
        <w:t>deduct evaluation points.</w:t>
      </w:r>
    </w:p>
    <w:p w14:paraId="1CDD83BE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6C29AA8" w14:textId="3691CF01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implementation of scope require any personnel security clearances?</w:t>
      </w:r>
    </w:p>
    <w:p w14:paraId="17CA2742" w14:textId="5E00AE31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788E5A86" w:rsidRPr="210F84FE">
        <w:rPr>
          <w:rFonts w:ascii="Calibri" w:hAnsi="Calibri" w:cs="Calibri"/>
          <w:b/>
          <w:bCs/>
        </w:rPr>
        <w:t xml:space="preserve">The implementation of scope will </w:t>
      </w:r>
      <w:r w:rsidR="788E5A86" w:rsidRPr="210F84FE">
        <w:rPr>
          <w:rFonts w:ascii="Calibri" w:hAnsi="Calibri" w:cs="Calibri"/>
          <w:b/>
          <w:bCs/>
          <w:u w:val="single"/>
        </w:rPr>
        <w:t xml:space="preserve">not </w:t>
      </w:r>
      <w:r w:rsidR="788E5A86" w:rsidRPr="210F84FE">
        <w:rPr>
          <w:rFonts w:ascii="Calibri" w:hAnsi="Calibri" w:cs="Calibri"/>
          <w:b/>
          <w:bCs/>
        </w:rPr>
        <w:t>require any personnel security clearances.</w:t>
      </w:r>
    </w:p>
    <w:p w14:paraId="716C2E05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52B402AF" w14:textId="3C89D98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Should the implementer anticipate any stipend disbursement, if so what portion of the budget should be reserved?</w:t>
      </w:r>
    </w:p>
    <w:p w14:paraId="514C644E" w14:textId="2A6441C8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329CFACC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 xml:space="preserve">he implementer should </w:t>
      </w:r>
      <w:r w:rsidR="329CFACC" w:rsidRPr="210F84FE">
        <w:rPr>
          <w:rFonts w:ascii="Calibri" w:eastAsia="Times New Roman" w:hAnsi="Calibri" w:cs="Calibri"/>
          <w:b/>
          <w:bCs/>
          <w:u w:val="single"/>
          <w:lang w:eastAsia="en-GB"/>
        </w:rPr>
        <w:t xml:space="preserve">not 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>anticipate any stipend disbursement except for program-related travel, such as meals and incidental expenses (M&amp;IE)</w:t>
      </w:r>
      <w:r w:rsidR="00B81AB6" w:rsidRPr="0AAE0EDF">
        <w:rPr>
          <w:rFonts w:ascii="Calibri" w:eastAsia="Times New Roman" w:hAnsi="Calibri" w:cs="Calibri"/>
          <w:b/>
          <w:bCs/>
          <w:lang w:eastAsia="en-GB"/>
        </w:rPr>
        <w:t xml:space="preserve">, if and as needed. </w:t>
      </w:r>
    </w:p>
    <w:p w14:paraId="4AB8D83A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ED7E3BE" w14:textId="71729D22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commercial entities be part of the assessment and reporting?</w:t>
      </w:r>
    </w:p>
    <w:p w14:paraId="712AF4C8" w14:textId="7615264B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28C01B2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Commercial entities may be part of the assessment and reporting.</w:t>
      </w:r>
    </w:p>
    <w:p w14:paraId="1C00A44F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B48C6A5" w14:textId="482FAC8C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suspected unofficial border crossings and known/suspected smuggling routes to be identified in assessment report(s)?</w:t>
      </w:r>
    </w:p>
    <w:p w14:paraId="73EB1E88" w14:textId="5242E8CE" w:rsidR="003D7C7F" w:rsidRPr="003D7C7F" w:rsidRDefault="003D7C7F" w:rsidP="67048C8D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1AE135E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Applicants should identify </w:t>
      </w:r>
      <w:r w:rsidR="1911909A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r w:rsidR="6DFDF27B" w:rsidRPr="210F84FE">
        <w:rPr>
          <w:rFonts w:ascii="Calibri" w:eastAsia="Times New Roman" w:hAnsi="Calibri" w:cs="Calibri"/>
          <w:b/>
          <w:bCs/>
          <w:lang w:eastAsia="en-GB"/>
        </w:rPr>
        <w:t>uspected unofficial border crossings and known/suspected smuggling routes in assessment report(s).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 Applicants should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 xml:space="preserve"> articulate in their narrative proposal how the applicant in</w:t>
      </w:r>
      <w:r w:rsidR="2D203583" w:rsidRPr="210F84FE">
        <w:rPr>
          <w:rFonts w:ascii="Calibri" w:eastAsia="Times New Roman" w:hAnsi="Calibri" w:cs="Calibri"/>
          <w:b/>
          <w:bCs/>
          <w:lang w:eastAsia="en-GB"/>
        </w:rPr>
        <w:t>t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en</w:t>
      </w:r>
      <w:r w:rsidR="304C5148" w:rsidRPr="210F84FE">
        <w:rPr>
          <w:rFonts w:ascii="Calibri" w:eastAsia="Times New Roman" w:hAnsi="Calibri" w:cs="Calibri"/>
          <w:b/>
          <w:bCs/>
          <w:lang w:eastAsia="en-GB"/>
        </w:rPr>
        <w:t>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s to conduct such assessments.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</w:p>
    <w:p w14:paraId="41E83616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1F95A84" w14:textId="262A3AA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access be granted to police, military, and commercial (private) SOPs, number of PAX, equipment, and type(s) of training for assessments?</w:t>
      </w:r>
    </w:p>
    <w:p w14:paraId="661495DD" w14:textId="569F5BF9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6377FD81" w:rsidRPr="210F84FE">
        <w:rPr>
          <w:rFonts w:ascii="Calibri" w:eastAsia="Times New Roman" w:hAnsi="Calibri" w:cs="Calibri"/>
          <w:b/>
          <w:bCs/>
          <w:lang w:eastAsia="en-GB"/>
        </w:rPr>
        <w:t>The implementer is expected to partner with Jordanian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police, military, and commercial (private)</w:t>
      </w:r>
      <w:r w:rsidR="6610E44B" w:rsidRPr="210F84FE">
        <w:rPr>
          <w:rFonts w:ascii="Calibri" w:eastAsia="Times New Roman" w:hAnsi="Calibri" w:cs="Calibri"/>
          <w:b/>
          <w:bCs/>
          <w:lang w:eastAsia="en-GB"/>
        </w:rPr>
        <w:t xml:space="preserve"> entities to review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3B6C7B38" w:rsidRPr="210F84FE">
        <w:rPr>
          <w:rFonts w:ascii="Calibri" w:eastAsia="Times New Roman" w:hAnsi="Calibri" w:cs="Calibri"/>
          <w:b/>
          <w:bCs/>
          <w:lang w:eastAsia="en-GB"/>
        </w:rPr>
        <w:t xml:space="preserve">their 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>SOPs, number of PAX, equipment, and type(s) of training for assessments.</w:t>
      </w:r>
      <w:r w:rsidR="7170FD54" w:rsidRPr="210F84FE">
        <w:rPr>
          <w:rFonts w:ascii="Calibri" w:eastAsia="Times New Roman" w:hAnsi="Calibri" w:cs="Calibri"/>
          <w:b/>
          <w:bCs/>
          <w:lang w:eastAsia="en-GB"/>
        </w:rPr>
        <w:t xml:space="preserve"> The implementer should be prepared to explain their process for doing so during the technical evaluation panel.</w:t>
      </w:r>
    </w:p>
    <w:p w14:paraId="35EEEDD2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6126B18" w14:textId="4B2C869E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assessments on communication systems (Nodes, towers, services) required?</w:t>
      </w:r>
    </w:p>
    <w:p w14:paraId="4D664202" w14:textId="67C3D140" w:rsidR="003D7C7F" w:rsidRPr="003D7C7F" w:rsidRDefault="003D7C7F" w:rsidP="210F84FE">
      <w:pPr>
        <w:rPr>
          <w:rFonts w:ascii="Calibri" w:eastAsia="Times New Roman" w:hAnsi="Calibri" w:cs="Calibri"/>
          <w:b/>
          <w:bCs/>
          <w:lang w:eastAsia="en-GB"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D53D9C" w:rsidRPr="1A1A5695">
        <w:rPr>
          <w:rFonts w:ascii="Calibri" w:eastAsia="Times New Roman" w:hAnsi="Calibri" w:cs="Calibri"/>
          <w:b/>
          <w:bCs/>
          <w:lang w:eastAsia="en-GB"/>
        </w:rPr>
        <w:t xml:space="preserve">More attention should be paid to </w:t>
      </w:r>
      <w:r w:rsidR="00527582" w:rsidRPr="1A1A5695">
        <w:rPr>
          <w:rFonts w:ascii="Calibri" w:eastAsia="Times New Roman" w:hAnsi="Calibri" w:cs="Calibri"/>
          <w:b/>
          <w:bCs/>
          <w:lang w:eastAsia="en-GB"/>
        </w:rPr>
        <w:t xml:space="preserve">existing, complimentary, or duplicative efforts with the aim of improving GoJ’s overall </w:t>
      </w:r>
      <w:r w:rsidR="003E035F" w:rsidRPr="1A1A5695">
        <w:rPr>
          <w:rFonts w:ascii="Calibri" w:eastAsia="Times New Roman" w:hAnsi="Calibri" w:cs="Calibri"/>
          <w:b/>
          <w:bCs/>
          <w:lang w:eastAsia="en-GB"/>
        </w:rPr>
        <w:t xml:space="preserve">capacity to manage its borders </w:t>
      </w:r>
      <w:r w:rsidR="00517E21" w:rsidRPr="1A1A5695">
        <w:rPr>
          <w:rFonts w:ascii="Calibri" w:eastAsia="Times New Roman" w:hAnsi="Calibri" w:cs="Calibri"/>
          <w:b/>
          <w:bCs/>
          <w:lang w:eastAsia="en-GB"/>
        </w:rPr>
        <w:t xml:space="preserve">(I.e. interagency coordination). </w:t>
      </w:r>
      <w:r w:rsidR="00B045B3" w:rsidRPr="1A1A5695">
        <w:rPr>
          <w:rFonts w:ascii="Calibri" w:eastAsia="Times New Roman" w:hAnsi="Calibri" w:cs="Calibri"/>
          <w:b/>
          <w:bCs/>
          <w:lang w:eastAsia="en-GB"/>
        </w:rPr>
        <w:t xml:space="preserve">If this includes assessments on communication systems, </w:t>
      </w:r>
      <w:r w:rsidR="00B7325C" w:rsidRPr="1A1A5695">
        <w:rPr>
          <w:rFonts w:ascii="Calibri" w:eastAsia="Times New Roman" w:hAnsi="Calibri" w:cs="Calibri"/>
          <w:b/>
          <w:bCs/>
          <w:lang w:eastAsia="en-GB"/>
        </w:rPr>
        <w:t xml:space="preserve">the implementer should be prepared to support. </w:t>
      </w:r>
    </w:p>
    <w:sectPr w:rsidR="003D7C7F" w:rsidRPr="003D7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01FCD"/>
    <w:multiLevelType w:val="hybridMultilevel"/>
    <w:tmpl w:val="287A4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11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7F"/>
    <w:rsid w:val="00205AF5"/>
    <w:rsid w:val="002D6C7A"/>
    <w:rsid w:val="003D7C7F"/>
    <w:rsid w:val="003E035F"/>
    <w:rsid w:val="003E08A6"/>
    <w:rsid w:val="00517E21"/>
    <w:rsid w:val="00527582"/>
    <w:rsid w:val="005F657B"/>
    <w:rsid w:val="00607523"/>
    <w:rsid w:val="00676135"/>
    <w:rsid w:val="006D4B75"/>
    <w:rsid w:val="00730964"/>
    <w:rsid w:val="00742147"/>
    <w:rsid w:val="008534D1"/>
    <w:rsid w:val="008A3F6E"/>
    <w:rsid w:val="009166BB"/>
    <w:rsid w:val="00B045B3"/>
    <w:rsid w:val="00B7325C"/>
    <w:rsid w:val="00B81AB6"/>
    <w:rsid w:val="00BF308C"/>
    <w:rsid w:val="00C5165B"/>
    <w:rsid w:val="00CA7FD1"/>
    <w:rsid w:val="00D45683"/>
    <w:rsid w:val="00D53D9C"/>
    <w:rsid w:val="00E07696"/>
    <w:rsid w:val="00E23305"/>
    <w:rsid w:val="00E45C11"/>
    <w:rsid w:val="00F251F7"/>
    <w:rsid w:val="06499497"/>
    <w:rsid w:val="08DDA971"/>
    <w:rsid w:val="0AAE0EDF"/>
    <w:rsid w:val="0AE5C48B"/>
    <w:rsid w:val="112F1012"/>
    <w:rsid w:val="12800DB8"/>
    <w:rsid w:val="12D34E58"/>
    <w:rsid w:val="1911909A"/>
    <w:rsid w:val="19C51E34"/>
    <w:rsid w:val="1A1A5695"/>
    <w:rsid w:val="1AE135E6"/>
    <w:rsid w:val="1C14D0C8"/>
    <w:rsid w:val="1C25D31C"/>
    <w:rsid w:val="1E463F2B"/>
    <w:rsid w:val="210F84FE"/>
    <w:rsid w:val="228E4124"/>
    <w:rsid w:val="230EE7C0"/>
    <w:rsid w:val="269A55AA"/>
    <w:rsid w:val="27CE2371"/>
    <w:rsid w:val="28C01B26"/>
    <w:rsid w:val="2A45700C"/>
    <w:rsid w:val="2D203583"/>
    <w:rsid w:val="2DA318C4"/>
    <w:rsid w:val="2ED185FB"/>
    <w:rsid w:val="304C5148"/>
    <w:rsid w:val="329CFACC"/>
    <w:rsid w:val="35AB8ED0"/>
    <w:rsid w:val="36D621E3"/>
    <w:rsid w:val="3B6C7B38"/>
    <w:rsid w:val="3F7CE17B"/>
    <w:rsid w:val="43B9B2EB"/>
    <w:rsid w:val="4531252A"/>
    <w:rsid w:val="4574BDDD"/>
    <w:rsid w:val="4592BCEE"/>
    <w:rsid w:val="45DF02DA"/>
    <w:rsid w:val="4A5DC225"/>
    <w:rsid w:val="4BA04DDD"/>
    <w:rsid w:val="508B28E5"/>
    <w:rsid w:val="513D0779"/>
    <w:rsid w:val="5DC22D34"/>
    <w:rsid w:val="5E9CBBA6"/>
    <w:rsid w:val="62A2E718"/>
    <w:rsid w:val="6377FD81"/>
    <w:rsid w:val="6610E44B"/>
    <w:rsid w:val="67048C8D"/>
    <w:rsid w:val="6BDF1399"/>
    <w:rsid w:val="6C9DC6C9"/>
    <w:rsid w:val="6DFDF27B"/>
    <w:rsid w:val="6FF28FB4"/>
    <w:rsid w:val="70BE8964"/>
    <w:rsid w:val="7170FD54"/>
    <w:rsid w:val="7385C4A6"/>
    <w:rsid w:val="73B43053"/>
    <w:rsid w:val="788E5A86"/>
    <w:rsid w:val="7EEEB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5BEB"/>
  <w15:chartTrackingRefBased/>
  <w15:docId w15:val="{F3F54C15-7C11-4799-8D6C-A863FBAE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C7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5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C1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34D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2792</Characters>
  <Application>Microsoft Office Word</Application>
  <DocSecurity>4</DocSecurity>
  <Lines>23</Lines>
  <Paragraphs>6</Paragraphs>
  <ScaleCrop>false</ScaleCrop>
  <Company>Department of State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Corson, Kaitlyn L</dc:creator>
  <cp:keywords/>
  <dc:description/>
  <cp:lastModifiedBy>Corson, Kaitlyn L</cp:lastModifiedBy>
  <cp:revision>22</cp:revision>
  <dcterms:created xsi:type="dcterms:W3CDTF">2024-05-30T02:09:00Z</dcterms:created>
  <dcterms:modified xsi:type="dcterms:W3CDTF">2024-06-05T21:15:00Z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2024-05-29T20:24:21Z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22d6d3d1-4762-4353-95ac-0603d590b110</vt:lpwstr>
  </property>
  <property fmtid="{D5CDD505-2E9C-101B-9397-08002B2CF9AE}" pid="8" name="MSIP_Label_1665d9ee-429a-4d5f-97cc-cfb56e044a6e_ContentBits">
    <vt:lpwstr>0</vt:lpwstr>
  </property>
</Properties>
</file>