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98"/>
        <w:gridCol w:w="2487"/>
        <w:gridCol w:w="4439"/>
        <w:gridCol w:w="4826"/>
      </w:tblGrid>
      <w:tr w:rsidR="00E42BCD" w14:paraId="55501034" w14:textId="77777777" w:rsidTr="00171982">
        <w:tc>
          <w:tcPr>
            <w:tcW w:w="1198" w:type="dxa"/>
            <w:shd w:val="clear" w:color="auto" w:fill="C1F0C7" w:themeFill="accent3" w:themeFillTint="33"/>
          </w:tcPr>
          <w:p w14:paraId="70410688" w14:textId="73BFE295" w:rsidR="00E42BCD" w:rsidRPr="00BA6C59" w:rsidRDefault="00E42BCD" w:rsidP="00BA6C59">
            <w:pPr>
              <w:jc w:val="center"/>
              <w:rPr>
                <w:b/>
                <w:bCs/>
              </w:rPr>
            </w:pPr>
            <w:r w:rsidRPr="00BA6C59">
              <w:rPr>
                <w:b/>
                <w:bCs/>
              </w:rPr>
              <w:t>Question</w:t>
            </w:r>
          </w:p>
        </w:tc>
        <w:tc>
          <w:tcPr>
            <w:tcW w:w="2487" w:type="dxa"/>
            <w:shd w:val="clear" w:color="auto" w:fill="C1F0C7" w:themeFill="accent3" w:themeFillTint="33"/>
          </w:tcPr>
          <w:p w14:paraId="09A48413" w14:textId="4C805EC1" w:rsidR="00E42BCD" w:rsidRPr="00BA6C59" w:rsidRDefault="00BA6C59" w:rsidP="00BA6C59">
            <w:pPr>
              <w:jc w:val="center"/>
              <w:rPr>
                <w:b/>
                <w:bCs/>
              </w:rPr>
            </w:pPr>
            <w:r w:rsidRPr="00BA6C59">
              <w:rPr>
                <w:b/>
                <w:bCs/>
              </w:rPr>
              <w:t>Originated from:</w:t>
            </w:r>
          </w:p>
        </w:tc>
        <w:tc>
          <w:tcPr>
            <w:tcW w:w="4439" w:type="dxa"/>
            <w:shd w:val="clear" w:color="auto" w:fill="C1F0C7" w:themeFill="accent3" w:themeFillTint="33"/>
          </w:tcPr>
          <w:p w14:paraId="36881450" w14:textId="265B1C10" w:rsidR="00E42BCD" w:rsidRPr="00BA6C59" w:rsidRDefault="00E42BCD" w:rsidP="00BA6C59">
            <w:pPr>
              <w:jc w:val="center"/>
              <w:rPr>
                <w:b/>
                <w:bCs/>
              </w:rPr>
            </w:pPr>
            <w:r w:rsidRPr="00BA6C59">
              <w:rPr>
                <w:b/>
                <w:bCs/>
              </w:rPr>
              <w:t>Questions/Comments</w:t>
            </w:r>
          </w:p>
        </w:tc>
        <w:tc>
          <w:tcPr>
            <w:tcW w:w="4826" w:type="dxa"/>
            <w:shd w:val="clear" w:color="auto" w:fill="C1F0C7" w:themeFill="accent3" w:themeFillTint="33"/>
          </w:tcPr>
          <w:p w14:paraId="1D801270" w14:textId="6097F349" w:rsidR="00E42BCD" w:rsidRPr="00BA6C59" w:rsidRDefault="00E42BCD" w:rsidP="00BA6C59">
            <w:pPr>
              <w:jc w:val="center"/>
              <w:rPr>
                <w:b/>
                <w:bCs/>
              </w:rPr>
            </w:pPr>
            <w:r w:rsidRPr="00BA6C59">
              <w:rPr>
                <w:b/>
                <w:bCs/>
              </w:rPr>
              <w:t>Government Response</w:t>
            </w:r>
          </w:p>
        </w:tc>
      </w:tr>
      <w:tr w:rsidR="00E42BCD" w14:paraId="3D1E58F3" w14:textId="77777777" w:rsidTr="00171982">
        <w:tc>
          <w:tcPr>
            <w:tcW w:w="1198" w:type="dxa"/>
          </w:tcPr>
          <w:p w14:paraId="5E32A0A7" w14:textId="5B731E89" w:rsidR="00E42BCD" w:rsidRDefault="00CF1F62" w:rsidP="00326ABD">
            <w:pPr>
              <w:jc w:val="center"/>
            </w:pPr>
            <w:r>
              <w:t>Q1</w:t>
            </w:r>
          </w:p>
        </w:tc>
        <w:tc>
          <w:tcPr>
            <w:tcW w:w="2487" w:type="dxa"/>
          </w:tcPr>
          <w:p w14:paraId="574A0F0B" w14:textId="2BAA472C" w:rsidR="00E42BCD" w:rsidRDefault="008746CF" w:rsidP="00326ABD">
            <w:pPr>
              <w:jc w:val="center"/>
            </w:pPr>
            <w:r>
              <w:t>Opportunity Day Event</w:t>
            </w:r>
          </w:p>
        </w:tc>
        <w:tc>
          <w:tcPr>
            <w:tcW w:w="4439" w:type="dxa"/>
          </w:tcPr>
          <w:p w14:paraId="5DFF9579" w14:textId="243F1DBD" w:rsidR="00E42BCD" w:rsidRDefault="00E42BCD">
            <w:r>
              <w:t>T</w:t>
            </w:r>
            <w:r w:rsidRPr="00BE3905">
              <w:t>he footer of Page 6 (FOA) is a link to the Federal STEM Strategic Plan. That link is dead. Do you anticipate the link being available shortly?</w:t>
            </w:r>
          </w:p>
        </w:tc>
        <w:tc>
          <w:tcPr>
            <w:tcW w:w="4826" w:type="dxa"/>
          </w:tcPr>
          <w:p w14:paraId="248F7984" w14:textId="77777777" w:rsidR="00E42BCD" w:rsidRDefault="00E42BCD">
            <w:pPr>
              <w:rPr>
                <w:rStyle w:val="Hyperlink"/>
              </w:rPr>
            </w:pPr>
            <w:r w:rsidRPr="003A2154">
              <w:t> </w:t>
            </w:r>
            <w:hyperlink r:id="rId7" w:tgtFrame="_blank" w:tooltip="https://bidenwhitehouse.archives.gov/wp-content/uploads/2024/11/2024fedstemplan.pdf" w:history="1">
              <w:r w:rsidRPr="003A2154">
                <w:rPr>
                  <w:rStyle w:val="Hyperlink"/>
                </w:rPr>
                <w:t>https://bidenwhitehouse.archives.gov/wp-content/uploads/2024/11/2024fedSTEMplan.pdf</w:t>
              </w:r>
            </w:hyperlink>
          </w:p>
          <w:p w14:paraId="31632F68" w14:textId="77777777" w:rsidR="006D051B" w:rsidRDefault="006D051B">
            <w:pPr>
              <w:rPr>
                <w:rStyle w:val="Hyperlink"/>
              </w:rPr>
            </w:pPr>
          </w:p>
          <w:p w14:paraId="31163C91" w14:textId="5D2579BD" w:rsidR="006D051B" w:rsidRDefault="006D051B">
            <w:r>
              <w:t>Updated on FOA on 31 January 2025</w:t>
            </w:r>
          </w:p>
        </w:tc>
      </w:tr>
      <w:tr w:rsidR="00E42BCD" w14:paraId="06079B01" w14:textId="77777777" w:rsidTr="00171982">
        <w:tc>
          <w:tcPr>
            <w:tcW w:w="1198" w:type="dxa"/>
          </w:tcPr>
          <w:p w14:paraId="504726B0" w14:textId="49143F5F" w:rsidR="00E42BCD" w:rsidRDefault="008746CF" w:rsidP="00326ABD">
            <w:pPr>
              <w:jc w:val="center"/>
            </w:pPr>
            <w:r>
              <w:t>Q2</w:t>
            </w:r>
          </w:p>
        </w:tc>
        <w:tc>
          <w:tcPr>
            <w:tcW w:w="2487" w:type="dxa"/>
          </w:tcPr>
          <w:p w14:paraId="54A4018E" w14:textId="032982D3" w:rsidR="00E42BCD" w:rsidRDefault="008746CF" w:rsidP="00326ABD">
            <w:pPr>
              <w:jc w:val="center"/>
            </w:pPr>
            <w:r>
              <w:t>Opportunity Day Event</w:t>
            </w:r>
          </w:p>
        </w:tc>
        <w:tc>
          <w:tcPr>
            <w:tcW w:w="4439" w:type="dxa"/>
          </w:tcPr>
          <w:p w14:paraId="4EBBD9A8" w14:textId="07879E68" w:rsidR="00E42BCD" w:rsidRDefault="00E42BCD">
            <w:r w:rsidRPr="00E737D6">
              <w:t>Are current consortium partners eligible to apply?</w:t>
            </w:r>
          </w:p>
        </w:tc>
        <w:tc>
          <w:tcPr>
            <w:tcW w:w="4826" w:type="dxa"/>
          </w:tcPr>
          <w:p w14:paraId="1799E58A" w14:textId="3C4A25A3" w:rsidR="00E42BCD" w:rsidRPr="006F05AB" w:rsidRDefault="00E42BCD" w:rsidP="007B1CC0">
            <w:r w:rsidRPr="007B1CC0">
              <w:t>Yes, current partners,</w:t>
            </w:r>
            <w:r>
              <w:t xml:space="preserve"> </w:t>
            </w:r>
            <w:r w:rsidRPr="007B1CC0">
              <w:t>including Battelle Memorial Institute, are eligible to apply.</w:t>
            </w:r>
          </w:p>
        </w:tc>
      </w:tr>
      <w:tr w:rsidR="00E42BCD" w14:paraId="5649D6F5" w14:textId="77777777" w:rsidTr="00171982">
        <w:tc>
          <w:tcPr>
            <w:tcW w:w="1198" w:type="dxa"/>
          </w:tcPr>
          <w:p w14:paraId="6CD22DDB" w14:textId="4E305CC5" w:rsidR="00E42BCD" w:rsidRDefault="008746CF" w:rsidP="00326ABD">
            <w:pPr>
              <w:jc w:val="center"/>
            </w:pPr>
            <w:r>
              <w:t>Q3</w:t>
            </w:r>
          </w:p>
        </w:tc>
        <w:tc>
          <w:tcPr>
            <w:tcW w:w="2487" w:type="dxa"/>
          </w:tcPr>
          <w:p w14:paraId="5636291D" w14:textId="6A8C9C9C" w:rsidR="00E42BCD" w:rsidRDefault="008746CF" w:rsidP="00326ABD">
            <w:pPr>
              <w:jc w:val="center"/>
            </w:pPr>
            <w:r>
              <w:t>Opportunity Day Event</w:t>
            </w:r>
          </w:p>
        </w:tc>
        <w:tc>
          <w:tcPr>
            <w:tcW w:w="4439" w:type="dxa"/>
          </w:tcPr>
          <w:p w14:paraId="5F14EED6" w14:textId="4E0D6EBD" w:rsidR="00E42BCD" w:rsidRDefault="00E42BCD">
            <w:r w:rsidRPr="007B1CC0">
              <w:t>Can organizations apply to only one area of the consortium?</w:t>
            </w:r>
          </w:p>
        </w:tc>
        <w:tc>
          <w:tcPr>
            <w:tcW w:w="4826" w:type="dxa"/>
          </w:tcPr>
          <w:p w14:paraId="411B7AFB" w14:textId="01A43308" w:rsidR="00E42BCD" w:rsidRDefault="00E42BCD" w:rsidP="003306B3">
            <w:r w:rsidRPr="003306B3">
              <w:t>No,</w:t>
            </w:r>
            <w:r>
              <w:t xml:space="preserve"> </w:t>
            </w:r>
            <w:r w:rsidRPr="003306B3">
              <w:t>organizations must apply as part of a consortium covering all nine fundamental elements.</w:t>
            </w:r>
          </w:p>
        </w:tc>
      </w:tr>
      <w:tr w:rsidR="00E42BCD" w14:paraId="356A2899" w14:textId="77777777" w:rsidTr="00171982">
        <w:tc>
          <w:tcPr>
            <w:tcW w:w="1198" w:type="dxa"/>
          </w:tcPr>
          <w:p w14:paraId="69C864CB" w14:textId="026D64B4" w:rsidR="00E42BCD" w:rsidRDefault="008746CF" w:rsidP="00326ABD">
            <w:pPr>
              <w:jc w:val="center"/>
            </w:pPr>
            <w:r>
              <w:t>Q4</w:t>
            </w:r>
          </w:p>
        </w:tc>
        <w:tc>
          <w:tcPr>
            <w:tcW w:w="2487" w:type="dxa"/>
          </w:tcPr>
          <w:p w14:paraId="47CFC03F" w14:textId="2F610336" w:rsidR="00E42BCD" w:rsidRDefault="008746CF" w:rsidP="00326ABD">
            <w:pPr>
              <w:jc w:val="center"/>
            </w:pPr>
            <w:r>
              <w:t>Opportunity Day Event</w:t>
            </w:r>
          </w:p>
        </w:tc>
        <w:tc>
          <w:tcPr>
            <w:tcW w:w="4439" w:type="dxa"/>
          </w:tcPr>
          <w:p w14:paraId="31AC1429" w14:textId="701D091C" w:rsidR="00E42BCD" w:rsidRDefault="00E42BCD">
            <w:r w:rsidRPr="003306B3">
              <w:t>Are there restrictions on the type of lead institution?</w:t>
            </w:r>
          </w:p>
        </w:tc>
        <w:tc>
          <w:tcPr>
            <w:tcW w:w="4826" w:type="dxa"/>
          </w:tcPr>
          <w:p w14:paraId="318E2690" w14:textId="14A02B98" w:rsidR="00E42BCD" w:rsidRDefault="00E42BCD" w:rsidP="003306B3">
            <w:r w:rsidRPr="003306B3">
              <w:t>Any non-federal entity</w:t>
            </w:r>
            <w:r>
              <w:t xml:space="preserve"> </w:t>
            </w:r>
            <w:r w:rsidRPr="003306B3">
              <w:t>can apply, including for-profit companies, but no profit or fee is allowed.</w:t>
            </w:r>
          </w:p>
        </w:tc>
      </w:tr>
      <w:tr w:rsidR="00E42BCD" w14:paraId="415172A4" w14:textId="77777777" w:rsidTr="00171982">
        <w:tc>
          <w:tcPr>
            <w:tcW w:w="1198" w:type="dxa"/>
          </w:tcPr>
          <w:p w14:paraId="44A43798" w14:textId="228F398F" w:rsidR="00E42BCD" w:rsidRDefault="008746CF" w:rsidP="00326ABD">
            <w:pPr>
              <w:jc w:val="center"/>
            </w:pPr>
            <w:r>
              <w:t>Q5</w:t>
            </w:r>
          </w:p>
        </w:tc>
        <w:tc>
          <w:tcPr>
            <w:tcW w:w="2487" w:type="dxa"/>
          </w:tcPr>
          <w:p w14:paraId="6AF59D08" w14:textId="37C506BC" w:rsidR="00E42BCD" w:rsidRDefault="008746CF" w:rsidP="00326ABD">
            <w:pPr>
              <w:jc w:val="center"/>
            </w:pPr>
            <w:r>
              <w:t>Opportunity Day Event</w:t>
            </w:r>
          </w:p>
        </w:tc>
        <w:tc>
          <w:tcPr>
            <w:tcW w:w="4439" w:type="dxa"/>
          </w:tcPr>
          <w:p w14:paraId="4E24F279" w14:textId="63EF16AA" w:rsidR="00E42BCD" w:rsidRDefault="00E42BCD">
            <w:r w:rsidRPr="00B921CC">
              <w:t>Will the slides and recording be posted?</w:t>
            </w:r>
          </w:p>
        </w:tc>
        <w:tc>
          <w:tcPr>
            <w:tcW w:w="4826" w:type="dxa"/>
          </w:tcPr>
          <w:p w14:paraId="7A76F993" w14:textId="30A50205" w:rsidR="00E42BCD" w:rsidRDefault="00E42BCD" w:rsidP="00B921CC">
            <w:r w:rsidRPr="00B921CC">
              <w:t xml:space="preserve">The slides </w:t>
            </w:r>
            <w:r>
              <w:t>were posted on 31 January 2025.</w:t>
            </w:r>
            <w:r w:rsidRPr="00B921CC">
              <w:t xml:space="preserve"> The session was not recorded.</w:t>
            </w:r>
          </w:p>
        </w:tc>
      </w:tr>
      <w:tr w:rsidR="00E42BCD" w14:paraId="0325E39A" w14:textId="77777777" w:rsidTr="00171982">
        <w:tc>
          <w:tcPr>
            <w:tcW w:w="1198" w:type="dxa"/>
          </w:tcPr>
          <w:p w14:paraId="6CA7C954" w14:textId="6F845329" w:rsidR="00E42BCD" w:rsidRDefault="008746CF" w:rsidP="00326ABD">
            <w:pPr>
              <w:jc w:val="center"/>
            </w:pPr>
            <w:r>
              <w:t>Q6</w:t>
            </w:r>
          </w:p>
        </w:tc>
        <w:tc>
          <w:tcPr>
            <w:tcW w:w="2487" w:type="dxa"/>
          </w:tcPr>
          <w:p w14:paraId="7BE38DDA" w14:textId="1CA02527" w:rsidR="00E42BCD" w:rsidRDefault="008746CF" w:rsidP="00326ABD">
            <w:pPr>
              <w:jc w:val="center"/>
            </w:pPr>
            <w:r>
              <w:t>Opportunity Day Event</w:t>
            </w:r>
          </w:p>
        </w:tc>
        <w:tc>
          <w:tcPr>
            <w:tcW w:w="4439" w:type="dxa"/>
          </w:tcPr>
          <w:p w14:paraId="0658C457" w14:textId="73CF621D" w:rsidR="00E42BCD" w:rsidRDefault="00E42BCD">
            <w:r w:rsidRPr="000B0D56">
              <w:t>Is the STEM Learning Hub available for preview?</w:t>
            </w:r>
          </w:p>
        </w:tc>
        <w:tc>
          <w:tcPr>
            <w:tcW w:w="4826" w:type="dxa"/>
          </w:tcPr>
          <w:p w14:paraId="1670DEF4" w14:textId="7766A042" w:rsidR="00E42BCD" w:rsidRDefault="00E42BCD" w:rsidP="000B0D56">
            <w:r w:rsidRPr="000B0D56">
              <w:t>Currently, the STEM</w:t>
            </w:r>
            <w:r>
              <w:t xml:space="preserve"> </w:t>
            </w:r>
            <w:r w:rsidRPr="000B0D56">
              <w:t>Learning Hub is not publicly available, but access may be provided upon request</w:t>
            </w:r>
          </w:p>
        </w:tc>
      </w:tr>
      <w:tr w:rsidR="00E42BCD" w14:paraId="36E7CAEC" w14:textId="77777777" w:rsidTr="00171982">
        <w:tc>
          <w:tcPr>
            <w:tcW w:w="1198" w:type="dxa"/>
          </w:tcPr>
          <w:p w14:paraId="557F748F" w14:textId="756A2FEE" w:rsidR="00E42BCD" w:rsidRDefault="008746CF" w:rsidP="00326ABD">
            <w:pPr>
              <w:jc w:val="center"/>
            </w:pPr>
            <w:r>
              <w:t>Q7</w:t>
            </w:r>
          </w:p>
        </w:tc>
        <w:tc>
          <w:tcPr>
            <w:tcW w:w="2487" w:type="dxa"/>
          </w:tcPr>
          <w:p w14:paraId="15A785B8" w14:textId="46BE0E40" w:rsidR="00E42BCD" w:rsidRDefault="008746CF" w:rsidP="00326ABD">
            <w:pPr>
              <w:jc w:val="center"/>
            </w:pPr>
            <w:r>
              <w:t>Opportunity Day Event</w:t>
            </w:r>
          </w:p>
        </w:tc>
        <w:tc>
          <w:tcPr>
            <w:tcW w:w="4439" w:type="dxa"/>
          </w:tcPr>
          <w:p w14:paraId="11BB8924" w14:textId="3510AFCE" w:rsidR="00E42BCD" w:rsidRDefault="00E42BCD">
            <w:r w:rsidRPr="000B0D56">
              <w:t>Are organizations required to be located in the US?</w:t>
            </w:r>
          </w:p>
        </w:tc>
        <w:tc>
          <w:tcPr>
            <w:tcW w:w="4826" w:type="dxa"/>
          </w:tcPr>
          <w:p w14:paraId="6288D888" w14:textId="67B4BA45" w:rsidR="00E42BCD" w:rsidRDefault="00E42BCD" w:rsidP="008D138E">
            <w:r w:rsidRPr="008D138E">
              <w:t>Yes, organizations must</w:t>
            </w:r>
            <w:r>
              <w:t xml:space="preserve"> </w:t>
            </w:r>
            <w:r w:rsidRPr="008D138E">
              <w:t>be located in the US, including territories like Puerto Rico.</w:t>
            </w:r>
          </w:p>
        </w:tc>
      </w:tr>
      <w:tr w:rsidR="00E42BCD" w14:paraId="3FBC9DCB" w14:textId="77777777" w:rsidTr="00171982">
        <w:tc>
          <w:tcPr>
            <w:tcW w:w="1198" w:type="dxa"/>
          </w:tcPr>
          <w:p w14:paraId="7560A0B0" w14:textId="59AF2543" w:rsidR="00E42BCD" w:rsidRDefault="008746CF" w:rsidP="00326ABD">
            <w:pPr>
              <w:jc w:val="center"/>
            </w:pPr>
            <w:r>
              <w:t>Q8</w:t>
            </w:r>
          </w:p>
        </w:tc>
        <w:tc>
          <w:tcPr>
            <w:tcW w:w="2487" w:type="dxa"/>
          </w:tcPr>
          <w:p w14:paraId="170181CB" w14:textId="0435993A" w:rsidR="00E42BCD" w:rsidRDefault="008746CF" w:rsidP="00326ABD">
            <w:pPr>
              <w:jc w:val="center"/>
            </w:pPr>
            <w:r>
              <w:t>Opportunity Day Event</w:t>
            </w:r>
          </w:p>
        </w:tc>
        <w:tc>
          <w:tcPr>
            <w:tcW w:w="4439" w:type="dxa"/>
          </w:tcPr>
          <w:p w14:paraId="79D22AA7" w14:textId="10120FD8" w:rsidR="00E42BCD" w:rsidRDefault="00E42BCD">
            <w:r w:rsidRPr="008D138E">
              <w:t>Will forums be provided for partnerships?</w:t>
            </w:r>
          </w:p>
        </w:tc>
        <w:tc>
          <w:tcPr>
            <w:tcW w:w="4826" w:type="dxa"/>
          </w:tcPr>
          <w:p w14:paraId="0EBB3A6A" w14:textId="5795AA8E" w:rsidR="00E42BCD" w:rsidRDefault="00E42BCD" w:rsidP="0004693F">
            <w:r w:rsidRPr="0004693F">
              <w:t>No, organizations are responsible</w:t>
            </w:r>
            <w:r>
              <w:t xml:space="preserve"> </w:t>
            </w:r>
            <w:r w:rsidRPr="0004693F">
              <w:t>for forming partnerships independently.</w:t>
            </w:r>
          </w:p>
        </w:tc>
      </w:tr>
      <w:tr w:rsidR="00E42BCD" w14:paraId="3433456D" w14:textId="77777777" w:rsidTr="00171982">
        <w:tc>
          <w:tcPr>
            <w:tcW w:w="1198" w:type="dxa"/>
          </w:tcPr>
          <w:p w14:paraId="41FE51CF" w14:textId="2D45298C" w:rsidR="00E42BCD" w:rsidRDefault="008746CF" w:rsidP="00326ABD">
            <w:pPr>
              <w:jc w:val="center"/>
            </w:pPr>
            <w:r>
              <w:t>Q9</w:t>
            </w:r>
          </w:p>
        </w:tc>
        <w:tc>
          <w:tcPr>
            <w:tcW w:w="2487" w:type="dxa"/>
          </w:tcPr>
          <w:p w14:paraId="54953C9A" w14:textId="1743EFBC" w:rsidR="00E42BCD" w:rsidRDefault="008746CF" w:rsidP="00326ABD">
            <w:pPr>
              <w:jc w:val="center"/>
            </w:pPr>
            <w:r>
              <w:t>Opportunity Day Event</w:t>
            </w:r>
          </w:p>
        </w:tc>
        <w:tc>
          <w:tcPr>
            <w:tcW w:w="4439" w:type="dxa"/>
          </w:tcPr>
          <w:p w14:paraId="1D54FE1A" w14:textId="1D56B4E3" w:rsidR="00E42BCD" w:rsidRDefault="00E42BCD">
            <w:r w:rsidRPr="00DE6E9E">
              <w:t>Please confirm when questions are due. You stated 14-Feb earlier but on Page 57 of the FOA it indicates questions are due 7-Feb - please clarify</w:t>
            </w:r>
            <w:r>
              <w:t>.</w:t>
            </w:r>
          </w:p>
        </w:tc>
        <w:tc>
          <w:tcPr>
            <w:tcW w:w="4826" w:type="dxa"/>
          </w:tcPr>
          <w:p w14:paraId="60A4FAB8" w14:textId="07FD5947" w:rsidR="00E42BCD" w:rsidRDefault="00E42BCD">
            <w:r>
              <w:t>Questions are due by February 14</w:t>
            </w:r>
            <w:r w:rsidRPr="00847615">
              <w:rPr>
                <w:vertAlign w:val="superscript"/>
              </w:rPr>
              <w:t>th</w:t>
            </w:r>
            <w:r>
              <w:t>. The FOA has been updated on page 57 to reflect this.</w:t>
            </w:r>
          </w:p>
        </w:tc>
      </w:tr>
      <w:tr w:rsidR="00E42BCD" w14:paraId="22C587BC" w14:textId="77777777" w:rsidTr="00171982">
        <w:tc>
          <w:tcPr>
            <w:tcW w:w="1198" w:type="dxa"/>
          </w:tcPr>
          <w:p w14:paraId="2DFB459C" w14:textId="721E5FBB" w:rsidR="00E42BCD" w:rsidRDefault="008746CF" w:rsidP="00326ABD">
            <w:pPr>
              <w:jc w:val="center"/>
            </w:pPr>
            <w:r>
              <w:t>Q10</w:t>
            </w:r>
          </w:p>
        </w:tc>
        <w:tc>
          <w:tcPr>
            <w:tcW w:w="2487" w:type="dxa"/>
          </w:tcPr>
          <w:p w14:paraId="1BAA3170" w14:textId="2450B27A" w:rsidR="00E42BCD" w:rsidRDefault="008746CF" w:rsidP="00326ABD">
            <w:pPr>
              <w:jc w:val="center"/>
            </w:pPr>
            <w:r>
              <w:t>Opportunity Day Event</w:t>
            </w:r>
          </w:p>
        </w:tc>
        <w:tc>
          <w:tcPr>
            <w:tcW w:w="4439" w:type="dxa"/>
          </w:tcPr>
          <w:p w14:paraId="50BB06AC" w14:textId="0942C254" w:rsidR="00E42BCD" w:rsidRDefault="00E42BCD">
            <w:r>
              <w:t>There will be a</w:t>
            </w:r>
            <w:r w:rsidRPr="00B75973">
              <w:t xml:space="preserve"> single award, correct?</w:t>
            </w:r>
          </w:p>
        </w:tc>
        <w:tc>
          <w:tcPr>
            <w:tcW w:w="4826" w:type="dxa"/>
          </w:tcPr>
          <w:p w14:paraId="31FBC51C" w14:textId="5CDC3449" w:rsidR="00E42BCD" w:rsidRDefault="00E42BCD">
            <w:r>
              <w:t>Yes.</w:t>
            </w:r>
          </w:p>
        </w:tc>
      </w:tr>
      <w:tr w:rsidR="00E42BCD" w14:paraId="66B6257D" w14:textId="77777777" w:rsidTr="00171982">
        <w:tc>
          <w:tcPr>
            <w:tcW w:w="1198" w:type="dxa"/>
          </w:tcPr>
          <w:p w14:paraId="0EF4F27E" w14:textId="5479A385" w:rsidR="00E42BCD" w:rsidRDefault="00EB7226" w:rsidP="00326ABD">
            <w:pPr>
              <w:jc w:val="center"/>
            </w:pPr>
            <w:r>
              <w:t>Q11</w:t>
            </w:r>
          </w:p>
        </w:tc>
        <w:tc>
          <w:tcPr>
            <w:tcW w:w="2487" w:type="dxa"/>
          </w:tcPr>
          <w:p w14:paraId="66079247" w14:textId="3CEADA7B" w:rsidR="00E42BCD" w:rsidRDefault="00EB7226" w:rsidP="00326ABD">
            <w:pPr>
              <w:jc w:val="center"/>
            </w:pPr>
            <w:r>
              <w:t>Email</w:t>
            </w:r>
          </w:p>
        </w:tc>
        <w:tc>
          <w:tcPr>
            <w:tcW w:w="4439" w:type="dxa"/>
          </w:tcPr>
          <w:p w14:paraId="57344B5A" w14:textId="0DB7EE53" w:rsidR="00E42BCD" w:rsidRDefault="00EB7226">
            <w:r w:rsidRPr="00EB7226">
              <w:t>Does this opportunity strictly include a request for funding to oversee the overarching consortium or are organizations also welcome to apply for funding for individual elements of the proposal (i.e., receive funding for Fundamental Element 5: Strategic Outreach Initiatives)?  </w:t>
            </w:r>
          </w:p>
        </w:tc>
        <w:tc>
          <w:tcPr>
            <w:tcW w:w="4826" w:type="dxa"/>
          </w:tcPr>
          <w:p w14:paraId="36E7B0BA" w14:textId="77777777" w:rsidR="00D51668" w:rsidRPr="00D51668" w:rsidRDefault="00D51668" w:rsidP="00D51668">
            <w:r w:rsidRPr="00D51668">
              <w:t xml:space="preserve">This opportunity will result in only one recipient of the cooperative agreement who will be the consortium manager / lead organization. We are not accepting proposals for individual elements. However, if you are interested in particular elements, then you may partner with an applicant (potential lead organization) as a consortium member. As a member, you will be </w:t>
            </w:r>
            <w:r w:rsidRPr="00D51668">
              <w:lastRenderedPageBreak/>
              <w:t>able to apply for funding for the element(s) applicable to your organization.</w:t>
            </w:r>
          </w:p>
          <w:p w14:paraId="0C3BA1AD" w14:textId="77777777" w:rsidR="00E42BCD" w:rsidRDefault="00E42BCD"/>
        </w:tc>
      </w:tr>
      <w:tr w:rsidR="00E42BCD" w14:paraId="715B8191" w14:textId="77777777" w:rsidTr="00171982">
        <w:tc>
          <w:tcPr>
            <w:tcW w:w="1198" w:type="dxa"/>
          </w:tcPr>
          <w:p w14:paraId="74C91CBA" w14:textId="676AD08A" w:rsidR="00E42BCD" w:rsidRDefault="003724DB" w:rsidP="00326ABD">
            <w:pPr>
              <w:jc w:val="center"/>
            </w:pPr>
            <w:r>
              <w:lastRenderedPageBreak/>
              <w:t>Q12</w:t>
            </w:r>
          </w:p>
        </w:tc>
        <w:tc>
          <w:tcPr>
            <w:tcW w:w="2487" w:type="dxa"/>
          </w:tcPr>
          <w:p w14:paraId="625FF01F" w14:textId="005D5B00" w:rsidR="00E42BCD" w:rsidRDefault="003724DB" w:rsidP="00326ABD">
            <w:pPr>
              <w:jc w:val="center"/>
            </w:pPr>
            <w:r>
              <w:t>Email</w:t>
            </w:r>
          </w:p>
        </w:tc>
        <w:tc>
          <w:tcPr>
            <w:tcW w:w="4439" w:type="dxa"/>
          </w:tcPr>
          <w:p w14:paraId="09B91D7B" w14:textId="77777777" w:rsidR="003724DB" w:rsidRPr="003724DB" w:rsidRDefault="003724DB" w:rsidP="003724DB">
            <w:r w:rsidRPr="003724DB">
              <w:t xml:space="preserve">I can see in Section 10 Profit/Fee &amp; Section G.2.l. that fee is not permitted, but what I’m wondering is if we were to execute a FPP Subcontract, can the SUBK include fee in their proposal? </w:t>
            </w:r>
          </w:p>
          <w:p w14:paraId="1DACBDBE" w14:textId="77777777" w:rsidR="003724DB" w:rsidRPr="003724DB" w:rsidRDefault="003724DB" w:rsidP="003724DB">
            <w:r w:rsidRPr="003724DB">
              <w:t> </w:t>
            </w:r>
          </w:p>
          <w:p w14:paraId="06F7F57F" w14:textId="77777777" w:rsidR="003724DB" w:rsidRPr="003724DB" w:rsidRDefault="003724DB" w:rsidP="003724DB">
            <w:r w:rsidRPr="003724DB">
              <w:t>We are a non-profit organization, associated with an IHE.</w:t>
            </w:r>
          </w:p>
          <w:p w14:paraId="62FF5F6D" w14:textId="77777777" w:rsidR="00E42BCD" w:rsidRDefault="00E42BCD"/>
        </w:tc>
        <w:tc>
          <w:tcPr>
            <w:tcW w:w="4826" w:type="dxa"/>
          </w:tcPr>
          <w:p w14:paraId="47CB4F57" w14:textId="77777777" w:rsidR="00B85D96" w:rsidRPr="00B85D96" w:rsidRDefault="00B85D96" w:rsidP="00B85D96">
            <w:r w:rsidRPr="00B85D96">
              <w:t>The rule is anyone engaged in the public purpose of the award cannot receive profit or fee. Basically, if they are performing the effort under the CA, they cannot receive a profit or fee. In my example of materials, the materials provider is not performing the work for the public purpose of the award, so they are not expected to forego a profit. A rule of thumb – We can pay for commercial supplies or services to support the effort, but anyone doing the effort cannot receive a profit or fee at the prime or sub level.</w:t>
            </w:r>
          </w:p>
          <w:p w14:paraId="79FCC697" w14:textId="6CB57244" w:rsidR="00E42BCD" w:rsidRDefault="00E42BCD" w:rsidP="00B85D96"/>
        </w:tc>
      </w:tr>
      <w:tr w:rsidR="00E42BCD" w14:paraId="592697F1" w14:textId="77777777" w:rsidTr="00171982">
        <w:tc>
          <w:tcPr>
            <w:tcW w:w="1198" w:type="dxa"/>
          </w:tcPr>
          <w:p w14:paraId="5E869B79" w14:textId="188421C6" w:rsidR="00E42BCD" w:rsidRDefault="00DE00A3" w:rsidP="00326ABD">
            <w:pPr>
              <w:jc w:val="center"/>
            </w:pPr>
            <w:r>
              <w:t>Q13</w:t>
            </w:r>
          </w:p>
        </w:tc>
        <w:tc>
          <w:tcPr>
            <w:tcW w:w="2487" w:type="dxa"/>
          </w:tcPr>
          <w:p w14:paraId="6D075E46" w14:textId="652FF9CF" w:rsidR="00E42BCD" w:rsidRDefault="00DE00A3" w:rsidP="00326ABD">
            <w:pPr>
              <w:jc w:val="center"/>
            </w:pPr>
            <w:r>
              <w:t>Email</w:t>
            </w:r>
          </w:p>
        </w:tc>
        <w:tc>
          <w:tcPr>
            <w:tcW w:w="4439" w:type="dxa"/>
          </w:tcPr>
          <w:p w14:paraId="545FAC25" w14:textId="2AE936EB" w:rsidR="00257204" w:rsidRPr="00257204" w:rsidRDefault="00257204" w:rsidP="00257204">
            <w:r w:rsidRPr="00257204">
              <w:t>If we are interested in participating only in Element 5, we should not apply at this time, and once the Consortium is chosen, they will send an RFP for element partners</w:t>
            </w:r>
            <w:r w:rsidR="00404E39">
              <w:t>?</w:t>
            </w:r>
          </w:p>
          <w:p w14:paraId="755BDD15" w14:textId="77777777" w:rsidR="00257204" w:rsidRPr="00257204" w:rsidRDefault="00257204" w:rsidP="00257204"/>
          <w:p w14:paraId="603D6012" w14:textId="77777777" w:rsidR="00257204" w:rsidRPr="00257204" w:rsidRDefault="00257204" w:rsidP="00257204">
            <w:r w:rsidRPr="00257204">
              <w:t>Or</w:t>
            </w:r>
          </w:p>
          <w:p w14:paraId="2D9B6CAE" w14:textId="77777777" w:rsidR="00257204" w:rsidRPr="00257204" w:rsidRDefault="00257204" w:rsidP="00257204"/>
          <w:p w14:paraId="3EA51665" w14:textId="77777777" w:rsidR="00257204" w:rsidRPr="00257204" w:rsidRDefault="00257204" w:rsidP="00257204">
            <w:r w:rsidRPr="00257204">
              <w:t>Would we need to be included in a proposal from an organization that submits as a lead organization as a partner in a specific element effort?</w:t>
            </w:r>
          </w:p>
          <w:p w14:paraId="396C460C" w14:textId="77777777" w:rsidR="00E42BCD" w:rsidRDefault="00E42BCD"/>
        </w:tc>
        <w:tc>
          <w:tcPr>
            <w:tcW w:w="4826" w:type="dxa"/>
          </w:tcPr>
          <w:p w14:paraId="1BE0C454" w14:textId="77777777" w:rsidR="000150CD" w:rsidRPr="000150CD" w:rsidRDefault="000150CD" w:rsidP="000150CD">
            <w:r w:rsidRPr="000150CD">
              <w:t xml:space="preserve">The latter option is true. To be a part of the initial Consortium, your organization should partner with the Applicant / Lead Org and be included on the proposal to the Govt. </w:t>
            </w:r>
          </w:p>
          <w:p w14:paraId="18D8814A" w14:textId="77777777" w:rsidR="000150CD" w:rsidRPr="000150CD" w:rsidRDefault="000150CD" w:rsidP="000150CD"/>
          <w:p w14:paraId="44E4C541" w14:textId="46459DEF" w:rsidR="000150CD" w:rsidRPr="000150CD" w:rsidRDefault="000150CD" w:rsidP="000150CD">
            <w:r w:rsidRPr="000150CD">
              <w:t>Although – Element 1 of the FOA states “The Lead Organization should establish structure and guidance such that at the request of the Consortium and at the approval of the CMC and the government, additional Consortium Members may be added to or removed to advance ASEC efforts and improve alignment to emerging areas of interest or to address gaps within the Consortium (pg</w:t>
            </w:r>
            <w:r>
              <w:t>.</w:t>
            </w:r>
            <w:r w:rsidRPr="000150CD">
              <w:t xml:space="preserve"> 9)”. So, any org can be added after award as well. The Recipient will likely not issue any sort of RFP for element partners after award.</w:t>
            </w:r>
          </w:p>
          <w:p w14:paraId="09C802F8" w14:textId="77777777" w:rsidR="00E42BCD" w:rsidRDefault="00E42BCD"/>
        </w:tc>
      </w:tr>
      <w:tr w:rsidR="00DE00A3" w14:paraId="12799783" w14:textId="77777777" w:rsidTr="00171982">
        <w:tc>
          <w:tcPr>
            <w:tcW w:w="1198" w:type="dxa"/>
          </w:tcPr>
          <w:p w14:paraId="7156C524" w14:textId="2DF6AE91" w:rsidR="00DE00A3" w:rsidRDefault="000150CD" w:rsidP="00326ABD">
            <w:pPr>
              <w:jc w:val="center"/>
            </w:pPr>
            <w:r>
              <w:lastRenderedPageBreak/>
              <w:t>Q14</w:t>
            </w:r>
          </w:p>
        </w:tc>
        <w:tc>
          <w:tcPr>
            <w:tcW w:w="2487" w:type="dxa"/>
          </w:tcPr>
          <w:p w14:paraId="28D5F981" w14:textId="1AA44DC4" w:rsidR="00DE00A3" w:rsidRDefault="000150CD" w:rsidP="00326ABD">
            <w:pPr>
              <w:jc w:val="center"/>
            </w:pPr>
            <w:r>
              <w:t>Email</w:t>
            </w:r>
          </w:p>
        </w:tc>
        <w:tc>
          <w:tcPr>
            <w:tcW w:w="4439" w:type="dxa"/>
          </w:tcPr>
          <w:p w14:paraId="7953254B" w14:textId="77777777" w:rsidR="009B38B2" w:rsidRDefault="009B38B2" w:rsidP="009B38B2">
            <w:pPr>
              <w:numPr>
                <w:ilvl w:val="0"/>
                <w:numId w:val="1"/>
              </w:numPr>
            </w:pPr>
            <w:r w:rsidRPr="009B38B2">
              <w:t xml:space="preserve">There is no mention of a central registration system in the FOA. Is this something that should be included in the budget and administration plan? If so, can you provide a cost estimate? </w:t>
            </w:r>
          </w:p>
          <w:p w14:paraId="5CC117E4" w14:textId="77777777" w:rsidR="00171982" w:rsidRPr="009B38B2" w:rsidRDefault="00171982" w:rsidP="00171982">
            <w:pPr>
              <w:ind w:left="720"/>
            </w:pPr>
          </w:p>
          <w:p w14:paraId="05CA9D85" w14:textId="77777777" w:rsidR="009B38B2" w:rsidRDefault="009B38B2" w:rsidP="009B38B2">
            <w:pPr>
              <w:numPr>
                <w:ilvl w:val="0"/>
                <w:numId w:val="1"/>
              </w:numPr>
            </w:pPr>
            <w:r w:rsidRPr="009B38B2">
              <w:t>What are the requirements around paying internships and fellowships under employee arrangements? We run a model internship program which provides for clearances for the interns to work directly with defense laboratories and government stakeholders, however, a stipulation of providing clearances is that they must be hired as employees including some overhead costs. Can this model be replicated under the Army STEM program due to the benefits in securing clearances for the interns? If so, is there a limit to the amount of overhead that would be allowable?</w:t>
            </w:r>
          </w:p>
          <w:p w14:paraId="04EF60AE" w14:textId="77777777" w:rsidR="00171982" w:rsidRPr="009B38B2" w:rsidRDefault="00171982" w:rsidP="00171982"/>
          <w:p w14:paraId="4909A0C0" w14:textId="77777777" w:rsidR="009B38B2" w:rsidRDefault="009B38B2" w:rsidP="009B38B2">
            <w:pPr>
              <w:numPr>
                <w:ilvl w:val="0"/>
                <w:numId w:val="1"/>
              </w:numPr>
            </w:pPr>
            <w:r w:rsidRPr="009B38B2">
              <w:t>What level of autonomy will the performer have in managing and updating content on the Army STEM website?</w:t>
            </w:r>
          </w:p>
          <w:p w14:paraId="324A856F" w14:textId="77777777" w:rsidR="00171982" w:rsidRPr="009B38B2" w:rsidRDefault="00171982" w:rsidP="00171982"/>
          <w:p w14:paraId="1168D0C0" w14:textId="77777777" w:rsidR="009B38B2" w:rsidRDefault="009B38B2" w:rsidP="009B38B2">
            <w:pPr>
              <w:numPr>
                <w:ilvl w:val="0"/>
                <w:numId w:val="1"/>
              </w:numPr>
            </w:pPr>
            <w:r w:rsidRPr="009B38B2">
              <w:t>Will the performer need to host and maintain sections of the website, or will it be fully managed by the Army?</w:t>
            </w:r>
          </w:p>
          <w:p w14:paraId="5ABFF78E" w14:textId="77777777" w:rsidR="00171982" w:rsidRPr="009B38B2" w:rsidRDefault="00171982" w:rsidP="00171982"/>
          <w:p w14:paraId="7D1D17E9" w14:textId="77777777" w:rsidR="009B38B2" w:rsidRDefault="009B38B2" w:rsidP="009B38B2">
            <w:pPr>
              <w:numPr>
                <w:ilvl w:val="0"/>
                <w:numId w:val="1"/>
              </w:numPr>
            </w:pPr>
            <w:r w:rsidRPr="009B38B2">
              <w:lastRenderedPageBreak/>
              <w:t>How frequently should content updates and reports on web engagement and outreach success be provided?</w:t>
            </w:r>
          </w:p>
          <w:p w14:paraId="7FF022AC" w14:textId="77777777" w:rsidR="00171982" w:rsidRPr="009B38B2" w:rsidRDefault="00171982" w:rsidP="00171982"/>
          <w:p w14:paraId="602B2E65" w14:textId="77777777" w:rsidR="009B38B2" w:rsidRPr="009B38B2" w:rsidRDefault="009B38B2" w:rsidP="009B38B2">
            <w:pPr>
              <w:numPr>
                <w:ilvl w:val="0"/>
                <w:numId w:val="1"/>
              </w:numPr>
            </w:pPr>
            <w:r w:rsidRPr="009B38B2">
              <w:t>Will there be data-sharing requirements for tracking engagement metrics on the outreach efforts?</w:t>
            </w:r>
          </w:p>
          <w:p w14:paraId="33D1946B" w14:textId="77777777" w:rsidR="00DE00A3" w:rsidRDefault="00DE00A3"/>
        </w:tc>
        <w:tc>
          <w:tcPr>
            <w:tcW w:w="4826" w:type="dxa"/>
          </w:tcPr>
          <w:p w14:paraId="7C7D39E3" w14:textId="79265BC5" w:rsidR="00171982" w:rsidRPr="00171982" w:rsidRDefault="00171982" w:rsidP="00171982">
            <w:pPr>
              <w:pStyle w:val="ListParagraph"/>
              <w:numPr>
                <w:ilvl w:val="0"/>
                <w:numId w:val="3"/>
              </w:numPr>
              <w:rPr>
                <w:rFonts w:eastAsia="Times New Roman"/>
                <w:color w:val="000000" w:themeColor="text1"/>
              </w:rPr>
            </w:pPr>
            <w:r w:rsidRPr="00171982">
              <w:rPr>
                <w:rFonts w:eastAsia="Times New Roman"/>
                <w:color w:val="000000" w:themeColor="text1"/>
              </w:rPr>
              <w:lastRenderedPageBreak/>
              <w:t xml:space="preserve">There are mentions of a centralized registration tool throughout the FOA. Most relevant to this question is under Element 1, Metrics, page 13. “In addition, the LO is responsible for ensuring that all ASEC programming is advertised through the centralized website and all programs capture application/registration/selection data through the centralized application tool, unless otherwise approved by CAM, and that core cross-consortium data is collected and reported correctly. </w:t>
            </w:r>
          </w:p>
          <w:p w14:paraId="6B22BFE2" w14:textId="77777777" w:rsidR="00171982" w:rsidRPr="00171982" w:rsidRDefault="00171982" w:rsidP="00171982">
            <w:pPr>
              <w:pStyle w:val="ListParagraph"/>
              <w:ind w:left="1440"/>
              <w:rPr>
                <w:color w:val="000000" w:themeColor="text1"/>
              </w:rPr>
            </w:pPr>
          </w:p>
          <w:p w14:paraId="359AA7E1" w14:textId="4661FC2C" w:rsidR="00171982" w:rsidRPr="00171982" w:rsidRDefault="00171982" w:rsidP="00171982">
            <w:pPr>
              <w:pStyle w:val="ListParagraph"/>
              <w:numPr>
                <w:ilvl w:val="0"/>
                <w:numId w:val="3"/>
              </w:numPr>
              <w:rPr>
                <w:rFonts w:eastAsia="Times New Roman"/>
                <w:color w:val="000000" w:themeColor="text1"/>
              </w:rPr>
            </w:pPr>
            <w:r w:rsidRPr="00171982">
              <w:rPr>
                <w:rFonts w:eastAsia="Times New Roman"/>
                <w:color w:val="000000" w:themeColor="text1"/>
              </w:rPr>
              <w:t>Army STEM Interns and Fellows are not GOV employees, contractors, nor employees of the IPA/LO. Internships/Fellowships offered under the ASEC will not include “hiring” agreements with host sites. Clearances and other access efforts are the responsibility of the host site.</w:t>
            </w:r>
          </w:p>
          <w:p w14:paraId="0927286D" w14:textId="77777777" w:rsidR="00171982" w:rsidRPr="00171982" w:rsidRDefault="00171982" w:rsidP="00171982">
            <w:pPr>
              <w:ind w:left="1440"/>
              <w:rPr>
                <w:color w:val="000000" w:themeColor="text1"/>
              </w:rPr>
            </w:pPr>
          </w:p>
          <w:p w14:paraId="33CB1C7D" w14:textId="6B42C013" w:rsidR="00171982" w:rsidRPr="00171982" w:rsidRDefault="00171982" w:rsidP="00171982">
            <w:pPr>
              <w:pStyle w:val="ListParagraph"/>
              <w:numPr>
                <w:ilvl w:val="0"/>
                <w:numId w:val="3"/>
              </w:numPr>
              <w:rPr>
                <w:rFonts w:eastAsia="Times New Roman"/>
                <w:color w:val="000000" w:themeColor="text1"/>
              </w:rPr>
            </w:pPr>
            <w:r w:rsidRPr="00171982">
              <w:rPr>
                <w:rFonts w:eastAsia="Times New Roman"/>
                <w:color w:val="000000" w:themeColor="text1"/>
              </w:rPr>
              <w:t>The consortium can define that autonomy. There will still be GOV oversight by the CAM.</w:t>
            </w:r>
          </w:p>
          <w:p w14:paraId="1210C3F3" w14:textId="77777777" w:rsidR="00171982" w:rsidRPr="00171982" w:rsidRDefault="00171982" w:rsidP="00171982">
            <w:pPr>
              <w:ind w:left="1440"/>
              <w:rPr>
                <w:color w:val="000000" w:themeColor="text1"/>
              </w:rPr>
            </w:pPr>
          </w:p>
          <w:p w14:paraId="544F6C30" w14:textId="08F0EFEF" w:rsidR="00171982" w:rsidRPr="00171982" w:rsidRDefault="00171982" w:rsidP="00171982">
            <w:pPr>
              <w:pStyle w:val="ListParagraph"/>
              <w:numPr>
                <w:ilvl w:val="0"/>
                <w:numId w:val="3"/>
              </w:numPr>
              <w:rPr>
                <w:rFonts w:eastAsia="Times New Roman"/>
                <w:color w:val="000000" w:themeColor="text1"/>
              </w:rPr>
            </w:pPr>
            <w:r w:rsidRPr="00171982">
              <w:rPr>
                <w:rFonts w:eastAsia="Times New Roman"/>
                <w:color w:val="000000" w:themeColor="text1"/>
              </w:rPr>
              <w:t xml:space="preserve">The website will be managed by Element 3 lead with input from consortium members. The consortium can determine roles/responsibilities of hosting/maintenance. </w:t>
            </w:r>
          </w:p>
          <w:p w14:paraId="05F64927" w14:textId="77777777" w:rsidR="00171982" w:rsidRPr="00171982" w:rsidRDefault="00171982" w:rsidP="00171982">
            <w:pPr>
              <w:ind w:left="1440"/>
              <w:rPr>
                <w:color w:val="000000" w:themeColor="text1"/>
              </w:rPr>
            </w:pPr>
          </w:p>
          <w:p w14:paraId="2CAB45E3" w14:textId="0FDB1395" w:rsidR="00171982" w:rsidRPr="00171982" w:rsidRDefault="00171982" w:rsidP="00171982">
            <w:pPr>
              <w:pStyle w:val="ListParagraph"/>
              <w:numPr>
                <w:ilvl w:val="0"/>
                <w:numId w:val="3"/>
              </w:numPr>
              <w:rPr>
                <w:rFonts w:eastAsia="Times New Roman"/>
                <w:color w:val="000000" w:themeColor="text1"/>
              </w:rPr>
            </w:pPr>
            <w:r w:rsidRPr="00171982">
              <w:rPr>
                <w:rFonts w:eastAsia="Times New Roman"/>
                <w:color w:val="000000" w:themeColor="text1"/>
              </w:rPr>
              <w:lastRenderedPageBreak/>
              <w:t>This can be included in the monthly status reports mentioned on page 31.</w:t>
            </w:r>
          </w:p>
          <w:p w14:paraId="41A4ED0E" w14:textId="77777777" w:rsidR="00171982" w:rsidRPr="00171982" w:rsidRDefault="00171982" w:rsidP="00171982">
            <w:pPr>
              <w:ind w:left="1440"/>
              <w:rPr>
                <w:color w:val="000000" w:themeColor="text1"/>
              </w:rPr>
            </w:pPr>
          </w:p>
          <w:p w14:paraId="0A379C73" w14:textId="617F3253" w:rsidR="00DE00A3" w:rsidRPr="00171982" w:rsidRDefault="006613A3" w:rsidP="006613A3">
            <w:pPr>
              <w:pStyle w:val="ListParagraph"/>
              <w:numPr>
                <w:ilvl w:val="0"/>
                <w:numId w:val="3"/>
              </w:numPr>
              <w:rPr>
                <w:color w:val="000000" w:themeColor="text1"/>
              </w:rPr>
            </w:pPr>
            <w:r w:rsidRPr="006613A3">
              <w:rPr>
                <w:color w:val="000000" w:themeColor="text1"/>
              </w:rPr>
              <w:t>The Gov</w:t>
            </w:r>
            <w:r>
              <w:rPr>
                <w:color w:val="000000" w:themeColor="text1"/>
              </w:rPr>
              <w:t>ernment</w:t>
            </w:r>
            <w:r w:rsidRPr="006613A3">
              <w:rPr>
                <w:color w:val="000000" w:themeColor="text1"/>
              </w:rPr>
              <w:t xml:space="preserve"> followed up with the organization for clarification on this question, but did not receive a response before the Q&amp;A deadline. The Gov</w:t>
            </w:r>
            <w:r>
              <w:rPr>
                <w:color w:val="000000" w:themeColor="text1"/>
              </w:rPr>
              <w:t xml:space="preserve">ernment was therefore unable to </w:t>
            </w:r>
            <w:r w:rsidRPr="006613A3">
              <w:rPr>
                <w:color w:val="000000" w:themeColor="text1"/>
              </w:rPr>
              <w:t>answer this question as is.</w:t>
            </w:r>
          </w:p>
        </w:tc>
      </w:tr>
      <w:tr w:rsidR="00DE00A3" w14:paraId="7C4ACBA4" w14:textId="77777777" w:rsidTr="00171982">
        <w:tc>
          <w:tcPr>
            <w:tcW w:w="1198" w:type="dxa"/>
          </w:tcPr>
          <w:p w14:paraId="29295ADC" w14:textId="77777777" w:rsidR="00DE00A3" w:rsidRDefault="00DE00A3" w:rsidP="00326ABD">
            <w:pPr>
              <w:jc w:val="center"/>
            </w:pPr>
          </w:p>
        </w:tc>
        <w:tc>
          <w:tcPr>
            <w:tcW w:w="2487" w:type="dxa"/>
          </w:tcPr>
          <w:p w14:paraId="328F79DF" w14:textId="77777777" w:rsidR="00DE00A3" w:rsidRDefault="00DE00A3" w:rsidP="00326ABD">
            <w:pPr>
              <w:jc w:val="center"/>
            </w:pPr>
          </w:p>
        </w:tc>
        <w:tc>
          <w:tcPr>
            <w:tcW w:w="4439" w:type="dxa"/>
          </w:tcPr>
          <w:p w14:paraId="45433295" w14:textId="77777777" w:rsidR="00DE00A3" w:rsidRDefault="00DE00A3"/>
        </w:tc>
        <w:tc>
          <w:tcPr>
            <w:tcW w:w="4826" w:type="dxa"/>
          </w:tcPr>
          <w:p w14:paraId="3DF85E6A" w14:textId="77777777" w:rsidR="00DE00A3" w:rsidRDefault="00DE00A3"/>
        </w:tc>
      </w:tr>
    </w:tbl>
    <w:p w14:paraId="2A734A96" w14:textId="77777777" w:rsidR="00B22467" w:rsidRDefault="00B22467"/>
    <w:sectPr w:rsidR="00B22467" w:rsidSect="008A7EB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654D" w14:textId="77777777" w:rsidR="00BE2C93" w:rsidRDefault="00BE2C93" w:rsidP="008A7EB0">
      <w:pPr>
        <w:spacing w:after="0" w:line="240" w:lineRule="auto"/>
      </w:pPr>
      <w:r>
        <w:separator/>
      </w:r>
    </w:p>
  </w:endnote>
  <w:endnote w:type="continuationSeparator" w:id="0">
    <w:p w14:paraId="5902455F" w14:textId="77777777" w:rsidR="00BE2C93" w:rsidRDefault="00BE2C93" w:rsidP="008A7EB0">
      <w:pPr>
        <w:spacing w:after="0" w:line="240" w:lineRule="auto"/>
      </w:pPr>
      <w:r>
        <w:continuationSeparator/>
      </w:r>
    </w:p>
  </w:endnote>
  <w:endnote w:type="continuationNotice" w:id="1">
    <w:p w14:paraId="06611D2E" w14:textId="77777777" w:rsidR="00BE2C93" w:rsidRDefault="00BE2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AD0B" w14:textId="77777777" w:rsidR="00F30BFC" w:rsidRDefault="00F30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53A7" w14:textId="77777777" w:rsidR="00F30BFC" w:rsidRDefault="00F30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5345" w14:textId="77777777" w:rsidR="00F30BFC" w:rsidRDefault="00F3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B7EB" w14:textId="77777777" w:rsidR="00BE2C93" w:rsidRDefault="00BE2C93" w:rsidP="008A7EB0">
      <w:pPr>
        <w:spacing w:after="0" w:line="240" w:lineRule="auto"/>
      </w:pPr>
      <w:r>
        <w:separator/>
      </w:r>
    </w:p>
  </w:footnote>
  <w:footnote w:type="continuationSeparator" w:id="0">
    <w:p w14:paraId="12168B3E" w14:textId="77777777" w:rsidR="00BE2C93" w:rsidRDefault="00BE2C93" w:rsidP="008A7EB0">
      <w:pPr>
        <w:spacing w:after="0" w:line="240" w:lineRule="auto"/>
      </w:pPr>
      <w:r>
        <w:continuationSeparator/>
      </w:r>
    </w:p>
  </w:footnote>
  <w:footnote w:type="continuationNotice" w:id="1">
    <w:p w14:paraId="42A8BF54" w14:textId="77777777" w:rsidR="00BE2C93" w:rsidRDefault="00BE2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A6A1" w14:textId="77777777" w:rsidR="00F30BFC" w:rsidRDefault="00F30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9D28" w14:textId="5498445A" w:rsidR="008A7EB0" w:rsidRDefault="008A7EB0">
    <w:pPr>
      <w:pStyle w:val="Header"/>
    </w:pPr>
    <w:r>
      <w:rPr>
        <w:noProof/>
      </w:rPr>
      <mc:AlternateContent>
        <mc:Choice Requires="wps">
          <w:drawing>
            <wp:anchor distT="0" distB="0" distL="118745" distR="118745" simplePos="0" relativeHeight="251658240" behindDoc="1" locked="0" layoutInCell="1" allowOverlap="0" wp14:anchorId="70831FE3" wp14:editId="716B3695">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2553E2" w14:textId="0ADFF375" w:rsidR="008A7EB0" w:rsidRDefault="008A7EB0">
                              <w:pPr>
                                <w:pStyle w:val="Header"/>
                                <w:tabs>
                                  <w:tab w:val="clear" w:pos="4680"/>
                                  <w:tab w:val="clear" w:pos="9360"/>
                                </w:tabs>
                                <w:jc w:val="center"/>
                                <w:rPr>
                                  <w:caps/>
                                  <w:color w:val="FFFFFF" w:themeColor="background1"/>
                                </w:rPr>
                              </w:pPr>
                              <w:r>
                                <w:rPr>
                                  <w:caps/>
                                  <w:color w:val="FFFFFF" w:themeColor="background1"/>
                                </w:rPr>
                                <w:t xml:space="preserve">Army stem Education consortium (asec) – </w:t>
                              </w:r>
                              <w:r w:rsidR="00F30BFC">
                                <w:rPr>
                                  <w:caps/>
                                  <w:color w:val="FFFFFF" w:themeColor="background1"/>
                                </w:rPr>
                                <w:t>qUESTIONS &amp; aNSWERS (q &amp; 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831FE3" id="Rectangle 63"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2553E2" w14:textId="0ADFF375" w:rsidR="008A7EB0" w:rsidRDefault="008A7EB0">
                        <w:pPr>
                          <w:pStyle w:val="Header"/>
                          <w:tabs>
                            <w:tab w:val="clear" w:pos="4680"/>
                            <w:tab w:val="clear" w:pos="9360"/>
                          </w:tabs>
                          <w:jc w:val="center"/>
                          <w:rPr>
                            <w:caps/>
                            <w:color w:val="FFFFFF" w:themeColor="background1"/>
                          </w:rPr>
                        </w:pPr>
                        <w:r>
                          <w:rPr>
                            <w:caps/>
                            <w:color w:val="FFFFFF" w:themeColor="background1"/>
                          </w:rPr>
                          <w:t xml:space="preserve">Army stem Education consortium (asec) – </w:t>
                        </w:r>
                        <w:r w:rsidR="00F30BFC">
                          <w:rPr>
                            <w:caps/>
                            <w:color w:val="FFFFFF" w:themeColor="background1"/>
                          </w:rPr>
                          <w:t>qUESTIONS &amp; aNSWERS (q &amp; a)</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F406" w14:textId="77777777" w:rsidR="00F30BFC" w:rsidRDefault="00F3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55A51"/>
    <w:multiLevelType w:val="hybridMultilevel"/>
    <w:tmpl w:val="D180B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C01901"/>
    <w:multiLevelType w:val="hybridMultilevel"/>
    <w:tmpl w:val="AA34F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9490">
    <w:abstractNumId w:val="0"/>
  </w:num>
  <w:num w:numId="2" w16cid:durableId="1211918459">
    <w:abstractNumId w:val="0"/>
  </w:num>
  <w:num w:numId="3" w16cid:durableId="150473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B0"/>
    <w:rsid w:val="00014B09"/>
    <w:rsid w:val="000150CD"/>
    <w:rsid w:val="0004693F"/>
    <w:rsid w:val="000B0D56"/>
    <w:rsid w:val="000D4BEC"/>
    <w:rsid w:val="00122A4A"/>
    <w:rsid w:val="00171982"/>
    <w:rsid w:val="001B0DA2"/>
    <w:rsid w:val="002442C6"/>
    <w:rsid w:val="00257204"/>
    <w:rsid w:val="003069DE"/>
    <w:rsid w:val="00310395"/>
    <w:rsid w:val="00326ABD"/>
    <w:rsid w:val="003306B3"/>
    <w:rsid w:val="003724DB"/>
    <w:rsid w:val="00392803"/>
    <w:rsid w:val="003A2154"/>
    <w:rsid w:val="003A2ACA"/>
    <w:rsid w:val="003B117C"/>
    <w:rsid w:val="00404E39"/>
    <w:rsid w:val="004E3BE0"/>
    <w:rsid w:val="005201BA"/>
    <w:rsid w:val="005F2840"/>
    <w:rsid w:val="006355B5"/>
    <w:rsid w:val="00656264"/>
    <w:rsid w:val="006613A3"/>
    <w:rsid w:val="006D051B"/>
    <w:rsid w:val="006F05AB"/>
    <w:rsid w:val="00730566"/>
    <w:rsid w:val="007B1CC0"/>
    <w:rsid w:val="007B2805"/>
    <w:rsid w:val="007C30B8"/>
    <w:rsid w:val="00847615"/>
    <w:rsid w:val="00855C89"/>
    <w:rsid w:val="008746CF"/>
    <w:rsid w:val="008A13EE"/>
    <w:rsid w:val="008A7EB0"/>
    <w:rsid w:val="008D138E"/>
    <w:rsid w:val="009B38B2"/>
    <w:rsid w:val="009C76D2"/>
    <w:rsid w:val="00A47E89"/>
    <w:rsid w:val="00A51978"/>
    <w:rsid w:val="00A640EA"/>
    <w:rsid w:val="00A81546"/>
    <w:rsid w:val="00AB6DEF"/>
    <w:rsid w:val="00B22467"/>
    <w:rsid w:val="00B73AF3"/>
    <w:rsid w:val="00B75973"/>
    <w:rsid w:val="00B85D96"/>
    <w:rsid w:val="00B921CC"/>
    <w:rsid w:val="00BA6C59"/>
    <w:rsid w:val="00BB19C2"/>
    <w:rsid w:val="00BE2C93"/>
    <w:rsid w:val="00BE3905"/>
    <w:rsid w:val="00BE5A32"/>
    <w:rsid w:val="00C36C39"/>
    <w:rsid w:val="00CF1F62"/>
    <w:rsid w:val="00D51668"/>
    <w:rsid w:val="00DE00A3"/>
    <w:rsid w:val="00DE6E9E"/>
    <w:rsid w:val="00E42BCD"/>
    <w:rsid w:val="00E737D6"/>
    <w:rsid w:val="00E753BF"/>
    <w:rsid w:val="00E94946"/>
    <w:rsid w:val="00EB7226"/>
    <w:rsid w:val="00F30BFC"/>
    <w:rsid w:val="00F61E85"/>
    <w:rsid w:val="00FA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EC320"/>
  <w15:chartTrackingRefBased/>
  <w15:docId w15:val="{586B2F7C-BF14-4727-A964-EC3ED9F0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EB0"/>
    <w:rPr>
      <w:rFonts w:eastAsiaTheme="majorEastAsia" w:cstheme="majorBidi"/>
      <w:color w:val="272727" w:themeColor="text1" w:themeTint="D8"/>
    </w:rPr>
  </w:style>
  <w:style w:type="paragraph" w:styleId="Title">
    <w:name w:val="Title"/>
    <w:basedOn w:val="Normal"/>
    <w:next w:val="Normal"/>
    <w:link w:val="TitleChar"/>
    <w:uiPriority w:val="10"/>
    <w:qFormat/>
    <w:rsid w:val="008A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EB0"/>
    <w:pPr>
      <w:spacing w:before="160"/>
      <w:jc w:val="center"/>
    </w:pPr>
    <w:rPr>
      <w:i/>
      <w:iCs/>
      <w:color w:val="404040" w:themeColor="text1" w:themeTint="BF"/>
    </w:rPr>
  </w:style>
  <w:style w:type="character" w:customStyle="1" w:styleId="QuoteChar">
    <w:name w:val="Quote Char"/>
    <w:basedOn w:val="DefaultParagraphFont"/>
    <w:link w:val="Quote"/>
    <w:uiPriority w:val="29"/>
    <w:rsid w:val="008A7EB0"/>
    <w:rPr>
      <w:i/>
      <w:iCs/>
      <w:color w:val="404040" w:themeColor="text1" w:themeTint="BF"/>
    </w:rPr>
  </w:style>
  <w:style w:type="paragraph" w:styleId="ListParagraph">
    <w:name w:val="List Paragraph"/>
    <w:basedOn w:val="Normal"/>
    <w:uiPriority w:val="34"/>
    <w:qFormat/>
    <w:rsid w:val="008A7EB0"/>
    <w:pPr>
      <w:ind w:left="720"/>
      <w:contextualSpacing/>
    </w:pPr>
  </w:style>
  <w:style w:type="character" w:styleId="IntenseEmphasis">
    <w:name w:val="Intense Emphasis"/>
    <w:basedOn w:val="DefaultParagraphFont"/>
    <w:uiPriority w:val="21"/>
    <w:qFormat/>
    <w:rsid w:val="008A7EB0"/>
    <w:rPr>
      <w:i/>
      <w:iCs/>
      <w:color w:val="0F4761" w:themeColor="accent1" w:themeShade="BF"/>
    </w:rPr>
  </w:style>
  <w:style w:type="paragraph" w:styleId="IntenseQuote">
    <w:name w:val="Intense Quote"/>
    <w:basedOn w:val="Normal"/>
    <w:next w:val="Normal"/>
    <w:link w:val="IntenseQuoteChar"/>
    <w:uiPriority w:val="30"/>
    <w:qFormat/>
    <w:rsid w:val="008A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EB0"/>
    <w:rPr>
      <w:i/>
      <w:iCs/>
      <w:color w:val="0F4761" w:themeColor="accent1" w:themeShade="BF"/>
    </w:rPr>
  </w:style>
  <w:style w:type="character" w:styleId="IntenseReference">
    <w:name w:val="Intense Reference"/>
    <w:basedOn w:val="DefaultParagraphFont"/>
    <w:uiPriority w:val="32"/>
    <w:qFormat/>
    <w:rsid w:val="008A7EB0"/>
    <w:rPr>
      <w:b/>
      <w:bCs/>
      <w:smallCaps/>
      <w:color w:val="0F4761" w:themeColor="accent1" w:themeShade="BF"/>
      <w:spacing w:val="5"/>
    </w:rPr>
  </w:style>
  <w:style w:type="table" w:styleId="TableGrid">
    <w:name w:val="Table Grid"/>
    <w:basedOn w:val="TableNormal"/>
    <w:uiPriority w:val="39"/>
    <w:rsid w:val="008A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B0"/>
  </w:style>
  <w:style w:type="paragraph" w:styleId="Footer">
    <w:name w:val="footer"/>
    <w:basedOn w:val="Normal"/>
    <w:link w:val="FooterChar"/>
    <w:uiPriority w:val="99"/>
    <w:unhideWhenUsed/>
    <w:rsid w:val="008A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B0"/>
  </w:style>
  <w:style w:type="character" w:styleId="Hyperlink">
    <w:name w:val="Hyperlink"/>
    <w:basedOn w:val="DefaultParagraphFont"/>
    <w:uiPriority w:val="99"/>
    <w:unhideWhenUsed/>
    <w:rsid w:val="003A2154"/>
    <w:rPr>
      <w:color w:val="467886" w:themeColor="hyperlink"/>
      <w:u w:val="single"/>
    </w:rPr>
  </w:style>
  <w:style w:type="character" w:styleId="UnresolvedMention">
    <w:name w:val="Unresolved Mention"/>
    <w:basedOn w:val="DefaultParagraphFont"/>
    <w:uiPriority w:val="99"/>
    <w:semiHidden/>
    <w:unhideWhenUsed/>
    <w:rsid w:val="003A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3726">
      <w:bodyDiv w:val="1"/>
      <w:marLeft w:val="0"/>
      <w:marRight w:val="0"/>
      <w:marTop w:val="0"/>
      <w:marBottom w:val="0"/>
      <w:divBdr>
        <w:top w:val="none" w:sz="0" w:space="0" w:color="auto"/>
        <w:left w:val="none" w:sz="0" w:space="0" w:color="auto"/>
        <w:bottom w:val="none" w:sz="0" w:space="0" w:color="auto"/>
        <w:right w:val="none" w:sz="0" w:space="0" w:color="auto"/>
      </w:divBdr>
    </w:div>
    <w:div w:id="256406172">
      <w:bodyDiv w:val="1"/>
      <w:marLeft w:val="0"/>
      <w:marRight w:val="0"/>
      <w:marTop w:val="0"/>
      <w:marBottom w:val="0"/>
      <w:divBdr>
        <w:top w:val="none" w:sz="0" w:space="0" w:color="auto"/>
        <w:left w:val="none" w:sz="0" w:space="0" w:color="auto"/>
        <w:bottom w:val="none" w:sz="0" w:space="0" w:color="auto"/>
        <w:right w:val="none" w:sz="0" w:space="0" w:color="auto"/>
      </w:divBdr>
    </w:div>
    <w:div w:id="535237665">
      <w:bodyDiv w:val="1"/>
      <w:marLeft w:val="0"/>
      <w:marRight w:val="0"/>
      <w:marTop w:val="0"/>
      <w:marBottom w:val="0"/>
      <w:divBdr>
        <w:top w:val="none" w:sz="0" w:space="0" w:color="auto"/>
        <w:left w:val="none" w:sz="0" w:space="0" w:color="auto"/>
        <w:bottom w:val="none" w:sz="0" w:space="0" w:color="auto"/>
        <w:right w:val="none" w:sz="0" w:space="0" w:color="auto"/>
      </w:divBdr>
    </w:div>
    <w:div w:id="537360211">
      <w:bodyDiv w:val="1"/>
      <w:marLeft w:val="0"/>
      <w:marRight w:val="0"/>
      <w:marTop w:val="0"/>
      <w:marBottom w:val="0"/>
      <w:divBdr>
        <w:top w:val="none" w:sz="0" w:space="0" w:color="auto"/>
        <w:left w:val="none" w:sz="0" w:space="0" w:color="auto"/>
        <w:bottom w:val="none" w:sz="0" w:space="0" w:color="auto"/>
        <w:right w:val="none" w:sz="0" w:space="0" w:color="auto"/>
      </w:divBdr>
    </w:div>
    <w:div w:id="612443210">
      <w:bodyDiv w:val="1"/>
      <w:marLeft w:val="0"/>
      <w:marRight w:val="0"/>
      <w:marTop w:val="0"/>
      <w:marBottom w:val="0"/>
      <w:divBdr>
        <w:top w:val="none" w:sz="0" w:space="0" w:color="auto"/>
        <w:left w:val="none" w:sz="0" w:space="0" w:color="auto"/>
        <w:bottom w:val="none" w:sz="0" w:space="0" w:color="auto"/>
        <w:right w:val="none" w:sz="0" w:space="0" w:color="auto"/>
      </w:divBdr>
    </w:div>
    <w:div w:id="642347115">
      <w:bodyDiv w:val="1"/>
      <w:marLeft w:val="0"/>
      <w:marRight w:val="0"/>
      <w:marTop w:val="0"/>
      <w:marBottom w:val="0"/>
      <w:divBdr>
        <w:top w:val="none" w:sz="0" w:space="0" w:color="auto"/>
        <w:left w:val="none" w:sz="0" w:space="0" w:color="auto"/>
        <w:bottom w:val="none" w:sz="0" w:space="0" w:color="auto"/>
        <w:right w:val="none" w:sz="0" w:space="0" w:color="auto"/>
      </w:divBdr>
    </w:div>
    <w:div w:id="1197308406">
      <w:bodyDiv w:val="1"/>
      <w:marLeft w:val="0"/>
      <w:marRight w:val="0"/>
      <w:marTop w:val="0"/>
      <w:marBottom w:val="0"/>
      <w:divBdr>
        <w:top w:val="none" w:sz="0" w:space="0" w:color="auto"/>
        <w:left w:val="none" w:sz="0" w:space="0" w:color="auto"/>
        <w:bottom w:val="none" w:sz="0" w:space="0" w:color="auto"/>
        <w:right w:val="none" w:sz="0" w:space="0" w:color="auto"/>
      </w:divBdr>
    </w:div>
    <w:div w:id="1298948918">
      <w:bodyDiv w:val="1"/>
      <w:marLeft w:val="0"/>
      <w:marRight w:val="0"/>
      <w:marTop w:val="0"/>
      <w:marBottom w:val="0"/>
      <w:divBdr>
        <w:top w:val="none" w:sz="0" w:space="0" w:color="auto"/>
        <w:left w:val="none" w:sz="0" w:space="0" w:color="auto"/>
        <w:bottom w:val="none" w:sz="0" w:space="0" w:color="auto"/>
        <w:right w:val="none" w:sz="0" w:space="0" w:color="auto"/>
      </w:divBdr>
    </w:div>
    <w:div w:id="1453279849">
      <w:bodyDiv w:val="1"/>
      <w:marLeft w:val="0"/>
      <w:marRight w:val="0"/>
      <w:marTop w:val="0"/>
      <w:marBottom w:val="0"/>
      <w:divBdr>
        <w:top w:val="none" w:sz="0" w:space="0" w:color="auto"/>
        <w:left w:val="none" w:sz="0" w:space="0" w:color="auto"/>
        <w:bottom w:val="none" w:sz="0" w:space="0" w:color="auto"/>
        <w:right w:val="none" w:sz="0" w:space="0" w:color="auto"/>
      </w:divBdr>
    </w:div>
    <w:div w:id="1611278062">
      <w:bodyDiv w:val="1"/>
      <w:marLeft w:val="0"/>
      <w:marRight w:val="0"/>
      <w:marTop w:val="0"/>
      <w:marBottom w:val="0"/>
      <w:divBdr>
        <w:top w:val="none" w:sz="0" w:space="0" w:color="auto"/>
        <w:left w:val="none" w:sz="0" w:space="0" w:color="auto"/>
        <w:bottom w:val="none" w:sz="0" w:space="0" w:color="auto"/>
        <w:right w:val="none" w:sz="0" w:space="0" w:color="auto"/>
      </w:divBdr>
    </w:div>
    <w:div w:id="1776513146">
      <w:bodyDiv w:val="1"/>
      <w:marLeft w:val="0"/>
      <w:marRight w:val="0"/>
      <w:marTop w:val="0"/>
      <w:marBottom w:val="0"/>
      <w:divBdr>
        <w:top w:val="none" w:sz="0" w:space="0" w:color="auto"/>
        <w:left w:val="none" w:sz="0" w:space="0" w:color="auto"/>
        <w:bottom w:val="none" w:sz="0" w:space="0" w:color="auto"/>
        <w:right w:val="none" w:sz="0" w:space="0" w:color="auto"/>
      </w:divBdr>
    </w:div>
    <w:div w:id="1964075001">
      <w:bodyDiv w:val="1"/>
      <w:marLeft w:val="0"/>
      <w:marRight w:val="0"/>
      <w:marTop w:val="0"/>
      <w:marBottom w:val="0"/>
      <w:divBdr>
        <w:top w:val="none" w:sz="0" w:space="0" w:color="auto"/>
        <w:left w:val="none" w:sz="0" w:space="0" w:color="auto"/>
        <w:bottom w:val="none" w:sz="0" w:space="0" w:color="auto"/>
        <w:right w:val="none" w:sz="0" w:space="0" w:color="auto"/>
      </w:divBdr>
    </w:div>
    <w:div w:id="2011789912">
      <w:bodyDiv w:val="1"/>
      <w:marLeft w:val="0"/>
      <w:marRight w:val="0"/>
      <w:marTop w:val="0"/>
      <w:marBottom w:val="0"/>
      <w:divBdr>
        <w:top w:val="none" w:sz="0" w:space="0" w:color="auto"/>
        <w:left w:val="none" w:sz="0" w:space="0" w:color="auto"/>
        <w:bottom w:val="none" w:sz="0" w:space="0" w:color="auto"/>
        <w:right w:val="none" w:sz="0" w:space="0" w:color="auto"/>
      </w:divBdr>
      <w:divsChild>
        <w:div w:id="1925913818">
          <w:marLeft w:val="0"/>
          <w:marRight w:val="0"/>
          <w:marTop w:val="0"/>
          <w:marBottom w:val="0"/>
          <w:divBdr>
            <w:top w:val="none" w:sz="0" w:space="0" w:color="auto"/>
            <w:left w:val="none" w:sz="0" w:space="0" w:color="auto"/>
            <w:bottom w:val="none" w:sz="0" w:space="0" w:color="auto"/>
            <w:right w:val="none" w:sz="0" w:space="0" w:color="auto"/>
          </w:divBdr>
        </w:div>
      </w:divsChild>
    </w:div>
    <w:div w:id="2020889867">
      <w:bodyDiv w:val="1"/>
      <w:marLeft w:val="0"/>
      <w:marRight w:val="0"/>
      <w:marTop w:val="0"/>
      <w:marBottom w:val="0"/>
      <w:divBdr>
        <w:top w:val="none" w:sz="0" w:space="0" w:color="auto"/>
        <w:left w:val="none" w:sz="0" w:space="0" w:color="auto"/>
        <w:bottom w:val="none" w:sz="0" w:space="0" w:color="auto"/>
        <w:right w:val="none" w:sz="0" w:space="0" w:color="auto"/>
      </w:divBdr>
    </w:div>
    <w:div w:id="2022469398">
      <w:bodyDiv w:val="1"/>
      <w:marLeft w:val="0"/>
      <w:marRight w:val="0"/>
      <w:marTop w:val="0"/>
      <w:marBottom w:val="0"/>
      <w:divBdr>
        <w:top w:val="none" w:sz="0" w:space="0" w:color="auto"/>
        <w:left w:val="none" w:sz="0" w:space="0" w:color="auto"/>
        <w:bottom w:val="none" w:sz="0" w:space="0" w:color="auto"/>
        <w:right w:val="none" w:sz="0" w:space="0" w:color="auto"/>
      </w:divBdr>
    </w:div>
    <w:div w:id="20430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denwhitehouse.archives.gov/wp-content/uploads/2024/11/2024fedSTEMpla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4</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stem Education consortium (asec) – qUESTIONS &amp; aNSWERS (q &amp; a)</dc:title>
  <dc:subject/>
  <dc:creator>Eggerling, Sarah E CIV USARMY ACC (USA)</dc:creator>
  <cp:keywords/>
  <dc:description/>
  <cp:lastModifiedBy>Eggerling, Sarah E CIV USARMY ACC (USA)</cp:lastModifiedBy>
  <cp:revision>39</cp:revision>
  <dcterms:created xsi:type="dcterms:W3CDTF">2025-01-30T16:26:00Z</dcterms:created>
  <dcterms:modified xsi:type="dcterms:W3CDTF">2025-02-20T17:46:00Z</dcterms:modified>
</cp:coreProperties>
</file>