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C5FFF" w14:textId="77777777" w:rsidR="00957E69" w:rsidRDefault="001B034F">
      <w:pPr>
        <w:pStyle w:val="div"/>
        <w:rPr>
          <w:color w:val="auto"/>
        </w:rPr>
      </w:pPr>
      <w:r>
        <w:rPr>
          <w:color w:val="auto"/>
        </w:rPr>
        <w:br/>
      </w:r>
      <w:r>
        <w:rPr>
          <w:color w:val="auto"/>
        </w:rPr>
        <w:t> </w:t>
      </w:r>
    </w:p>
    <w:p w14:paraId="228B6FD0" w14:textId="77777777" w:rsidR="00957E69" w:rsidRDefault="001B034F">
      <w:pPr>
        <w:pStyle w:val="div"/>
        <w:jc w:val="center"/>
        <w:rPr>
          <w:color w:val="auto"/>
        </w:rPr>
      </w:pPr>
      <w:r>
        <w:rPr>
          <w:color w:val="auto"/>
          <w:sz w:val="27"/>
          <w:szCs w:val="27"/>
        </w:rPr>
        <w:t>United States Geological Survey</w:t>
      </w:r>
      <w:r>
        <w:rPr>
          <w:color w:val="auto"/>
          <w:sz w:val="27"/>
          <w:szCs w:val="27"/>
        </w:rPr>
        <w:br/>
      </w:r>
      <w:r>
        <w:rPr>
          <w:color w:val="auto"/>
          <w:sz w:val="27"/>
          <w:szCs w:val="27"/>
        </w:rPr>
        <w:br/>
      </w:r>
      <w:r>
        <w:rPr>
          <w:rFonts w:ascii="Times" w:eastAsia="Times" w:hAnsi="Times" w:cs="Times"/>
          <w:color w:val="auto"/>
        </w:rPr>
        <w:t>USGS Earthquake Hazards Program External Research Support Announcement for Fiscal Year 2024</w:t>
      </w:r>
      <w:r>
        <w:rPr>
          <w:rFonts w:ascii="Times" w:eastAsia="Times" w:hAnsi="Times" w:cs="Times"/>
          <w:color w:val="auto"/>
        </w:rPr>
        <w:br/>
      </w:r>
      <w:r>
        <w:rPr>
          <w:rFonts w:ascii="Times" w:eastAsia="Times" w:hAnsi="Times" w:cs="Times"/>
          <w:color w:val="auto"/>
        </w:rPr>
        <w:br/>
      </w:r>
      <w:r>
        <w:rPr>
          <w:rFonts w:ascii="Times" w:eastAsia="Times" w:hAnsi="Times" w:cs="Times"/>
          <w:color w:val="auto"/>
        </w:rPr>
        <w:t>https://www.usgs.gov/programs/earthquake-hazards/science/external-grants</w:t>
      </w:r>
      <w:r>
        <w:rPr>
          <w:rFonts w:ascii="Times" w:eastAsia="Times" w:hAnsi="Times" w:cs="Times"/>
          <w:color w:val="auto"/>
        </w:rPr>
        <w:br/>
      </w:r>
      <w:r>
        <w:rPr>
          <w:rFonts w:ascii="Times" w:eastAsia="Times" w:hAnsi="Times" w:cs="Times"/>
          <w:color w:val="auto"/>
        </w:rPr>
        <w:br/>
      </w:r>
      <w:r>
        <w:rPr>
          <w:noProof/>
          <w:color w:val="auto"/>
          <w:sz w:val="27"/>
          <w:szCs w:val="27"/>
        </w:rPr>
        <w:drawing>
          <wp:inline distT="0" distB="0" distL="0" distR="0" wp14:anchorId="2A0876DB" wp14:editId="21C47E4F">
            <wp:extent cx="1485900" cy="592126"/>
            <wp:effectExtent l="0" t="0" r="0" b="0"/>
            <wp:docPr id="100001" name="Picture 100001" descr="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023279" name=""/>
                    <pic:cNvPicPr>
                      <a:picLocks noChangeAspect="1"/>
                    </pic:cNvPicPr>
                  </pic:nvPicPr>
                  <pic:blipFill>
                    <a:blip r:embed="rId12"/>
                    <a:stretch>
                      <a:fillRect/>
                    </a:stretch>
                  </pic:blipFill>
                  <pic:spPr>
                    <a:xfrm>
                      <a:off x="0" y="0"/>
                      <a:ext cx="1485900" cy="592126"/>
                    </a:xfrm>
                    <a:prstGeom prst="rect">
                      <a:avLst/>
                    </a:prstGeom>
                  </pic:spPr>
                </pic:pic>
              </a:graphicData>
            </a:graphic>
          </wp:inline>
        </w:drawing>
      </w:r>
      <w:r>
        <w:rPr>
          <w:color w:val="auto"/>
          <w:sz w:val="27"/>
          <w:szCs w:val="27"/>
        </w:rPr>
        <w:br/>
      </w:r>
      <w:r>
        <w:rPr>
          <w:color w:val="auto"/>
          <w:sz w:val="27"/>
          <w:szCs w:val="27"/>
        </w:rPr>
        <w:br/>
      </w:r>
      <w:r>
        <w:rPr>
          <w:color w:val="auto"/>
          <w:sz w:val="27"/>
          <w:szCs w:val="27"/>
        </w:rPr>
        <w:t>Notice of Funding Opportunity - Fiscal Year </w:t>
      </w:r>
      <w:r>
        <w:rPr>
          <w:rFonts w:ascii="Times" w:eastAsia="Times" w:hAnsi="Times" w:cs="Times"/>
          <w:color w:val="auto"/>
        </w:rPr>
        <w:t>2024</w:t>
      </w:r>
      <w:r>
        <w:rPr>
          <w:rFonts w:ascii="Times" w:eastAsia="Times" w:hAnsi="Times" w:cs="Times"/>
          <w:color w:val="auto"/>
        </w:rPr>
        <w:br/>
      </w:r>
      <w:r>
        <w:rPr>
          <w:color w:val="auto"/>
          <w:sz w:val="27"/>
          <w:szCs w:val="27"/>
        </w:rPr>
        <w:t>Funding Opportunity Number (FON)</w:t>
      </w:r>
      <w:r>
        <w:rPr>
          <w:b/>
          <w:bCs/>
          <w:color w:val="auto"/>
          <w:sz w:val="27"/>
          <w:szCs w:val="27"/>
        </w:rPr>
        <w:t> </w:t>
      </w:r>
      <w:r>
        <w:rPr>
          <w:rFonts w:ascii="Times" w:eastAsia="Times" w:hAnsi="Times" w:cs="Times"/>
          <w:color w:val="auto"/>
        </w:rPr>
        <w:t>G24AS00292</w:t>
      </w:r>
      <w:r>
        <w:rPr>
          <w:rFonts w:ascii="Times" w:eastAsia="Times" w:hAnsi="Times" w:cs="Times"/>
          <w:color w:val="auto"/>
        </w:rPr>
        <w:br/>
      </w:r>
      <w:r>
        <w:rPr>
          <w:rFonts w:ascii="Times" w:eastAsia="Times" w:hAnsi="Times" w:cs="Times"/>
          <w:color w:val="auto"/>
        </w:rPr>
        <w:br/>
      </w:r>
      <w:r>
        <w:rPr>
          <w:color w:val="auto"/>
          <w:sz w:val="27"/>
          <w:szCs w:val="27"/>
        </w:rPr>
        <w:t>Closing Date:</w:t>
      </w:r>
      <w:r>
        <w:rPr>
          <w:color w:val="auto"/>
        </w:rPr>
        <w:t> </w:t>
      </w:r>
      <w:r>
        <w:rPr>
          <w:rFonts w:ascii="Times" w:eastAsia="Times" w:hAnsi="Times" w:cs="Times"/>
          <w:color w:val="auto"/>
        </w:rPr>
        <w:t>05/24/2023</w:t>
      </w:r>
    </w:p>
    <w:p w14:paraId="5A4D3E8D" w14:textId="77777777" w:rsidR="00957E69" w:rsidRDefault="001B034F">
      <w:pPr>
        <w:pStyle w:val="div"/>
        <w:rPr>
          <w:color w:val="auto"/>
        </w:rPr>
      </w:pPr>
      <w:r>
        <w:rPr>
          <w:color w:val="auto"/>
        </w:rPr>
        <w:t> </w:t>
      </w:r>
    </w:p>
    <w:p w14:paraId="606585B5"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31C74C78" w14:textId="77777777" w:rsidR="00957E69" w:rsidRDefault="001B034F" w:rsidP="00470374">
      <w:pPr>
        <w:pStyle w:val="MainHeading"/>
        <w:spacing w:before="200" w:after="80"/>
        <w:rPr>
          <w:rFonts w:cs="Times New Roman"/>
          <w:color w:val="000000"/>
          <w:sz w:val="32"/>
        </w:rPr>
      </w:pPr>
      <w:r>
        <w:rPr>
          <w:rFonts w:cs="Times New Roman"/>
          <w:color w:val="000000"/>
          <w:sz w:val="32"/>
        </w:rPr>
        <w:lastRenderedPageBreak/>
        <w:t xml:space="preserve">Table of </w:t>
      </w:r>
      <w:r>
        <w:rPr>
          <w:rFonts w:cs="Times New Roman"/>
          <w:color w:val="000000"/>
          <w:sz w:val="32"/>
        </w:rPr>
        <w:t>Contents</w:t>
      </w:r>
    </w:p>
    <w:p w14:paraId="45CD57A8" w14:textId="77777777" w:rsidR="00957E69" w:rsidRDefault="001B034F">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00" w:history="1">
        <w:r>
          <w:rPr>
            <w:rStyle w:val="Hyperlink"/>
          </w:rPr>
          <w:t>A. Program Description</w:t>
        </w:r>
        <w:r>
          <w:tab/>
        </w:r>
        <w:r>
          <w:fldChar w:fldCharType="begin"/>
        </w:r>
        <w:r>
          <w:instrText xml:space="preserve"> PAGEREF _Toc256000000 \h </w:instrText>
        </w:r>
        <w:r>
          <w:fldChar w:fldCharType="separate"/>
        </w:r>
        <w:r>
          <w:t>2</w:t>
        </w:r>
        <w:r>
          <w:fldChar w:fldCharType="end"/>
        </w:r>
      </w:hyperlink>
    </w:p>
    <w:p w14:paraId="71A8AD7B" w14:textId="77777777" w:rsidR="00957E69" w:rsidRDefault="001B034F">
      <w:pPr>
        <w:pStyle w:val="TOC2"/>
        <w:tabs>
          <w:tab w:val="right" w:leader="dot" w:pos="9350"/>
        </w:tabs>
        <w:rPr>
          <w:rFonts w:asciiTheme="minorHAnsi" w:hAnsiTheme="minorHAnsi"/>
          <w:noProof/>
          <w:sz w:val="22"/>
        </w:rPr>
      </w:pPr>
      <w:hyperlink w:anchor="_Toc256000001" w:history="1">
        <w:r>
          <w:rPr>
            <w:rStyle w:val="Hyperlink"/>
          </w:rPr>
          <w:t>A1. Authority</w:t>
        </w:r>
        <w:r>
          <w:tab/>
        </w:r>
        <w:r>
          <w:fldChar w:fldCharType="begin"/>
        </w:r>
        <w:r>
          <w:instrText xml:space="preserve"> PAGEREF _Toc256000001 \h </w:instrText>
        </w:r>
        <w:r>
          <w:fldChar w:fldCharType="separate"/>
        </w:r>
        <w:r>
          <w:t>2</w:t>
        </w:r>
        <w:r>
          <w:fldChar w:fldCharType="end"/>
        </w:r>
      </w:hyperlink>
    </w:p>
    <w:p w14:paraId="6F1445A3" w14:textId="77777777" w:rsidR="00957E69" w:rsidRDefault="001B034F">
      <w:pPr>
        <w:pStyle w:val="TOC2"/>
        <w:tabs>
          <w:tab w:val="right" w:leader="dot" w:pos="9350"/>
        </w:tabs>
        <w:rPr>
          <w:rFonts w:asciiTheme="minorHAnsi" w:hAnsiTheme="minorHAnsi"/>
          <w:noProof/>
          <w:sz w:val="22"/>
        </w:rPr>
      </w:pPr>
      <w:hyperlink w:anchor="_Toc256000002" w:history="1">
        <w:r>
          <w:rPr>
            <w:rStyle w:val="Hyperlink"/>
          </w:rPr>
          <w:t xml:space="preserve">A2. Background, </w:t>
        </w:r>
        <w:r>
          <w:rPr>
            <w:rStyle w:val="Hyperlink"/>
          </w:rPr>
          <w:t>Purpose and Program Requirements</w:t>
        </w:r>
        <w:r>
          <w:tab/>
        </w:r>
        <w:r>
          <w:fldChar w:fldCharType="begin"/>
        </w:r>
        <w:r>
          <w:instrText xml:space="preserve"> PAGEREF _Toc256000002 \h </w:instrText>
        </w:r>
        <w:r>
          <w:fldChar w:fldCharType="separate"/>
        </w:r>
        <w:r>
          <w:t>2</w:t>
        </w:r>
        <w:r>
          <w:fldChar w:fldCharType="end"/>
        </w:r>
      </w:hyperlink>
    </w:p>
    <w:p w14:paraId="77C06517" w14:textId="77777777" w:rsidR="00957E69" w:rsidRDefault="001B034F">
      <w:pPr>
        <w:pStyle w:val="TOC1"/>
        <w:tabs>
          <w:tab w:val="right" w:leader="dot" w:pos="9350"/>
        </w:tabs>
        <w:rPr>
          <w:rFonts w:asciiTheme="minorHAnsi" w:hAnsiTheme="minorHAnsi"/>
          <w:noProof/>
          <w:sz w:val="22"/>
        </w:rPr>
      </w:pPr>
      <w:hyperlink w:anchor="_Toc256000003" w:history="1">
        <w:r>
          <w:rPr>
            <w:rStyle w:val="Hyperlink"/>
          </w:rPr>
          <w:t>B. Federal Award Information</w:t>
        </w:r>
        <w:r>
          <w:tab/>
        </w:r>
        <w:r>
          <w:fldChar w:fldCharType="begin"/>
        </w:r>
        <w:r>
          <w:instrText xml:space="preserve"> PAGEREF _Toc256000003 \h </w:instrText>
        </w:r>
        <w:r>
          <w:fldChar w:fldCharType="separate"/>
        </w:r>
        <w:r>
          <w:t>5</w:t>
        </w:r>
        <w:r>
          <w:fldChar w:fldCharType="end"/>
        </w:r>
      </w:hyperlink>
    </w:p>
    <w:p w14:paraId="2AF30C55" w14:textId="77777777" w:rsidR="00957E69" w:rsidRDefault="001B034F">
      <w:pPr>
        <w:pStyle w:val="TOC2"/>
        <w:tabs>
          <w:tab w:val="right" w:leader="dot" w:pos="9350"/>
        </w:tabs>
        <w:rPr>
          <w:rFonts w:asciiTheme="minorHAnsi" w:hAnsiTheme="minorHAnsi"/>
          <w:noProof/>
          <w:sz w:val="22"/>
        </w:rPr>
      </w:pPr>
      <w:hyperlink w:anchor="_Toc256000004" w:history="1">
        <w:r>
          <w:rPr>
            <w:rStyle w:val="Hyperlink"/>
          </w:rPr>
          <w:t>B1. Total Funding</w:t>
        </w:r>
        <w:r>
          <w:tab/>
        </w:r>
        <w:r>
          <w:fldChar w:fldCharType="begin"/>
        </w:r>
        <w:r>
          <w:instrText xml:space="preserve"> PAGEREF _Toc256000004 \h </w:instrText>
        </w:r>
        <w:r>
          <w:fldChar w:fldCharType="separate"/>
        </w:r>
        <w:r>
          <w:t>5</w:t>
        </w:r>
        <w:r>
          <w:fldChar w:fldCharType="end"/>
        </w:r>
      </w:hyperlink>
    </w:p>
    <w:p w14:paraId="492CDEC9" w14:textId="77777777" w:rsidR="00957E69" w:rsidRDefault="001B034F">
      <w:pPr>
        <w:pStyle w:val="TOC2"/>
        <w:tabs>
          <w:tab w:val="right" w:leader="dot" w:pos="9350"/>
        </w:tabs>
        <w:rPr>
          <w:rFonts w:asciiTheme="minorHAnsi" w:hAnsiTheme="minorHAnsi"/>
          <w:noProof/>
          <w:sz w:val="22"/>
        </w:rPr>
      </w:pPr>
      <w:hyperlink w:anchor="_Toc256000005" w:history="1">
        <w:r>
          <w:rPr>
            <w:rStyle w:val="Hyperlink"/>
          </w:rPr>
          <w:t>B2. Award Amount</w:t>
        </w:r>
        <w:r>
          <w:tab/>
        </w:r>
        <w:r>
          <w:fldChar w:fldCharType="begin"/>
        </w:r>
        <w:r>
          <w:instrText xml:space="preserve"> PAGEREF _Toc256000005 \h </w:instrText>
        </w:r>
        <w:r>
          <w:fldChar w:fldCharType="separate"/>
        </w:r>
        <w:r>
          <w:t>5</w:t>
        </w:r>
        <w:r>
          <w:fldChar w:fldCharType="end"/>
        </w:r>
      </w:hyperlink>
    </w:p>
    <w:p w14:paraId="596BB0EA" w14:textId="77777777" w:rsidR="00957E69" w:rsidRDefault="001B034F">
      <w:pPr>
        <w:pStyle w:val="TOC2"/>
        <w:tabs>
          <w:tab w:val="right" w:leader="dot" w:pos="9350"/>
        </w:tabs>
        <w:rPr>
          <w:rFonts w:asciiTheme="minorHAnsi" w:hAnsiTheme="minorHAnsi"/>
          <w:noProof/>
          <w:sz w:val="22"/>
        </w:rPr>
      </w:pPr>
      <w:hyperlink w:anchor="_Toc256000006" w:history="1">
        <w:r>
          <w:rPr>
            <w:rStyle w:val="Hyperlink"/>
          </w:rPr>
          <w:t>B3. Anticipated Award Funding and Dates</w:t>
        </w:r>
        <w:r>
          <w:tab/>
        </w:r>
        <w:r>
          <w:fldChar w:fldCharType="begin"/>
        </w:r>
        <w:r>
          <w:instrText xml:space="preserve"> PAGEREF _Toc256000006 \h </w:instrText>
        </w:r>
        <w:r>
          <w:fldChar w:fldCharType="separate"/>
        </w:r>
        <w:r>
          <w:t>5</w:t>
        </w:r>
        <w:r>
          <w:fldChar w:fldCharType="end"/>
        </w:r>
      </w:hyperlink>
    </w:p>
    <w:p w14:paraId="136EF06E" w14:textId="77777777" w:rsidR="00957E69" w:rsidRDefault="001B034F">
      <w:pPr>
        <w:pStyle w:val="TOC2"/>
        <w:tabs>
          <w:tab w:val="right" w:leader="dot" w:pos="9350"/>
        </w:tabs>
        <w:rPr>
          <w:rFonts w:asciiTheme="minorHAnsi" w:hAnsiTheme="minorHAnsi"/>
          <w:noProof/>
          <w:sz w:val="22"/>
        </w:rPr>
      </w:pPr>
      <w:hyperlink w:anchor="_Toc256000007" w:history="1">
        <w:r>
          <w:rPr>
            <w:rStyle w:val="Hyperlink"/>
          </w:rPr>
          <w:t>B4. Number of Awards</w:t>
        </w:r>
        <w:r>
          <w:tab/>
        </w:r>
        <w:r>
          <w:fldChar w:fldCharType="begin"/>
        </w:r>
        <w:r>
          <w:instrText xml:space="preserve"> PAGEREF _Toc256000007 \h </w:instrText>
        </w:r>
        <w:r>
          <w:fldChar w:fldCharType="separate"/>
        </w:r>
        <w:r>
          <w:t>6</w:t>
        </w:r>
        <w:r>
          <w:fldChar w:fldCharType="end"/>
        </w:r>
      </w:hyperlink>
    </w:p>
    <w:p w14:paraId="220A6343" w14:textId="77777777" w:rsidR="00957E69" w:rsidRDefault="001B034F">
      <w:pPr>
        <w:pStyle w:val="TOC2"/>
        <w:tabs>
          <w:tab w:val="right" w:leader="dot" w:pos="9350"/>
        </w:tabs>
        <w:rPr>
          <w:rFonts w:asciiTheme="minorHAnsi" w:hAnsiTheme="minorHAnsi"/>
          <w:noProof/>
          <w:sz w:val="22"/>
        </w:rPr>
      </w:pPr>
      <w:hyperlink w:anchor="_Toc256000008" w:history="1">
        <w:r>
          <w:rPr>
            <w:rStyle w:val="Hyperlink"/>
          </w:rPr>
          <w:t>B5. Type of Award</w:t>
        </w:r>
        <w:r>
          <w:tab/>
        </w:r>
        <w:r>
          <w:fldChar w:fldCharType="begin"/>
        </w:r>
        <w:r>
          <w:instrText xml:space="preserve"> PAGEREF _Toc256000008 \h </w:instrText>
        </w:r>
        <w:r>
          <w:fldChar w:fldCharType="separate"/>
        </w:r>
        <w:r>
          <w:t>6</w:t>
        </w:r>
        <w:r>
          <w:fldChar w:fldCharType="end"/>
        </w:r>
      </w:hyperlink>
    </w:p>
    <w:p w14:paraId="038EB6C5" w14:textId="77777777" w:rsidR="00957E69" w:rsidRDefault="001B034F">
      <w:pPr>
        <w:pStyle w:val="TOC1"/>
        <w:tabs>
          <w:tab w:val="right" w:leader="dot" w:pos="9350"/>
        </w:tabs>
        <w:rPr>
          <w:rFonts w:asciiTheme="minorHAnsi" w:hAnsiTheme="minorHAnsi"/>
          <w:noProof/>
          <w:sz w:val="22"/>
        </w:rPr>
      </w:pPr>
      <w:hyperlink w:anchor="_Toc256000009" w:history="1">
        <w:r>
          <w:rPr>
            <w:rStyle w:val="Hyperlink"/>
          </w:rPr>
          <w:t>C. Eligibility Information</w:t>
        </w:r>
        <w:r>
          <w:tab/>
        </w:r>
        <w:r>
          <w:fldChar w:fldCharType="begin"/>
        </w:r>
        <w:r>
          <w:instrText xml:space="preserve"> PAGEREF _Toc256000009 \h </w:instrText>
        </w:r>
        <w:r>
          <w:fldChar w:fldCharType="separate"/>
        </w:r>
        <w:r>
          <w:t>6</w:t>
        </w:r>
        <w:r>
          <w:fldChar w:fldCharType="end"/>
        </w:r>
      </w:hyperlink>
    </w:p>
    <w:p w14:paraId="1506443D" w14:textId="77777777" w:rsidR="00957E69" w:rsidRDefault="001B034F">
      <w:pPr>
        <w:pStyle w:val="TOC2"/>
        <w:tabs>
          <w:tab w:val="right" w:leader="dot" w:pos="9350"/>
        </w:tabs>
        <w:rPr>
          <w:rFonts w:asciiTheme="minorHAnsi" w:hAnsiTheme="minorHAnsi"/>
          <w:noProof/>
          <w:sz w:val="22"/>
        </w:rPr>
      </w:pPr>
      <w:hyperlink w:anchor="_Toc256000010" w:history="1">
        <w:r>
          <w:rPr>
            <w:rStyle w:val="Hyperlink"/>
          </w:rPr>
          <w:t>C1. Eligible Applicants</w:t>
        </w:r>
        <w:r>
          <w:tab/>
        </w:r>
        <w:r>
          <w:fldChar w:fldCharType="begin"/>
        </w:r>
        <w:r>
          <w:instrText xml:space="preserve"> PAGER</w:instrText>
        </w:r>
        <w:r>
          <w:instrText xml:space="preserve">EF _Toc256000010 \h </w:instrText>
        </w:r>
        <w:r>
          <w:fldChar w:fldCharType="separate"/>
        </w:r>
        <w:r>
          <w:t>6</w:t>
        </w:r>
        <w:r>
          <w:fldChar w:fldCharType="end"/>
        </w:r>
      </w:hyperlink>
    </w:p>
    <w:p w14:paraId="2C749321" w14:textId="77777777" w:rsidR="00957E69" w:rsidRDefault="001B034F">
      <w:pPr>
        <w:pStyle w:val="TOC2"/>
        <w:tabs>
          <w:tab w:val="right" w:leader="dot" w:pos="9350"/>
        </w:tabs>
        <w:rPr>
          <w:rFonts w:asciiTheme="minorHAnsi" w:hAnsiTheme="minorHAnsi"/>
          <w:noProof/>
          <w:sz w:val="22"/>
        </w:rPr>
      </w:pPr>
      <w:hyperlink w:anchor="_Toc256000011" w:history="1">
        <w:r>
          <w:rPr>
            <w:rStyle w:val="Hyperlink"/>
          </w:rPr>
          <w:t>C2. Cost Sharing or Matching</w:t>
        </w:r>
        <w:r>
          <w:tab/>
        </w:r>
        <w:r>
          <w:fldChar w:fldCharType="begin"/>
        </w:r>
        <w:r>
          <w:instrText xml:space="preserve"> PAGEREF _Toc256000011 \h </w:instrText>
        </w:r>
        <w:r>
          <w:fldChar w:fldCharType="separate"/>
        </w:r>
        <w:r>
          <w:t>6</w:t>
        </w:r>
        <w:r>
          <w:fldChar w:fldCharType="end"/>
        </w:r>
      </w:hyperlink>
    </w:p>
    <w:p w14:paraId="0F3D30F5" w14:textId="77777777" w:rsidR="00957E69" w:rsidRDefault="001B034F">
      <w:pPr>
        <w:pStyle w:val="TOC2"/>
        <w:tabs>
          <w:tab w:val="right" w:leader="dot" w:pos="9350"/>
        </w:tabs>
        <w:rPr>
          <w:rFonts w:asciiTheme="minorHAnsi" w:hAnsiTheme="minorHAnsi"/>
          <w:noProof/>
          <w:sz w:val="22"/>
        </w:rPr>
      </w:pPr>
      <w:hyperlink w:anchor="_Toc256000012" w:history="1">
        <w:r>
          <w:rPr>
            <w:rStyle w:val="Hyperlink"/>
          </w:rPr>
          <w:t>C3. Other</w:t>
        </w:r>
        <w:r>
          <w:tab/>
        </w:r>
        <w:r>
          <w:fldChar w:fldCharType="begin"/>
        </w:r>
        <w:r>
          <w:instrText xml:space="preserve"> PAGEREF _Toc256000012 \h </w:instrText>
        </w:r>
        <w:r>
          <w:fldChar w:fldCharType="separate"/>
        </w:r>
        <w:r>
          <w:t>7</w:t>
        </w:r>
        <w:r>
          <w:fldChar w:fldCharType="end"/>
        </w:r>
      </w:hyperlink>
    </w:p>
    <w:p w14:paraId="398BE3EC" w14:textId="77777777" w:rsidR="00957E69" w:rsidRDefault="001B034F">
      <w:pPr>
        <w:pStyle w:val="TOC1"/>
        <w:tabs>
          <w:tab w:val="right" w:leader="dot" w:pos="9350"/>
        </w:tabs>
        <w:rPr>
          <w:rFonts w:asciiTheme="minorHAnsi" w:hAnsiTheme="minorHAnsi"/>
          <w:noProof/>
          <w:sz w:val="22"/>
        </w:rPr>
      </w:pPr>
      <w:hyperlink w:anchor="_Toc256000013" w:history="1">
        <w:r>
          <w:rPr>
            <w:rStyle w:val="Hyperlink"/>
          </w:rPr>
          <w:t>D. Application and Submission Information</w:t>
        </w:r>
        <w:r>
          <w:tab/>
        </w:r>
        <w:r>
          <w:fldChar w:fldCharType="begin"/>
        </w:r>
        <w:r>
          <w:instrText xml:space="preserve"> PAGEREF _Toc256000013 \h </w:instrText>
        </w:r>
        <w:r>
          <w:fldChar w:fldCharType="separate"/>
        </w:r>
        <w:r>
          <w:t>7</w:t>
        </w:r>
        <w:r>
          <w:fldChar w:fldCharType="end"/>
        </w:r>
      </w:hyperlink>
    </w:p>
    <w:p w14:paraId="46B3A20F" w14:textId="77777777" w:rsidR="00957E69" w:rsidRDefault="001B034F">
      <w:pPr>
        <w:pStyle w:val="TOC2"/>
        <w:tabs>
          <w:tab w:val="right" w:leader="dot" w:pos="9350"/>
        </w:tabs>
        <w:rPr>
          <w:rFonts w:asciiTheme="minorHAnsi" w:hAnsiTheme="minorHAnsi"/>
          <w:noProof/>
          <w:sz w:val="22"/>
        </w:rPr>
      </w:pPr>
      <w:hyperlink w:anchor="_Toc256000014" w:history="1">
        <w:r>
          <w:rPr>
            <w:rStyle w:val="Hyperlink"/>
          </w:rPr>
          <w:t>D1. Address to Request Application Package</w:t>
        </w:r>
        <w:r>
          <w:tab/>
        </w:r>
        <w:r>
          <w:fldChar w:fldCharType="begin"/>
        </w:r>
        <w:r>
          <w:instrText xml:space="preserve"> PAGEREF _Toc256000014 \h </w:instrText>
        </w:r>
        <w:r>
          <w:fldChar w:fldCharType="separate"/>
        </w:r>
        <w:r>
          <w:t>11</w:t>
        </w:r>
        <w:r>
          <w:fldChar w:fldCharType="end"/>
        </w:r>
      </w:hyperlink>
    </w:p>
    <w:p w14:paraId="745D04AB" w14:textId="77777777" w:rsidR="00957E69" w:rsidRDefault="001B034F">
      <w:pPr>
        <w:pStyle w:val="TOC2"/>
        <w:tabs>
          <w:tab w:val="right" w:leader="dot" w:pos="9350"/>
        </w:tabs>
        <w:rPr>
          <w:rFonts w:asciiTheme="minorHAnsi" w:hAnsiTheme="minorHAnsi"/>
          <w:noProof/>
          <w:sz w:val="22"/>
        </w:rPr>
      </w:pPr>
      <w:hyperlink w:anchor="_Toc256000015" w:history="1">
        <w:r>
          <w:rPr>
            <w:rStyle w:val="Hyperlink"/>
          </w:rPr>
          <w:t>D2. Content and Form of Application Submission</w:t>
        </w:r>
        <w:r>
          <w:tab/>
        </w:r>
        <w:r>
          <w:fldChar w:fldCharType="begin"/>
        </w:r>
        <w:r>
          <w:instrText xml:space="preserve"> PAGEREF _Toc256000015 \h </w:instrText>
        </w:r>
        <w:r>
          <w:fldChar w:fldCharType="separate"/>
        </w:r>
        <w:r>
          <w:t>13</w:t>
        </w:r>
        <w:r>
          <w:fldChar w:fldCharType="end"/>
        </w:r>
      </w:hyperlink>
    </w:p>
    <w:p w14:paraId="2F89118D" w14:textId="77777777" w:rsidR="00957E69" w:rsidRDefault="001B034F">
      <w:pPr>
        <w:pStyle w:val="TOC2"/>
        <w:tabs>
          <w:tab w:val="right" w:leader="dot" w:pos="9350"/>
        </w:tabs>
        <w:rPr>
          <w:rFonts w:asciiTheme="minorHAnsi" w:hAnsiTheme="minorHAnsi"/>
          <w:noProof/>
          <w:sz w:val="22"/>
        </w:rPr>
      </w:pPr>
      <w:hyperlink w:anchor="_Toc256000016" w:history="1">
        <w:r>
          <w:rPr>
            <w:rStyle w:val="Hyperlink"/>
          </w:rPr>
          <w:t>D3. Unique Entity Identifier and System for Award Management (SAM)</w:t>
        </w:r>
        <w:r>
          <w:tab/>
        </w:r>
        <w:r>
          <w:fldChar w:fldCharType="begin"/>
        </w:r>
        <w:r>
          <w:instrText xml:space="preserve"> PAGEREF _Toc256000016 \h </w:instrText>
        </w:r>
        <w:r>
          <w:fldChar w:fldCharType="separate"/>
        </w:r>
        <w:r>
          <w:t>21</w:t>
        </w:r>
        <w:r>
          <w:fldChar w:fldCharType="end"/>
        </w:r>
      </w:hyperlink>
    </w:p>
    <w:p w14:paraId="38732AC3" w14:textId="77777777" w:rsidR="00957E69" w:rsidRDefault="001B034F">
      <w:pPr>
        <w:pStyle w:val="TOC2"/>
        <w:tabs>
          <w:tab w:val="right" w:leader="dot" w:pos="9350"/>
        </w:tabs>
        <w:rPr>
          <w:rFonts w:asciiTheme="minorHAnsi" w:hAnsiTheme="minorHAnsi"/>
          <w:noProof/>
          <w:sz w:val="22"/>
        </w:rPr>
      </w:pPr>
      <w:hyperlink w:anchor="_Toc256000017" w:history="1">
        <w:r>
          <w:rPr>
            <w:rStyle w:val="Hyperlink"/>
          </w:rPr>
          <w:t>D4. Submission Dates and Times</w:t>
        </w:r>
        <w:r>
          <w:tab/>
        </w:r>
        <w:r>
          <w:fldChar w:fldCharType="begin"/>
        </w:r>
        <w:r>
          <w:instrText xml:space="preserve"> PAGEREF _T</w:instrText>
        </w:r>
        <w:r>
          <w:instrText xml:space="preserve">oc256000017 \h </w:instrText>
        </w:r>
        <w:r>
          <w:fldChar w:fldCharType="separate"/>
        </w:r>
        <w:r>
          <w:t>22</w:t>
        </w:r>
        <w:r>
          <w:fldChar w:fldCharType="end"/>
        </w:r>
      </w:hyperlink>
    </w:p>
    <w:p w14:paraId="353C3AD4" w14:textId="77777777" w:rsidR="00957E69" w:rsidRDefault="001B034F">
      <w:pPr>
        <w:pStyle w:val="TOC2"/>
        <w:tabs>
          <w:tab w:val="right" w:leader="dot" w:pos="9350"/>
        </w:tabs>
        <w:rPr>
          <w:rFonts w:asciiTheme="minorHAnsi" w:hAnsiTheme="minorHAnsi"/>
          <w:noProof/>
          <w:sz w:val="22"/>
        </w:rPr>
      </w:pPr>
      <w:hyperlink w:anchor="_Toc256000018" w:history="1">
        <w:r>
          <w:rPr>
            <w:rStyle w:val="Hyperlink"/>
          </w:rPr>
          <w:t>D5. Intergovernmental Review</w:t>
        </w:r>
        <w:r>
          <w:tab/>
        </w:r>
        <w:r>
          <w:fldChar w:fldCharType="begin"/>
        </w:r>
        <w:r>
          <w:instrText xml:space="preserve"> PAGEREF _Toc256000018 \h </w:instrText>
        </w:r>
        <w:r>
          <w:fldChar w:fldCharType="separate"/>
        </w:r>
        <w:r>
          <w:t>22</w:t>
        </w:r>
        <w:r>
          <w:fldChar w:fldCharType="end"/>
        </w:r>
      </w:hyperlink>
    </w:p>
    <w:p w14:paraId="62A9B580" w14:textId="77777777" w:rsidR="00957E69" w:rsidRDefault="001B034F">
      <w:pPr>
        <w:pStyle w:val="TOC2"/>
        <w:tabs>
          <w:tab w:val="right" w:leader="dot" w:pos="9350"/>
        </w:tabs>
        <w:rPr>
          <w:rFonts w:asciiTheme="minorHAnsi" w:hAnsiTheme="minorHAnsi"/>
          <w:noProof/>
          <w:sz w:val="22"/>
        </w:rPr>
      </w:pPr>
      <w:hyperlink w:anchor="_Toc256000019" w:history="1">
        <w:r>
          <w:rPr>
            <w:rStyle w:val="Hyperlink"/>
          </w:rPr>
          <w:t>D6. Funding Restrictions</w:t>
        </w:r>
        <w:r>
          <w:tab/>
        </w:r>
        <w:r>
          <w:fldChar w:fldCharType="begin"/>
        </w:r>
        <w:r>
          <w:instrText xml:space="preserve"> PAGEREF _Toc256000019 \h </w:instrText>
        </w:r>
        <w:r>
          <w:fldChar w:fldCharType="separate"/>
        </w:r>
        <w:r>
          <w:t>22</w:t>
        </w:r>
        <w:r>
          <w:fldChar w:fldCharType="end"/>
        </w:r>
      </w:hyperlink>
    </w:p>
    <w:p w14:paraId="23A4CB37" w14:textId="77777777" w:rsidR="00957E69" w:rsidRDefault="001B034F">
      <w:pPr>
        <w:pStyle w:val="TOC2"/>
        <w:tabs>
          <w:tab w:val="right" w:leader="dot" w:pos="9350"/>
        </w:tabs>
        <w:rPr>
          <w:rFonts w:asciiTheme="minorHAnsi" w:hAnsiTheme="minorHAnsi"/>
          <w:noProof/>
          <w:sz w:val="22"/>
        </w:rPr>
      </w:pPr>
      <w:hyperlink w:anchor="_Toc256000020" w:history="1">
        <w:r>
          <w:rPr>
            <w:rStyle w:val="Hyperlink"/>
          </w:rPr>
          <w:t>D7. Other Submission Requirements</w:t>
        </w:r>
        <w:r>
          <w:tab/>
        </w:r>
        <w:r>
          <w:fldChar w:fldCharType="begin"/>
        </w:r>
        <w:r>
          <w:instrText xml:space="preserve"> PAGEREF _Toc256000020 \h </w:instrText>
        </w:r>
        <w:r>
          <w:fldChar w:fldCharType="separate"/>
        </w:r>
        <w:r>
          <w:t>24</w:t>
        </w:r>
        <w:r>
          <w:fldChar w:fldCharType="end"/>
        </w:r>
      </w:hyperlink>
    </w:p>
    <w:p w14:paraId="0414BD0C" w14:textId="77777777" w:rsidR="00957E69" w:rsidRDefault="001B034F">
      <w:pPr>
        <w:pStyle w:val="TOC1"/>
        <w:tabs>
          <w:tab w:val="right" w:leader="dot" w:pos="9350"/>
        </w:tabs>
        <w:rPr>
          <w:rFonts w:asciiTheme="minorHAnsi" w:hAnsiTheme="minorHAnsi"/>
          <w:noProof/>
          <w:sz w:val="22"/>
        </w:rPr>
      </w:pPr>
      <w:hyperlink w:anchor="_Toc256000021" w:history="1">
        <w:r>
          <w:rPr>
            <w:rStyle w:val="Hyperlink"/>
          </w:rPr>
          <w:t>E. Application Review Information</w:t>
        </w:r>
        <w:r>
          <w:tab/>
        </w:r>
        <w:r>
          <w:fldChar w:fldCharType="begin"/>
        </w:r>
        <w:r>
          <w:instrText xml:space="preserve"> PAGEREF _Toc256000021 \h </w:instrText>
        </w:r>
        <w:r>
          <w:fldChar w:fldCharType="separate"/>
        </w:r>
        <w:r>
          <w:t>25</w:t>
        </w:r>
        <w:r>
          <w:fldChar w:fldCharType="end"/>
        </w:r>
      </w:hyperlink>
    </w:p>
    <w:p w14:paraId="2AA53473" w14:textId="77777777" w:rsidR="00957E69" w:rsidRDefault="001B034F">
      <w:pPr>
        <w:pStyle w:val="TOC2"/>
        <w:tabs>
          <w:tab w:val="right" w:leader="dot" w:pos="9350"/>
        </w:tabs>
        <w:rPr>
          <w:rFonts w:asciiTheme="minorHAnsi" w:hAnsiTheme="minorHAnsi"/>
          <w:noProof/>
          <w:sz w:val="22"/>
        </w:rPr>
      </w:pPr>
      <w:hyperlink w:anchor="_Toc256000022" w:history="1">
        <w:r>
          <w:rPr>
            <w:rStyle w:val="Hyperlink"/>
          </w:rPr>
          <w:t>E1. Criteria</w:t>
        </w:r>
        <w:r>
          <w:tab/>
        </w:r>
        <w:r>
          <w:fldChar w:fldCharType="begin"/>
        </w:r>
        <w:r>
          <w:instrText xml:space="preserve"> PAGEREF _Toc256000022 \h </w:instrText>
        </w:r>
        <w:r>
          <w:fldChar w:fldCharType="separate"/>
        </w:r>
        <w:r>
          <w:t>25</w:t>
        </w:r>
        <w:r>
          <w:fldChar w:fldCharType="end"/>
        </w:r>
      </w:hyperlink>
    </w:p>
    <w:p w14:paraId="1ED9F75F" w14:textId="77777777" w:rsidR="00957E69" w:rsidRDefault="001B034F">
      <w:pPr>
        <w:pStyle w:val="TOC2"/>
        <w:tabs>
          <w:tab w:val="right" w:leader="dot" w:pos="9350"/>
        </w:tabs>
        <w:rPr>
          <w:rFonts w:asciiTheme="minorHAnsi" w:hAnsiTheme="minorHAnsi"/>
          <w:noProof/>
          <w:sz w:val="22"/>
        </w:rPr>
      </w:pPr>
      <w:hyperlink w:anchor="_Toc256000023" w:history="1">
        <w:r>
          <w:rPr>
            <w:rStyle w:val="Hyperlink"/>
          </w:rPr>
          <w:t>E2. Review and Selection Process</w:t>
        </w:r>
        <w:r>
          <w:tab/>
        </w:r>
        <w:r>
          <w:fldChar w:fldCharType="begin"/>
        </w:r>
        <w:r>
          <w:instrText xml:space="preserve"> PAGEREF _Toc256000023 \h </w:instrText>
        </w:r>
        <w:r>
          <w:fldChar w:fldCharType="separate"/>
        </w:r>
        <w:r>
          <w:t>26</w:t>
        </w:r>
        <w:r>
          <w:fldChar w:fldCharType="end"/>
        </w:r>
      </w:hyperlink>
    </w:p>
    <w:p w14:paraId="2AF3B7F4" w14:textId="77777777" w:rsidR="00957E69" w:rsidRDefault="001B034F">
      <w:pPr>
        <w:pStyle w:val="TOC2"/>
        <w:tabs>
          <w:tab w:val="right" w:leader="dot" w:pos="9350"/>
        </w:tabs>
        <w:rPr>
          <w:rFonts w:asciiTheme="minorHAnsi" w:hAnsiTheme="minorHAnsi"/>
          <w:noProof/>
          <w:sz w:val="22"/>
        </w:rPr>
      </w:pPr>
      <w:hyperlink w:anchor="_Toc256000024" w:history="1">
        <w:r>
          <w:rPr>
            <w:rStyle w:val="Hyperlink"/>
          </w:rPr>
          <w:t>E3. CFR – Regulatory Information</w:t>
        </w:r>
        <w:r>
          <w:tab/>
        </w:r>
        <w:r>
          <w:fldChar w:fldCharType="begin"/>
        </w:r>
        <w:r>
          <w:instrText xml:space="preserve"> PAGEREF _Toc256000024 \h </w:instrText>
        </w:r>
        <w:r>
          <w:fldChar w:fldCharType="separate"/>
        </w:r>
        <w:r>
          <w:t>28</w:t>
        </w:r>
        <w:r>
          <w:fldChar w:fldCharType="end"/>
        </w:r>
      </w:hyperlink>
    </w:p>
    <w:p w14:paraId="62E4C735" w14:textId="77777777" w:rsidR="00957E69" w:rsidRDefault="001B034F">
      <w:pPr>
        <w:pStyle w:val="TOC2"/>
        <w:tabs>
          <w:tab w:val="right" w:leader="dot" w:pos="9350"/>
        </w:tabs>
        <w:rPr>
          <w:rFonts w:asciiTheme="minorHAnsi" w:hAnsiTheme="minorHAnsi"/>
          <w:noProof/>
          <w:sz w:val="22"/>
        </w:rPr>
      </w:pPr>
      <w:hyperlink w:anchor="_Toc256000025" w:history="1">
        <w:r>
          <w:rPr>
            <w:rStyle w:val="Hyperlink"/>
          </w:rPr>
          <w:t>E4. Anticipated Announcement and Federal Award Dates</w:t>
        </w:r>
        <w:r>
          <w:tab/>
        </w:r>
        <w:r>
          <w:fldChar w:fldCharType="begin"/>
        </w:r>
        <w:r>
          <w:instrText xml:space="preserve"> PAGEREF _Toc256000025 \h </w:instrText>
        </w:r>
        <w:r>
          <w:fldChar w:fldCharType="separate"/>
        </w:r>
        <w:r>
          <w:t>28</w:t>
        </w:r>
        <w:r>
          <w:fldChar w:fldCharType="end"/>
        </w:r>
      </w:hyperlink>
    </w:p>
    <w:p w14:paraId="7DBB259A" w14:textId="77777777" w:rsidR="00957E69" w:rsidRDefault="001B034F">
      <w:pPr>
        <w:pStyle w:val="TOC1"/>
        <w:tabs>
          <w:tab w:val="right" w:leader="dot" w:pos="9350"/>
        </w:tabs>
        <w:rPr>
          <w:rFonts w:asciiTheme="minorHAnsi" w:hAnsiTheme="minorHAnsi"/>
          <w:noProof/>
          <w:sz w:val="22"/>
        </w:rPr>
      </w:pPr>
      <w:hyperlink w:anchor="_Toc256000026" w:history="1">
        <w:r>
          <w:rPr>
            <w:rStyle w:val="Hyperlink"/>
          </w:rPr>
          <w:t>F. Federal Award Administration Information</w:t>
        </w:r>
        <w:r>
          <w:tab/>
        </w:r>
        <w:r>
          <w:fldChar w:fldCharType="begin"/>
        </w:r>
        <w:r>
          <w:instrText xml:space="preserve"> PAGEREF _Toc256000026 \h </w:instrText>
        </w:r>
        <w:r>
          <w:fldChar w:fldCharType="separate"/>
        </w:r>
        <w:r>
          <w:t>28</w:t>
        </w:r>
        <w:r>
          <w:fldChar w:fldCharType="end"/>
        </w:r>
      </w:hyperlink>
    </w:p>
    <w:p w14:paraId="0F9E6DA0" w14:textId="77777777" w:rsidR="00957E69" w:rsidRDefault="001B034F">
      <w:pPr>
        <w:pStyle w:val="TOC2"/>
        <w:tabs>
          <w:tab w:val="right" w:leader="dot" w:pos="9350"/>
        </w:tabs>
        <w:rPr>
          <w:rFonts w:asciiTheme="minorHAnsi" w:hAnsiTheme="minorHAnsi"/>
          <w:noProof/>
          <w:sz w:val="22"/>
        </w:rPr>
      </w:pPr>
      <w:hyperlink w:anchor="_Toc256000027" w:history="1">
        <w:r>
          <w:rPr>
            <w:rStyle w:val="Hyperlink"/>
          </w:rPr>
          <w:t>F1. Federal Award Notices</w:t>
        </w:r>
        <w:r>
          <w:tab/>
        </w:r>
        <w:r>
          <w:fldChar w:fldCharType="begin"/>
        </w:r>
        <w:r>
          <w:instrText xml:space="preserve"> PAGEREF _Toc256000027 \h </w:instrText>
        </w:r>
        <w:r>
          <w:fldChar w:fldCharType="separate"/>
        </w:r>
        <w:r>
          <w:t>28</w:t>
        </w:r>
        <w:r>
          <w:fldChar w:fldCharType="end"/>
        </w:r>
      </w:hyperlink>
    </w:p>
    <w:p w14:paraId="4BE03D29" w14:textId="77777777" w:rsidR="00957E69" w:rsidRDefault="001B034F">
      <w:pPr>
        <w:pStyle w:val="TOC2"/>
        <w:tabs>
          <w:tab w:val="right" w:leader="dot" w:pos="9350"/>
        </w:tabs>
        <w:rPr>
          <w:rFonts w:asciiTheme="minorHAnsi" w:hAnsiTheme="minorHAnsi"/>
          <w:noProof/>
          <w:sz w:val="22"/>
        </w:rPr>
      </w:pPr>
      <w:hyperlink w:anchor="_Toc256000028" w:history="1">
        <w:r>
          <w:rPr>
            <w:rStyle w:val="Hyperlink"/>
          </w:rPr>
          <w:t>F2. Administrative and National Policy Requirements</w:t>
        </w:r>
        <w:r>
          <w:tab/>
        </w:r>
        <w:r>
          <w:fldChar w:fldCharType="begin"/>
        </w:r>
        <w:r>
          <w:instrText xml:space="preserve"> PAGEREF _Toc256000028 \h </w:instrText>
        </w:r>
        <w:r>
          <w:fldChar w:fldCharType="separate"/>
        </w:r>
        <w:r>
          <w:t>28</w:t>
        </w:r>
        <w:r>
          <w:fldChar w:fldCharType="end"/>
        </w:r>
      </w:hyperlink>
    </w:p>
    <w:p w14:paraId="749723E9" w14:textId="77777777" w:rsidR="00957E69" w:rsidRDefault="001B034F">
      <w:pPr>
        <w:pStyle w:val="TOC2"/>
        <w:tabs>
          <w:tab w:val="right" w:leader="dot" w:pos="9350"/>
        </w:tabs>
        <w:rPr>
          <w:rFonts w:asciiTheme="minorHAnsi" w:hAnsiTheme="minorHAnsi"/>
          <w:noProof/>
          <w:sz w:val="22"/>
        </w:rPr>
      </w:pPr>
      <w:hyperlink w:anchor="_Toc256000029" w:history="1">
        <w:r>
          <w:rPr>
            <w:rStyle w:val="Hyperlink"/>
          </w:rPr>
          <w:t>F3. Reporting</w:t>
        </w:r>
        <w:r>
          <w:tab/>
        </w:r>
        <w:r>
          <w:fldChar w:fldCharType="begin"/>
        </w:r>
        <w:r>
          <w:instrText xml:space="preserve"> PAGEREF _Toc256000029 \h </w:instrText>
        </w:r>
        <w:r>
          <w:fldChar w:fldCharType="separate"/>
        </w:r>
        <w:r>
          <w:t>29</w:t>
        </w:r>
        <w:r>
          <w:fldChar w:fldCharType="end"/>
        </w:r>
      </w:hyperlink>
    </w:p>
    <w:p w14:paraId="65498F90" w14:textId="77777777" w:rsidR="00957E69" w:rsidRDefault="001B034F">
      <w:pPr>
        <w:pStyle w:val="TOC1"/>
        <w:tabs>
          <w:tab w:val="right" w:leader="dot" w:pos="9350"/>
        </w:tabs>
        <w:rPr>
          <w:rFonts w:asciiTheme="minorHAnsi" w:hAnsiTheme="minorHAnsi"/>
          <w:noProof/>
          <w:sz w:val="22"/>
        </w:rPr>
      </w:pPr>
      <w:hyperlink w:anchor="_Toc256000030" w:history="1">
        <w:r>
          <w:rPr>
            <w:rStyle w:val="Hyperlink"/>
          </w:rPr>
          <w:t>G. Federal Awarding Agency Contact(s)</w:t>
        </w:r>
        <w:r>
          <w:tab/>
        </w:r>
        <w:r>
          <w:fldChar w:fldCharType="begin"/>
        </w:r>
        <w:r>
          <w:instrText xml:space="preserve"> PAGEREF _Toc256000030 \h </w:instrText>
        </w:r>
        <w:r>
          <w:fldChar w:fldCharType="separate"/>
        </w:r>
        <w:r>
          <w:t>30</w:t>
        </w:r>
        <w:r>
          <w:fldChar w:fldCharType="end"/>
        </w:r>
      </w:hyperlink>
    </w:p>
    <w:p w14:paraId="52157322" w14:textId="77777777" w:rsidR="00957E69" w:rsidRDefault="001B034F">
      <w:pPr>
        <w:pStyle w:val="TOC2"/>
        <w:tabs>
          <w:tab w:val="right" w:leader="dot" w:pos="9350"/>
        </w:tabs>
        <w:rPr>
          <w:rFonts w:asciiTheme="minorHAnsi" w:hAnsiTheme="minorHAnsi"/>
          <w:noProof/>
          <w:sz w:val="22"/>
        </w:rPr>
      </w:pPr>
      <w:hyperlink w:anchor="_Toc256000031" w:history="1">
        <w:r>
          <w:rPr>
            <w:rStyle w:val="Hyperlink"/>
          </w:rPr>
          <w:t>G1. Program Technical Contact</w:t>
        </w:r>
        <w:r>
          <w:tab/>
        </w:r>
        <w:r>
          <w:fldChar w:fldCharType="begin"/>
        </w:r>
        <w:r>
          <w:instrText xml:space="preserve"> PAGEREF _Toc256000031 \h </w:instrText>
        </w:r>
        <w:r>
          <w:fldChar w:fldCharType="separate"/>
        </w:r>
        <w:r>
          <w:t>31</w:t>
        </w:r>
        <w:r>
          <w:fldChar w:fldCharType="end"/>
        </w:r>
      </w:hyperlink>
    </w:p>
    <w:p w14:paraId="1BEEC7CE" w14:textId="77777777" w:rsidR="00957E69" w:rsidRDefault="001B034F">
      <w:pPr>
        <w:pStyle w:val="TOC2"/>
        <w:tabs>
          <w:tab w:val="right" w:leader="dot" w:pos="9350"/>
        </w:tabs>
        <w:rPr>
          <w:rFonts w:asciiTheme="minorHAnsi" w:hAnsiTheme="minorHAnsi"/>
          <w:noProof/>
          <w:sz w:val="22"/>
        </w:rPr>
      </w:pPr>
      <w:hyperlink w:anchor="_Toc256000032" w:history="1">
        <w:r>
          <w:rPr>
            <w:rStyle w:val="Hyperlink"/>
          </w:rPr>
          <w:t>G2. Program Administration Contact</w:t>
        </w:r>
        <w:r>
          <w:tab/>
        </w:r>
        <w:r>
          <w:fldChar w:fldCharType="begin"/>
        </w:r>
        <w:r>
          <w:instrText xml:space="preserve"> PAGEREF _Toc256000032 \h </w:instrText>
        </w:r>
        <w:r>
          <w:fldChar w:fldCharType="separate"/>
        </w:r>
        <w:r>
          <w:t>31</w:t>
        </w:r>
        <w:r>
          <w:fldChar w:fldCharType="end"/>
        </w:r>
      </w:hyperlink>
    </w:p>
    <w:p w14:paraId="3273E541" w14:textId="77777777" w:rsidR="00957E69" w:rsidRDefault="001B034F">
      <w:pPr>
        <w:pStyle w:val="TOC2"/>
        <w:tabs>
          <w:tab w:val="right" w:leader="dot" w:pos="9350"/>
        </w:tabs>
        <w:rPr>
          <w:rFonts w:asciiTheme="minorHAnsi" w:hAnsiTheme="minorHAnsi"/>
          <w:noProof/>
          <w:sz w:val="22"/>
        </w:rPr>
      </w:pPr>
      <w:hyperlink w:anchor="_Toc256000033" w:history="1">
        <w:r>
          <w:rPr>
            <w:rStyle w:val="Hyperlink"/>
          </w:rPr>
          <w:t>G3. Application System Technical Support</w:t>
        </w:r>
        <w:r>
          <w:tab/>
        </w:r>
        <w:r>
          <w:fldChar w:fldCharType="begin"/>
        </w:r>
        <w:r>
          <w:instrText xml:space="preserve"> PAGEREF _Toc256000033 \h </w:instrText>
        </w:r>
        <w:r>
          <w:fldChar w:fldCharType="separate"/>
        </w:r>
        <w:r>
          <w:t>31</w:t>
        </w:r>
        <w:r>
          <w:fldChar w:fldCharType="end"/>
        </w:r>
      </w:hyperlink>
    </w:p>
    <w:p w14:paraId="232ECA07" w14:textId="77777777" w:rsidR="00957E69" w:rsidRDefault="001B034F">
      <w:pPr>
        <w:pStyle w:val="TOC1"/>
        <w:tabs>
          <w:tab w:val="right" w:leader="dot" w:pos="9350"/>
        </w:tabs>
        <w:rPr>
          <w:rFonts w:asciiTheme="minorHAnsi" w:hAnsiTheme="minorHAnsi"/>
          <w:noProof/>
          <w:sz w:val="22"/>
        </w:rPr>
      </w:pPr>
      <w:hyperlink w:anchor="_Toc256000034" w:history="1">
        <w:r>
          <w:rPr>
            <w:rStyle w:val="Hyperlink"/>
          </w:rPr>
          <w:t>H. Other</w:t>
        </w:r>
        <w:r>
          <w:rPr>
            <w:rStyle w:val="Hyperlink"/>
          </w:rPr>
          <w:t xml:space="preserve"> Information</w:t>
        </w:r>
        <w:r>
          <w:tab/>
        </w:r>
        <w:r>
          <w:fldChar w:fldCharType="begin"/>
        </w:r>
        <w:r>
          <w:instrText xml:space="preserve"> PAGEREF _Toc256000034 \h </w:instrText>
        </w:r>
        <w:r>
          <w:fldChar w:fldCharType="separate"/>
        </w:r>
        <w:r>
          <w:t>32</w:t>
        </w:r>
        <w:r>
          <w:fldChar w:fldCharType="end"/>
        </w:r>
      </w:hyperlink>
    </w:p>
    <w:p w14:paraId="55093918" w14:textId="77777777" w:rsidR="00957E69" w:rsidRDefault="001B034F" w:rsidP="00470374">
      <w:pPr>
        <w:pStyle w:val="MainHeading"/>
        <w:spacing w:before="200" w:after="80"/>
        <w:rPr>
          <w:rFonts w:cs="Times New Roman"/>
          <w:color w:val="000000"/>
          <w:sz w:val="32"/>
        </w:rPr>
      </w:pPr>
      <w:r>
        <w:rPr>
          <w:rFonts w:cs="Times New Roman"/>
          <w:color w:val="000000"/>
          <w:sz w:val="32"/>
        </w:rPr>
        <w:fldChar w:fldCharType="end"/>
      </w:r>
      <w:r>
        <w:rPr>
          <w:rFonts w:cs="Times New Roman"/>
          <w:color w:val="000000"/>
          <w:sz w:val="32"/>
        </w:rPr>
        <w:br/>
      </w:r>
    </w:p>
    <w:p w14:paraId="5DE043A8" w14:textId="77777777" w:rsidR="00957E69" w:rsidRDefault="001B034F">
      <w:pPr>
        <w:pStyle w:val="h1Heading1"/>
        <w:widowControl/>
        <w:spacing w:before="0" w:after="161"/>
        <w:ind w:left="45" w:right="45"/>
        <w:outlineLvl w:val="9"/>
      </w:pPr>
      <w:bookmarkStart w:id="0" w:name="_Toc256000000"/>
      <w:r>
        <w:rPr>
          <w:color w:val="000000"/>
          <w:kern w:val="0"/>
          <w:shd w:val="clear" w:color="auto" w:fill="auto"/>
        </w:rPr>
        <w:t>A. Program Description</w:t>
      </w:r>
      <w:bookmarkEnd w:id="0"/>
    </w:p>
    <w:p w14:paraId="7F905A1F" w14:textId="77777777" w:rsidR="00957E69" w:rsidRDefault="001B034F" w:rsidP="00470374">
      <w:pPr>
        <w:spacing w:before="200" w:after="80"/>
        <w:rPr>
          <w:vanish/>
        </w:rPr>
      </w:pPr>
      <w:r>
        <w:rPr>
          <w:vanish/>
          <w:color w:val="009745"/>
        </w:rPr>
        <w:t xml:space="preserve">This section contains the full program description of the funding opportunity.  It may be as long as needed to </w:t>
      </w:r>
      <w:r>
        <w:rPr>
          <w:vanish/>
          <w:color w:val="009745"/>
        </w:rPr>
        <w:t>communicate to potential applicants the areas in which funding may be provided.  It describes the Federal awarding agency's funding priorities or the technical or focus areas in which the Federal awarding agency intends to provide assistance.  This section</w:t>
      </w:r>
      <w:r>
        <w:rPr>
          <w:vanish/>
          <w:color w:val="009745"/>
        </w:rPr>
        <w:t xml:space="preserve"> also may include other information the Federal awarding agency deems necessary and must include citations for authorizing statutes and regulations for the funding opportunity, at a minimum.  Enter program specific text in the sub-headers of this section.</w:t>
      </w:r>
    </w:p>
    <w:p w14:paraId="5FDE4C26"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6E1C356E" w14:textId="77777777" w:rsidR="00957E69" w:rsidRDefault="001B034F">
      <w:pPr>
        <w:pStyle w:val="h2Heading2"/>
        <w:keepNext w:val="0"/>
        <w:spacing w:before="199" w:after="199"/>
        <w:ind w:left="45" w:right="45"/>
        <w:outlineLvl w:val="9"/>
      </w:pPr>
      <w:bookmarkStart w:id="1" w:name="_Toc256000001"/>
      <w:r>
        <w:rPr>
          <w:iCs w:val="0"/>
          <w:color w:val="000000"/>
          <w:shd w:val="clear" w:color="auto" w:fill="auto"/>
        </w:rPr>
        <w:t>A1. Authority</w:t>
      </w:r>
      <w:bookmarkEnd w:id="1"/>
    </w:p>
    <w:p w14:paraId="4B3A9ED1" w14:textId="77777777" w:rsidR="00957E69" w:rsidRDefault="001B034F" w:rsidP="00470374">
      <w:pPr>
        <w:spacing w:before="200" w:after="80"/>
        <w:rPr>
          <w:vanish/>
        </w:rPr>
      </w:pPr>
      <w:r>
        <w:rPr>
          <w:vanish/>
          <w:color w:val="009745"/>
        </w:rPr>
        <w:t xml:space="preserve">In the text box below, insert complete legislative authority citation(s) for the statute(s) that authorize the program to issue financial assistance awards for the purpose and activities described in this Funding Opportunity.  The statutes </w:t>
      </w:r>
      <w:r>
        <w:rPr>
          <w:vanish/>
          <w:color w:val="009745"/>
        </w:rPr>
        <w:t>listed here must also appear in the program’s SAM.gov Assistance Listing (CFDA) profile (currently at beta.SAM.gov).  If your program has a new authorizing statute that does not appear in the SAM.gov Assistance Listing (CFDA) profile, please contact the Bu</w:t>
      </w:r>
      <w:r>
        <w:rPr>
          <w:vanish/>
          <w:color w:val="009745"/>
        </w:rPr>
        <w:t>reau’s CFDA Coordinator.</w:t>
      </w:r>
    </w:p>
    <w:p w14:paraId="22EB9A75"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USGS Earthquake Hazards Program (EHP) issues this annual Announcement for assistance to support research in earthquake hazards, the physics of earthquakes, earthquake occurrence, and earthquake safety policy and address the Dep</w:t>
      </w:r>
      <w:r>
        <w:rPr>
          <w:rFonts w:ascii="Times New Roman" w:eastAsia="Times New Roman" w:hAnsi="Times New Roman" w:cs="Times New Roman"/>
          <w:sz w:val="24"/>
          <w:szCs w:val="24"/>
        </w:rPr>
        <w:t xml:space="preserve">artment of Interior’s Secretarial priorities. This activity is authorized by the Earthquake Hazards Reduction Act of 1977 (Public Law 95-124, 42 U.S.C. 7701 et. seq.), and as amended by the National Earthquake Hazards Reduction Program Reauthorization Act </w:t>
      </w:r>
      <w:r>
        <w:rPr>
          <w:rFonts w:ascii="Times New Roman" w:eastAsia="Times New Roman" w:hAnsi="Times New Roman" w:cs="Times New Roman"/>
          <w:sz w:val="24"/>
          <w:szCs w:val="24"/>
        </w:rPr>
        <w:t>of 2018 (Public Law 115-307).</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Style w:val="highlightany"/>
          <w:rFonts w:ascii="Times New Roman" w:eastAsia="Times New Roman" w:hAnsi="Times New Roman" w:cs="Times New Roman"/>
          <w:b/>
          <w:bCs/>
          <w:sz w:val="24"/>
          <w:szCs w:val="24"/>
          <w:u w:val="single"/>
        </w:rPr>
        <w:t>Grants.gov Subscription:</w:t>
      </w:r>
      <w:r>
        <w:rPr>
          <w:rStyle w:val="highlightany"/>
          <w:rFonts w:ascii="Times New Roman" w:eastAsia="Times New Roman" w:hAnsi="Times New Roman" w:cs="Times New Roman"/>
          <w:b/>
          <w:bCs/>
          <w:sz w:val="24"/>
          <w:szCs w:val="24"/>
          <w:u w:val="single"/>
        </w:rPr>
        <w:br/>
      </w:r>
      <w:r>
        <w:rPr>
          <w:rFonts w:ascii="Times New Roman" w:eastAsia="Times New Roman" w:hAnsi="Times New Roman" w:cs="Times New Roman"/>
          <w:sz w:val="24"/>
          <w:szCs w:val="24"/>
        </w:rPr>
        <w:t>Principal Investigators (PIs) are urged to sign up for Grants.gov’s subscription service to receive notices about the Earthquake Hazards Program grant funding opportunities and possible updates during</w:t>
      </w:r>
      <w:r>
        <w:rPr>
          <w:rFonts w:ascii="Times New Roman" w:eastAsia="Times New Roman" w:hAnsi="Times New Roman" w:cs="Times New Roman"/>
          <w:sz w:val="24"/>
          <w:szCs w:val="24"/>
        </w:rPr>
        <w:t xml:space="preserve"> the application period. Sign up is through the Grants.gov website; our CFDA number is 15.807.</w:t>
      </w:r>
    </w:p>
    <w:p w14:paraId="43914EE0" w14:textId="77777777" w:rsidR="00957E69" w:rsidRDefault="001B034F" w:rsidP="00470374">
      <w:pPr>
        <w:pStyle w:val="Label"/>
        <w:spacing w:before="60" w:after="20"/>
      </w:pPr>
      <w:r>
        <w:t xml:space="preserve"> Catalog of Federal Domestic Assistance (CFDA) Number</w:t>
      </w:r>
    </w:p>
    <w:p w14:paraId="388BAF15" w14:textId="77777777" w:rsidR="00957E69" w:rsidRDefault="001B034F" w:rsidP="00470374">
      <w:pPr>
        <w:spacing w:before="60" w:after="20"/>
        <w:rPr>
          <w:vanish/>
        </w:rPr>
      </w:pPr>
      <w:r>
        <w:rPr>
          <w:vanish/>
          <w:color w:val="009745"/>
        </w:rPr>
        <w:t>Select the program’s Assistance Listing (CFDA).</w:t>
      </w:r>
    </w:p>
    <w:p w14:paraId="61C88BF3" w14:textId="77777777" w:rsidR="00957E69" w:rsidRDefault="001B034F" w:rsidP="00470374">
      <w:pPr>
        <w:pStyle w:val="highlight"/>
        <w:spacing w:before="20" w:after="20"/>
        <w:rPr>
          <w:szCs w:val="24"/>
        </w:rPr>
      </w:pPr>
      <w:r>
        <w:rPr>
          <w:szCs w:val="24"/>
        </w:rPr>
        <w:t>15.807</w:t>
      </w:r>
    </w:p>
    <w:p w14:paraId="65ADC284"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560C289B" w14:textId="77777777" w:rsidR="00957E69" w:rsidRDefault="001B034F">
      <w:pPr>
        <w:pStyle w:val="h2Heading2"/>
        <w:keepNext w:val="0"/>
        <w:spacing w:before="199" w:after="199"/>
        <w:ind w:left="45" w:right="45"/>
        <w:outlineLvl w:val="9"/>
      </w:pPr>
      <w:bookmarkStart w:id="2" w:name="_Toc256000002"/>
      <w:r>
        <w:rPr>
          <w:iCs w:val="0"/>
          <w:color w:val="000000"/>
          <w:shd w:val="clear" w:color="auto" w:fill="auto"/>
        </w:rPr>
        <w:t xml:space="preserve">A2. Background, Purpose and Program </w:t>
      </w:r>
      <w:r>
        <w:rPr>
          <w:iCs w:val="0"/>
          <w:color w:val="000000"/>
          <w:shd w:val="clear" w:color="auto" w:fill="auto"/>
        </w:rPr>
        <w:t>Requirements</w:t>
      </w:r>
      <w:bookmarkEnd w:id="2"/>
    </w:p>
    <w:p w14:paraId="2B7E964E" w14:textId="77777777" w:rsidR="00957E69" w:rsidRDefault="001B034F" w:rsidP="00470374">
      <w:pPr>
        <w:spacing w:before="20" w:after="20"/>
        <w:rPr>
          <w:vanish/>
        </w:rPr>
      </w:pPr>
      <w:r>
        <w:rPr>
          <w:vanish/>
          <w:color w:val="009745"/>
        </w:rPr>
        <w:lastRenderedPageBreak/>
        <w:t>In the text box below,provide a full programmatic description of the funding opportunity.  Describe program’s funding priorities or technical focus areas in which the program intends to provide assistance.  As appropriate, include any relevant</w:t>
      </w:r>
      <w:r>
        <w:rPr>
          <w:vanish/>
          <w:color w:val="009745"/>
        </w:rPr>
        <w:t xml:space="preserve"> program history (e.g., whether this is a new program or a changed area of program emphasis).  This section may communicate indicators of successful projects (e.g., if the program encourages collaborative efforts) and may include examples of projects that </w:t>
      </w:r>
      <w:r>
        <w:rPr>
          <w:vanish/>
          <w:color w:val="009745"/>
        </w:rPr>
        <w:t>have been funded previously.  All funding opportunities must specifically identify the Department of the Interior Secretarial Priorities addressed by the program or opportunity, and a brief description of how the program or opportunity meets each priority.</w:t>
      </w:r>
      <w:r>
        <w:rPr>
          <w:vanish/>
          <w:color w:val="009745"/>
        </w:rPr>
        <w:t xml:space="preserve">  The Department does not expect programs to meet </w:t>
      </w:r>
      <w:r>
        <w:rPr>
          <w:i/>
          <w:iCs/>
          <w:vanish/>
          <w:color w:val="009745"/>
        </w:rPr>
        <w:t>all</w:t>
      </w:r>
      <w:r>
        <w:rPr>
          <w:vanish/>
          <w:color w:val="009745"/>
        </w:rPr>
        <w:t xml:space="preserve"> of the Department’s FA priorities; list only those clearly supported by the program or opportunity.</w:t>
      </w:r>
    </w:p>
    <w:p w14:paraId="3258F991" w14:textId="77777777" w:rsidR="00957E69" w:rsidRDefault="001B034F" w:rsidP="00470374">
      <w:pPr>
        <w:pStyle w:val="highlightanyParagraph"/>
        <w:spacing w:after="140"/>
        <w:rPr>
          <w:szCs w:val="24"/>
        </w:rPr>
      </w:pPr>
      <w:r>
        <w:rPr>
          <w:rStyle w:val="highlightany"/>
          <w:b/>
          <w:bCs/>
          <w:szCs w:val="24"/>
          <w:u w:val="single"/>
        </w:rPr>
        <w:t>Research Priorities:</w:t>
      </w:r>
      <w:r>
        <w:rPr>
          <w:rStyle w:val="highlightany"/>
          <w:b/>
          <w:bCs/>
          <w:szCs w:val="24"/>
          <w:u w:val="single"/>
        </w:rPr>
        <w:br/>
      </w:r>
      <w:r>
        <w:rPr>
          <w:szCs w:val="24"/>
        </w:rPr>
        <w:t>The Research Priorities presented in Attachment A reflect the mission of the USGS</w:t>
      </w:r>
      <w:r>
        <w:rPr>
          <w:szCs w:val="24"/>
        </w:rPr>
        <w:t xml:space="preserve"> Earthquake Hazards Program (EHP) and address the Department of Interior’s Secretarial priorities. Applicants must review the high-priority targets listed in Attachment A for each region and topic in addition to the four major program elements described in</w:t>
      </w:r>
      <w:r>
        <w:rPr>
          <w:szCs w:val="24"/>
        </w:rPr>
        <w:t xml:space="preserve"> Attachment A to determine if an application is appropriate under this Program Announcement. </w:t>
      </w:r>
      <w:r>
        <w:rPr>
          <w:rStyle w:val="highlightany"/>
          <w:b/>
          <w:bCs/>
          <w:szCs w:val="24"/>
        </w:rPr>
        <w:t>Proposals should clearly address both applicable program element(s) and priority topic(s).</w:t>
      </w:r>
      <w:r>
        <w:rPr>
          <w:rStyle w:val="highlightany"/>
          <w:b/>
          <w:bCs/>
          <w:szCs w:val="24"/>
        </w:rPr>
        <w:br/>
      </w:r>
      <w:r>
        <w:rPr>
          <w:rStyle w:val="highlightany"/>
          <w:b/>
          <w:bCs/>
          <w:szCs w:val="24"/>
        </w:rPr>
        <w:br/>
      </w:r>
      <w:r>
        <w:rPr>
          <w:rStyle w:val="highlightany"/>
          <w:b/>
          <w:bCs/>
          <w:szCs w:val="24"/>
          <w:u w:val="single"/>
        </w:rPr>
        <w:t>Application Requirements:</w:t>
      </w:r>
    </w:p>
    <w:p w14:paraId="1A6AF13E" w14:textId="77777777" w:rsidR="00957E69" w:rsidRDefault="001B034F" w:rsidP="00470374">
      <w:pPr>
        <w:pStyle w:val="highlightanyParagraph"/>
        <w:spacing w:after="140"/>
        <w:rPr>
          <w:szCs w:val="24"/>
        </w:rPr>
      </w:pPr>
      <w:r>
        <w:rPr>
          <w:szCs w:val="24"/>
        </w:rPr>
        <w:t>A.</w:t>
      </w:r>
    </w:p>
    <w:p w14:paraId="13B58888" w14:textId="77777777" w:rsidR="00957E69" w:rsidRDefault="001B034F" w:rsidP="00470374">
      <w:pPr>
        <w:pStyle w:val="highlightanyParagraph"/>
        <w:numPr>
          <w:ilvl w:val="0"/>
          <w:numId w:val="20"/>
        </w:numPr>
        <w:spacing w:after="20"/>
        <w:rPr>
          <w:szCs w:val="24"/>
        </w:rPr>
      </w:pPr>
      <w:r>
        <w:rPr>
          <w:szCs w:val="24"/>
        </w:rPr>
        <w:t xml:space="preserve">Proposals must be for a duration of </w:t>
      </w:r>
      <w:r>
        <w:rPr>
          <w:szCs w:val="24"/>
        </w:rPr>
        <w:t>either one or two years with a clearly stated objective for the requested term. For more detail on requirements for 2-year proposals, see Section titled "Two-Year Proposals" below.</w:t>
      </w:r>
    </w:p>
    <w:p w14:paraId="364374F1" w14:textId="77777777" w:rsidR="00957E69" w:rsidRDefault="001B034F" w:rsidP="00470374">
      <w:pPr>
        <w:pStyle w:val="highlightanyParagraph"/>
        <w:numPr>
          <w:ilvl w:val="0"/>
          <w:numId w:val="20"/>
        </w:numPr>
        <w:spacing w:before="20" w:after="20"/>
        <w:rPr>
          <w:szCs w:val="24"/>
        </w:rPr>
      </w:pPr>
      <w:r>
        <w:rPr>
          <w:szCs w:val="24"/>
        </w:rPr>
        <w:t>The majority, greater than 50 percent, of research activities must be condu</w:t>
      </w:r>
      <w:r>
        <w:rPr>
          <w:szCs w:val="24"/>
        </w:rPr>
        <w:t>cted by the Applicant. The Applicant must retain administrative and technical control of project activities.</w:t>
      </w:r>
    </w:p>
    <w:p w14:paraId="54EA097B" w14:textId="77777777" w:rsidR="00957E69" w:rsidRDefault="001B034F" w:rsidP="00470374">
      <w:pPr>
        <w:pStyle w:val="highlightanyParagraph"/>
        <w:numPr>
          <w:ilvl w:val="0"/>
          <w:numId w:val="20"/>
        </w:numPr>
        <w:spacing w:before="20" w:after="20"/>
        <w:rPr>
          <w:szCs w:val="24"/>
        </w:rPr>
      </w:pPr>
      <w:r>
        <w:rPr>
          <w:szCs w:val="24"/>
        </w:rPr>
        <w:t>Proposals for geologic investigations shall be clearly oriented toward earthquake hazard research and assessment. Research Priorities are described</w:t>
      </w:r>
      <w:r>
        <w:rPr>
          <w:szCs w:val="24"/>
        </w:rPr>
        <w:t xml:space="preserve"> in Attachment A.</w:t>
      </w:r>
    </w:p>
    <w:p w14:paraId="317A9BE9" w14:textId="77777777" w:rsidR="00957E69" w:rsidRDefault="001B034F" w:rsidP="00470374">
      <w:pPr>
        <w:pStyle w:val="highlightanyParagraph"/>
        <w:numPr>
          <w:ilvl w:val="0"/>
          <w:numId w:val="20"/>
        </w:numPr>
        <w:spacing w:before="20" w:after="20"/>
        <w:rPr>
          <w:szCs w:val="24"/>
        </w:rPr>
      </w:pPr>
      <w:r>
        <w:rPr>
          <w:szCs w:val="24"/>
        </w:rPr>
        <w:t>USGS personnel are prohibited from assisting any organization in preparing its proposal for competitive funding under this Program Announcement.</w:t>
      </w:r>
    </w:p>
    <w:p w14:paraId="47BC0685" w14:textId="77777777" w:rsidR="00957E69" w:rsidRDefault="001B034F" w:rsidP="00470374">
      <w:pPr>
        <w:pStyle w:val="highlightanyParagraph"/>
        <w:numPr>
          <w:ilvl w:val="0"/>
          <w:numId w:val="20"/>
        </w:numPr>
        <w:spacing w:before="20" w:after="150"/>
        <w:rPr>
          <w:szCs w:val="24"/>
        </w:rPr>
      </w:pPr>
      <w:r>
        <w:rPr>
          <w:szCs w:val="24"/>
        </w:rPr>
        <w:t>Proposals to fund research in foreign countries will be considered only if the research is cl</w:t>
      </w:r>
      <w:r>
        <w:rPr>
          <w:szCs w:val="24"/>
        </w:rPr>
        <w:t>early oriented toward providing new knowledge or new techniques transferable to a U.S. seismogenic zone.</w:t>
      </w:r>
    </w:p>
    <w:p w14:paraId="13530418" w14:textId="77777777" w:rsidR="00957E69" w:rsidRDefault="001B034F" w:rsidP="00470374">
      <w:pPr>
        <w:pStyle w:val="highlightanyParagraph"/>
        <w:spacing w:after="140"/>
        <w:rPr>
          <w:szCs w:val="24"/>
        </w:rPr>
      </w:pPr>
      <w:r>
        <w:rPr>
          <w:szCs w:val="24"/>
        </w:rPr>
        <w:t>B.</w:t>
      </w:r>
    </w:p>
    <w:p w14:paraId="72D0D625" w14:textId="77777777" w:rsidR="00957E69" w:rsidRDefault="001B034F" w:rsidP="00470374">
      <w:pPr>
        <w:pStyle w:val="highlightanyParagraph"/>
        <w:numPr>
          <w:ilvl w:val="0"/>
          <w:numId w:val="21"/>
        </w:numPr>
        <w:spacing w:after="20"/>
        <w:rPr>
          <w:szCs w:val="24"/>
        </w:rPr>
      </w:pPr>
      <w:r>
        <w:rPr>
          <w:szCs w:val="24"/>
        </w:rPr>
        <w:t>Proposals to fund research in foreign countries must be based on cooperation with scientific groups in the host countries, with host country personn</w:t>
      </w:r>
      <w:r>
        <w:rPr>
          <w:szCs w:val="24"/>
        </w:rPr>
        <w:t>el being used for operational functions, and host countries providing financial support for such personnel. Proposals involving foreign governments or foreign individuals may require additional coordination and approval by the U.S. Department of State.</w:t>
      </w:r>
    </w:p>
    <w:p w14:paraId="50B449F1" w14:textId="77777777" w:rsidR="00957E69" w:rsidRDefault="001B034F" w:rsidP="00470374">
      <w:pPr>
        <w:pStyle w:val="highlightanyParagraph"/>
        <w:numPr>
          <w:ilvl w:val="0"/>
          <w:numId w:val="21"/>
        </w:numPr>
        <w:spacing w:before="20" w:after="20"/>
        <w:rPr>
          <w:szCs w:val="24"/>
        </w:rPr>
      </w:pPr>
      <w:r>
        <w:rPr>
          <w:szCs w:val="24"/>
        </w:rPr>
        <w:t>Applications submitted by foreign organizations must be submitted in English and in U.S. dollars.</w:t>
      </w:r>
    </w:p>
    <w:p w14:paraId="2F85902C" w14:textId="77777777" w:rsidR="00957E69" w:rsidRDefault="001B034F" w:rsidP="00470374">
      <w:pPr>
        <w:pStyle w:val="highlightanyParagraph"/>
        <w:numPr>
          <w:ilvl w:val="0"/>
          <w:numId w:val="21"/>
        </w:numPr>
        <w:spacing w:before="20" w:after="150"/>
        <w:rPr>
          <w:szCs w:val="24"/>
        </w:rPr>
      </w:pPr>
      <w:r>
        <w:rPr>
          <w:szCs w:val="24"/>
        </w:rPr>
        <w:t>Proposals must include a Data Management Plan. See Section D.2 for instructions.</w:t>
      </w:r>
    </w:p>
    <w:p w14:paraId="31F8B7DC" w14:textId="77777777" w:rsidR="00957E69" w:rsidRDefault="001B034F" w:rsidP="00470374">
      <w:pPr>
        <w:pStyle w:val="highlightanyParagraph"/>
        <w:spacing w:after="140"/>
        <w:rPr>
          <w:szCs w:val="24"/>
        </w:rPr>
      </w:pPr>
      <w:r>
        <w:rPr>
          <w:rStyle w:val="highlightany"/>
          <w:b/>
          <w:bCs/>
          <w:szCs w:val="24"/>
          <w:u w:val="single"/>
        </w:rPr>
        <w:lastRenderedPageBreak/>
        <w:t>Involvement of Federal Employees:</w:t>
      </w:r>
      <w:r>
        <w:rPr>
          <w:rStyle w:val="highlightany"/>
          <w:b/>
          <w:bCs/>
          <w:szCs w:val="24"/>
          <w:u w:val="single"/>
        </w:rPr>
        <w:br/>
      </w:r>
      <w:r>
        <w:rPr>
          <w:szCs w:val="24"/>
        </w:rPr>
        <w:t>Federal employees, including USGS employees</w:t>
      </w:r>
      <w:r>
        <w:rPr>
          <w:szCs w:val="24"/>
        </w:rPr>
        <w:t>, </w:t>
      </w:r>
      <w:r>
        <w:rPr>
          <w:rStyle w:val="highlightany"/>
          <w:b/>
          <w:bCs/>
          <w:szCs w:val="24"/>
        </w:rPr>
        <w:t>are prohibited from serving in any capacity</w:t>
      </w:r>
      <w:r>
        <w:rPr>
          <w:szCs w:val="24"/>
        </w:rPr>
        <w:t> (paid or unpaid) on any application submitted under this Announcement; federal employees may not assist in the development of proposals. Proposals that have a real or apparent conflict of interest related to Fe</w:t>
      </w:r>
      <w:r>
        <w:rPr>
          <w:szCs w:val="24"/>
        </w:rPr>
        <w:t>deral employees will not be processed for evaluation. This does not prohibit cooperation or collaboration between USGS and non-USGS scientists once a grant or cooperative agreement is in place. Section A2 describes Collaborative Proposals.</w:t>
      </w:r>
      <w:r>
        <w:rPr>
          <w:szCs w:val="24"/>
        </w:rPr>
        <w:br/>
      </w:r>
      <w:r>
        <w:rPr>
          <w:szCs w:val="24"/>
        </w:rPr>
        <w:br/>
      </w:r>
      <w:r>
        <w:rPr>
          <w:rStyle w:val="highlightany"/>
          <w:b/>
          <w:bCs/>
          <w:szCs w:val="24"/>
          <w:u w:val="single"/>
        </w:rPr>
        <w:t>Out-of-Cycle Aw</w:t>
      </w:r>
      <w:r>
        <w:rPr>
          <w:rStyle w:val="highlightany"/>
          <w:b/>
          <w:bCs/>
          <w:szCs w:val="24"/>
          <w:u w:val="single"/>
        </w:rPr>
        <w:t>ards:</w:t>
      </w:r>
      <w:r>
        <w:rPr>
          <w:rStyle w:val="highlightany"/>
          <w:b/>
          <w:bCs/>
          <w:szCs w:val="24"/>
          <w:u w:val="single"/>
        </w:rPr>
        <w:br/>
      </w:r>
      <w:r>
        <w:rPr>
          <w:szCs w:val="24"/>
        </w:rPr>
        <w:t>The USGS may accept proposals outside of the normal competitive cycle under </w:t>
      </w:r>
      <w:r>
        <w:rPr>
          <w:rStyle w:val="highlightany"/>
          <w:b/>
          <w:bCs/>
          <w:szCs w:val="24"/>
        </w:rPr>
        <w:t xml:space="preserve">very limited </w:t>
      </w:r>
      <w:r>
        <w:rPr>
          <w:szCs w:val="24"/>
        </w:rPr>
        <w:t>circumstances:</w:t>
      </w:r>
    </w:p>
    <w:p w14:paraId="2DB23E87" w14:textId="77777777" w:rsidR="00957E69" w:rsidRDefault="001B034F" w:rsidP="00470374">
      <w:pPr>
        <w:pStyle w:val="highlightanyParagraph"/>
        <w:numPr>
          <w:ilvl w:val="0"/>
          <w:numId w:val="22"/>
        </w:numPr>
        <w:spacing w:after="20"/>
        <w:rPr>
          <w:szCs w:val="24"/>
        </w:rPr>
      </w:pPr>
      <w:r>
        <w:rPr>
          <w:szCs w:val="24"/>
        </w:rPr>
        <w:t>Research proposals may be accepted and approved out-of-cycle (after the closing date) only in cases where there is compelling circumstance or emer</w:t>
      </w:r>
      <w:r>
        <w:rPr>
          <w:szCs w:val="24"/>
        </w:rPr>
        <w:t>gency (</w:t>
      </w:r>
      <w:r>
        <w:rPr>
          <w:rStyle w:val="highlightany"/>
          <w:i/>
          <w:iCs/>
          <w:szCs w:val="24"/>
        </w:rPr>
        <w:t>e.g.</w:t>
      </w:r>
      <w:r>
        <w:rPr>
          <w:szCs w:val="24"/>
        </w:rPr>
        <w:t>, seismic event), which must be acted on before the next competitive review cycle. Proposers should contact the appropriate Regional or Topical Coordinator prior to submitting out-of-cycle proposals.</w:t>
      </w:r>
    </w:p>
    <w:p w14:paraId="2A157F16" w14:textId="77777777" w:rsidR="00957E69" w:rsidRDefault="001B034F" w:rsidP="00470374">
      <w:pPr>
        <w:pStyle w:val="highlightanyParagraph"/>
        <w:numPr>
          <w:ilvl w:val="0"/>
          <w:numId w:val="22"/>
        </w:numPr>
        <w:spacing w:before="20" w:after="150"/>
        <w:rPr>
          <w:szCs w:val="24"/>
        </w:rPr>
      </w:pPr>
      <w:r>
        <w:rPr>
          <w:szCs w:val="24"/>
        </w:rPr>
        <w:t xml:space="preserve">Congress mandates directed awards to support </w:t>
      </w:r>
      <w:r>
        <w:rPr>
          <w:szCs w:val="24"/>
        </w:rPr>
        <w:t>activities that evaluate earthquake hazards and losses. In this case, the USGS will solicit applications.</w:t>
      </w:r>
    </w:p>
    <w:p w14:paraId="15B931C2" w14:textId="77777777" w:rsidR="00957E69" w:rsidRDefault="001B034F" w:rsidP="00470374">
      <w:pPr>
        <w:pStyle w:val="highlightanyParagraph"/>
        <w:spacing w:after="140"/>
        <w:rPr>
          <w:szCs w:val="24"/>
        </w:rPr>
      </w:pPr>
      <w:r>
        <w:rPr>
          <w:rStyle w:val="highlightany"/>
          <w:b/>
          <w:bCs/>
          <w:szCs w:val="24"/>
          <w:u w:val="single"/>
        </w:rPr>
        <w:t>Collaborative Proposals:</w:t>
      </w:r>
    </w:p>
    <w:p w14:paraId="7CB68CE1" w14:textId="77777777" w:rsidR="00957E69" w:rsidRDefault="001B034F" w:rsidP="00470374">
      <w:pPr>
        <w:pStyle w:val="highlightanyParagraph"/>
        <w:spacing w:after="140"/>
        <w:rPr>
          <w:szCs w:val="24"/>
        </w:rPr>
      </w:pPr>
      <w:r>
        <w:rPr>
          <w:szCs w:val="24"/>
        </w:rPr>
        <w:t xml:space="preserve">Two types of collaborative proposals are acceptable: 1.) Collaboration between </w:t>
      </w:r>
      <w:r>
        <w:rPr>
          <w:rStyle w:val="highlightany"/>
          <w:szCs w:val="24"/>
          <w:u w:val="single"/>
        </w:rPr>
        <w:t xml:space="preserve">two or more </w:t>
      </w:r>
      <w:r>
        <w:rPr>
          <w:szCs w:val="24"/>
        </w:rPr>
        <w:t>external organizations that are se</w:t>
      </w:r>
      <w:r>
        <w:rPr>
          <w:szCs w:val="24"/>
        </w:rPr>
        <w:t xml:space="preserve">eking funding from the USGS/EHP External Research Support and 2.) Collaboration between an external organization seeking such funding and a USGS internal project. Collaborative proposals are </w:t>
      </w:r>
      <w:r>
        <w:rPr>
          <w:rStyle w:val="highlightany"/>
          <w:b/>
          <w:bCs/>
          <w:szCs w:val="24"/>
        </w:rPr>
        <w:t xml:space="preserve">not </w:t>
      </w:r>
      <w:r>
        <w:rPr>
          <w:szCs w:val="24"/>
        </w:rPr>
        <w:t xml:space="preserve">instances where persons from a second organization are hired </w:t>
      </w:r>
      <w:r>
        <w:rPr>
          <w:szCs w:val="24"/>
        </w:rPr>
        <w:t>as consultants or other contractual agreements to conduct work on behalf of the grant or cooperative agreement recipient.</w:t>
      </w:r>
      <w:r>
        <w:rPr>
          <w:szCs w:val="24"/>
        </w:rPr>
        <w:br/>
      </w:r>
      <w:r>
        <w:rPr>
          <w:szCs w:val="24"/>
        </w:rPr>
        <w:br/>
        <w:t>Please note that collaborative research between a USGS internal project and external investigator(s) must be structured such that nei</w:t>
      </w:r>
      <w:r>
        <w:rPr>
          <w:szCs w:val="24"/>
        </w:rPr>
        <w:t xml:space="preserve">ther project could succeed without the other being funded. While many external research projects either directly or indirectly support or cooperate with ongoing internal USGS projects, these projects are </w:t>
      </w:r>
      <w:r>
        <w:rPr>
          <w:rStyle w:val="highlightany"/>
          <w:b/>
          <w:bCs/>
          <w:szCs w:val="24"/>
        </w:rPr>
        <w:t xml:space="preserve">not </w:t>
      </w:r>
      <w:r>
        <w:rPr>
          <w:szCs w:val="24"/>
        </w:rPr>
        <w:t xml:space="preserve">considered collaborative projects because their </w:t>
      </w:r>
      <w:r>
        <w:rPr>
          <w:szCs w:val="24"/>
        </w:rPr>
        <w:t>research objectives can be pursued with or without the existence of the internal USGS research.</w:t>
      </w:r>
    </w:p>
    <w:p w14:paraId="024796CB" w14:textId="77777777" w:rsidR="00957E69" w:rsidRDefault="001B034F" w:rsidP="00470374">
      <w:pPr>
        <w:pStyle w:val="highlightanyParagraph"/>
        <w:spacing w:after="140"/>
        <w:rPr>
          <w:szCs w:val="24"/>
        </w:rPr>
      </w:pPr>
      <w:r>
        <w:rPr>
          <w:szCs w:val="24"/>
        </w:rPr>
        <w:t>A.</w:t>
      </w:r>
    </w:p>
    <w:p w14:paraId="0F709163" w14:textId="77777777" w:rsidR="00957E69" w:rsidRDefault="001B034F" w:rsidP="00470374">
      <w:pPr>
        <w:pStyle w:val="highlightanyParagraph"/>
        <w:numPr>
          <w:ilvl w:val="0"/>
          <w:numId w:val="23"/>
        </w:numPr>
        <w:spacing w:after="20"/>
        <w:rPr>
          <w:szCs w:val="24"/>
        </w:rPr>
      </w:pPr>
      <w:r>
        <w:rPr>
          <w:szCs w:val="24"/>
        </w:rPr>
        <w:t>For collaborative proposals that propose work by two or more separate institutions or organizations, each individual organization must accept responsibility for specific parts of the work proposed. A separate proposal must be submitted from each external o</w:t>
      </w:r>
      <w:r>
        <w:rPr>
          <w:szCs w:val="24"/>
        </w:rPr>
        <w:t xml:space="preserve">rganization involved in collaborative studies. Major sections of each proposal shall be </w:t>
      </w:r>
      <w:r>
        <w:rPr>
          <w:rStyle w:val="highlightany"/>
          <w:b/>
          <w:bCs/>
          <w:szCs w:val="24"/>
        </w:rPr>
        <w:t xml:space="preserve">identical, </w:t>
      </w:r>
      <w:r>
        <w:rPr>
          <w:szCs w:val="24"/>
        </w:rPr>
        <w:t xml:space="preserve">and each proposal must clearly define the objectives to be performed by each organization, and each institution shall submit a </w:t>
      </w:r>
      <w:r>
        <w:rPr>
          <w:rStyle w:val="highlightany"/>
          <w:b/>
          <w:bCs/>
          <w:szCs w:val="24"/>
        </w:rPr>
        <w:t xml:space="preserve">separate </w:t>
      </w:r>
      <w:r>
        <w:rPr>
          <w:szCs w:val="24"/>
        </w:rPr>
        <w:t>budget, which clearly</w:t>
      </w:r>
      <w:r>
        <w:rPr>
          <w:szCs w:val="24"/>
        </w:rPr>
        <w:t xml:space="preserve"> reflects their objectives and responsibilities.</w:t>
      </w:r>
    </w:p>
    <w:p w14:paraId="6C8639D0" w14:textId="77777777" w:rsidR="00957E69" w:rsidRDefault="001B034F" w:rsidP="00470374">
      <w:pPr>
        <w:pStyle w:val="highlightanyParagraph"/>
        <w:numPr>
          <w:ilvl w:val="0"/>
          <w:numId w:val="23"/>
        </w:numPr>
        <w:spacing w:before="20" w:after="20"/>
        <w:rPr>
          <w:szCs w:val="24"/>
        </w:rPr>
      </w:pPr>
      <w:r>
        <w:rPr>
          <w:szCs w:val="24"/>
        </w:rPr>
        <w:t>Each Principal Investigator and his/her institution that is recommended for funding will receive a separate grant or cooperative agreement and shall accept financial responsibility for administering the gran</w:t>
      </w:r>
      <w:r>
        <w:rPr>
          <w:szCs w:val="24"/>
        </w:rPr>
        <w:t>t and technical responsibility for submitted required technical reports.</w:t>
      </w:r>
    </w:p>
    <w:p w14:paraId="7464CFE7" w14:textId="77777777" w:rsidR="00957E69" w:rsidRDefault="001B034F" w:rsidP="00470374">
      <w:pPr>
        <w:pStyle w:val="highlightanyParagraph"/>
        <w:numPr>
          <w:ilvl w:val="0"/>
          <w:numId w:val="23"/>
        </w:numPr>
        <w:spacing w:before="20" w:after="150"/>
        <w:rPr>
          <w:szCs w:val="24"/>
        </w:rPr>
      </w:pPr>
      <w:r>
        <w:rPr>
          <w:szCs w:val="24"/>
        </w:rPr>
        <w:lastRenderedPageBreak/>
        <w:t>Collaborative proposals must be clearly identified in the proposal title. The application title shall read “Proposal Title: Collaborative Research with First Institution name, and Sec</w:t>
      </w:r>
      <w:r>
        <w:rPr>
          <w:szCs w:val="24"/>
        </w:rPr>
        <w:t>ond Institution name.”</w:t>
      </w:r>
    </w:p>
    <w:p w14:paraId="5A88CE1F" w14:textId="77777777" w:rsidR="00957E69" w:rsidRDefault="001B034F" w:rsidP="00470374">
      <w:pPr>
        <w:pStyle w:val="highlightanyParagraph"/>
        <w:spacing w:after="140"/>
        <w:rPr>
          <w:szCs w:val="24"/>
        </w:rPr>
      </w:pPr>
      <w:r>
        <w:rPr>
          <w:szCs w:val="24"/>
        </w:rPr>
        <w:t>B.</w:t>
      </w:r>
    </w:p>
    <w:p w14:paraId="4D58692E" w14:textId="77777777" w:rsidR="00957E69" w:rsidRDefault="001B034F" w:rsidP="00470374">
      <w:pPr>
        <w:pStyle w:val="highlightanyParagraph"/>
        <w:numPr>
          <w:ilvl w:val="0"/>
          <w:numId w:val="24"/>
        </w:numPr>
        <w:spacing w:after="20"/>
        <w:rPr>
          <w:szCs w:val="24"/>
        </w:rPr>
      </w:pPr>
      <w:r>
        <w:rPr>
          <w:szCs w:val="24"/>
        </w:rPr>
        <w:t>Recipient of collaborative awards must submit one Progress Report (for 2 -year awards) and one Final Technical Report, incorporating the efforts of all collaborators.</w:t>
      </w:r>
    </w:p>
    <w:p w14:paraId="53C7F575" w14:textId="77777777" w:rsidR="00957E69" w:rsidRDefault="001B034F" w:rsidP="00470374">
      <w:pPr>
        <w:pStyle w:val="highlightanyParagraph"/>
        <w:numPr>
          <w:ilvl w:val="0"/>
          <w:numId w:val="24"/>
        </w:numPr>
        <w:spacing w:before="20" w:after="150"/>
        <w:rPr>
          <w:szCs w:val="24"/>
        </w:rPr>
      </w:pPr>
      <w:r>
        <w:rPr>
          <w:rStyle w:val="highlightany"/>
          <w:szCs w:val="24"/>
          <w:u w:val="single"/>
        </w:rPr>
        <w:t>USGS reserves the right to fund only some of the Applicants inv</w:t>
      </w:r>
      <w:r>
        <w:rPr>
          <w:rStyle w:val="highlightany"/>
          <w:szCs w:val="24"/>
          <w:u w:val="single"/>
        </w:rPr>
        <w:t>olved in a collaborative study.</w:t>
      </w:r>
    </w:p>
    <w:p w14:paraId="39206AFD" w14:textId="77777777" w:rsidR="00957E69" w:rsidRDefault="001B034F" w:rsidP="00470374">
      <w:pPr>
        <w:pStyle w:val="highlightanyParagraph"/>
        <w:spacing w:after="140"/>
        <w:rPr>
          <w:szCs w:val="24"/>
        </w:rPr>
      </w:pPr>
      <w:r>
        <w:rPr>
          <w:rStyle w:val="highlightany"/>
          <w:b/>
          <w:bCs/>
          <w:szCs w:val="24"/>
          <w:u w:val="single"/>
        </w:rPr>
        <w:t>IMPORTANT:</w:t>
      </w:r>
      <w:r>
        <w:rPr>
          <w:rStyle w:val="highlightany"/>
          <w:b/>
          <w:bCs/>
          <w:szCs w:val="24"/>
        </w:rPr>
        <w:t> </w:t>
      </w:r>
      <w:r>
        <w:rPr>
          <w:szCs w:val="24"/>
        </w:rPr>
        <w:t>In the case of collaborative proposals involving external organizations and USGS scientists, the external proposal </w:t>
      </w:r>
      <w:r>
        <w:rPr>
          <w:rStyle w:val="highlightany"/>
          <w:b/>
          <w:bCs/>
          <w:szCs w:val="24"/>
          <w:u w:val="single"/>
        </w:rPr>
        <w:t>MUST include the collaboration letter template, filled out and signed by the relevant internal USG</w:t>
      </w:r>
      <w:r>
        <w:rPr>
          <w:rStyle w:val="highlightany"/>
          <w:b/>
          <w:bCs/>
          <w:szCs w:val="24"/>
          <w:u w:val="single"/>
        </w:rPr>
        <w:t>S scientist(s) and their direct supervisor</w:t>
      </w:r>
      <w:r>
        <w:rPr>
          <w:rStyle w:val="highlightany"/>
          <w:b/>
          <w:bCs/>
          <w:szCs w:val="24"/>
        </w:rPr>
        <w:t xml:space="preserve">. </w:t>
      </w:r>
      <w:r>
        <w:rPr>
          <w:rStyle w:val="highlightany"/>
          <w:b/>
          <w:bCs/>
          <w:szCs w:val="24"/>
          <w:u w:val="single"/>
        </w:rPr>
        <w:t>The collaboration letter template is included in this Announcement as Attachment B</w:t>
      </w:r>
      <w:r>
        <w:rPr>
          <w:szCs w:val="24"/>
        </w:rPr>
        <w:t>, which states that the scientist(s) will include specific efforts in his/her agreed-upon internal work plan for the period of tim</w:t>
      </w:r>
      <w:r>
        <w:rPr>
          <w:szCs w:val="24"/>
        </w:rPr>
        <w:t>e of the proposal to EHP. The scientists' supervisor must also sign the form in showing their approval of the work. </w:t>
      </w:r>
      <w:r>
        <w:rPr>
          <w:rStyle w:val="highlightany"/>
          <w:szCs w:val="24"/>
          <w:u w:val="single"/>
        </w:rPr>
        <w:t>Any letters provided by USGS scientists that do not use the template provided in Attachment B </w:t>
      </w:r>
      <w:r>
        <w:rPr>
          <w:rStyle w:val="highlightany"/>
          <w:b/>
          <w:bCs/>
          <w:szCs w:val="24"/>
          <w:u w:val="single"/>
        </w:rPr>
        <w:t>WILL BE REMOVED from consideration prior to pr</w:t>
      </w:r>
      <w:r>
        <w:rPr>
          <w:rStyle w:val="highlightany"/>
          <w:b/>
          <w:bCs/>
          <w:szCs w:val="24"/>
          <w:u w:val="single"/>
        </w:rPr>
        <w:t>oposal review and your proposal will be at risk for rejection.</w:t>
      </w:r>
      <w:r>
        <w:rPr>
          <w:szCs w:val="24"/>
        </w:rPr>
        <w:t xml:space="preserve"> The letter template may also be used for USGS scientists to confirm their commitment of providing resources (providing datasets, equipment, etc.) instead of a collaborative effort. The signed c</w:t>
      </w:r>
      <w:r>
        <w:rPr>
          <w:szCs w:val="24"/>
        </w:rPr>
        <w:t>ollaboration/commitment statement will be the last page(s) of the submitted proposal and will not count toward the 15-page limit.</w:t>
      </w:r>
      <w:r>
        <w:rPr>
          <w:szCs w:val="24"/>
        </w:rPr>
        <w:br/>
      </w:r>
      <w:r>
        <w:rPr>
          <w:szCs w:val="24"/>
        </w:rPr>
        <w:br/>
      </w:r>
      <w:r>
        <w:rPr>
          <w:rStyle w:val="highlightany"/>
          <w:b/>
          <w:bCs/>
          <w:szCs w:val="24"/>
          <w:u w:val="single"/>
        </w:rPr>
        <w:t>Two-year Proposals:</w:t>
      </w:r>
      <w:r>
        <w:rPr>
          <w:rStyle w:val="highlightany"/>
          <w:b/>
          <w:bCs/>
          <w:szCs w:val="24"/>
          <w:u w:val="single"/>
        </w:rPr>
        <w:br/>
      </w:r>
      <w:r>
        <w:rPr>
          <w:szCs w:val="24"/>
        </w:rPr>
        <w:t xml:space="preserve">Most proposals are funded for one year; all work that can be completed in one year should be proposed as </w:t>
      </w:r>
      <w:r>
        <w:rPr>
          <w:szCs w:val="24"/>
        </w:rPr>
        <w:t xml:space="preserve">a one-year project. However, if the proposed work is such that two years </w:t>
      </w:r>
      <w:r>
        <w:rPr>
          <w:rStyle w:val="highlightany"/>
          <w:b/>
          <w:bCs/>
          <w:szCs w:val="24"/>
        </w:rPr>
        <w:t xml:space="preserve">are required </w:t>
      </w:r>
      <w:r>
        <w:rPr>
          <w:szCs w:val="24"/>
        </w:rPr>
        <w:t>to complete the research, then a two-year proposal is appropriate and should be submitted. Applicants should carefully consider their time commitments and request the req</w:t>
      </w:r>
      <w:r>
        <w:rPr>
          <w:szCs w:val="24"/>
        </w:rPr>
        <w:t>uired grant duration and funding to accomplish the project goals. The peer review panel may recommend funding only the first year of a two-year proposal when the proposed research is easily divided into two, one-year projects or when they feel that results</w:t>
      </w:r>
      <w:r>
        <w:rPr>
          <w:szCs w:val="24"/>
        </w:rPr>
        <w:t xml:space="preserve"> from the first year’s proposed work will need to be evaluated before a second year of research can be considered. Applicants should be sure to address the stipulations for two-year proposals in Section D2., Project Narrative Item F.2: Project Plan.</w:t>
      </w:r>
    </w:p>
    <w:p w14:paraId="2BB52B73" w14:textId="77777777" w:rsidR="00957E69" w:rsidRDefault="001B034F" w:rsidP="00470374">
      <w:pPr>
        <w:pStyle w:val="highlightanyParagraph"/>
        <w:spacing w:after="140"/>
        <w:rPr>
          <w:szCs w:val="24"/>
        </w:rPr>
      </w:pPr>
      <w:r>
        <w:rPr>
          <w:szCs w:val="24"/>
        </w:rPr>
        <w:t>The se</w:t>
      </w:r>
      <w:r>
        <w:rPr>
          <w:szCs w:val="24"/>
        </w:rPr>
        <w:t xml:space="preserve">cond year of funding of a two-year grant is contingent upon the availability of funds and satisfactory progress by the Recipient. Progress will be determined through technical review of a Progress Report by the External Research Coordinator and his or her </w:t>
      </w:r>
      <w:r>
        <w:rPr>
          <w:szCs w:val="24"/>
        </w:rPr>
        <w:t>agent. The Progress Report shall be submitted by the Recipient, in accordance with grant award Special Terms and Conditions (see Attachment E).</w:t>
      </w:r>
    </w:p>
    <w:p w14:paraId="6050B5D0"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135BE101" w14:textId="77777777" w:rsidR="00957E69" w:rsidRDefault="001B034F">
      <w:pPr>
        <w:pStyle w:val="h1Heading1"/>
        <w:widowControl/>
        <w:spacing w:before="161" w:after="161"/>
        <w:ind w:left="45" w:right="45"/>
        <w:outlineLvl w:val="9"/>
      </w:pPr>
      <w:bookmarkStart w:id="3" w:name="_Toc256000003"/>
      <w:r>
        <w:rPr>
          <w:color w:val="000000"/>
          <w:kern w:val="0"/>
          <w:shd w:val="clear" w:color="auto" w:fill="auto"/>
        </w:rPr>
        <w:t>B. Federal Award Information</w:t>
      </w:r>
      <w:bookmarkEnd w:id="3"/>
    </w:p>
    <w:p w14:paraId="46D3A12E" w14:textId="77777777" w:rsidR="00957E69" w:rsidRDefault="001B034F" w:rsidP="00470374">
      <w:pPr>
        <w:pStyle w:val="Hidden"/>
        <w:keepLines w:val="0"/>
        <w:spacing w:before="96" w:after="96"/>
        <w:rPr>
          <w:rFonts w:cs="Times New Roman"/>
          <w:color w:val="009745"/>
        </w:rPr>
      </w:pPr>
      <w:r>
        <w:rPr>
          <w:rFonts w:cs="Times New Roman"/>
          <w:color w:val="009745"/>
        </w:rPr>
        <w:t xml:space="preserve">This section provides sufficient information to help an applicant make an informed decision about whether to submit a proposal. Relevant information could include the total amount of </w:t>
      </w:r>
      <w:r>
        <w:rPr>
          <w:rFonts w:cs="Times New Roman"/>
          <w:color w:val="009745"/>
        </w:rPr>
        <w:lastRenderedPageBreak/>
        <w:t>funding that the Federal awarding agency expects to award through the ann</w:t>
      </w:r>
      <w:r>
        <w:rPr>
          <w:rFonts w:cs="Times New Roman"/>
          <w:color w:val="009745"/>
        </w:rPr>
        <w:t>ouncement; the anticipated number of Federal awards; the expected amounts of individual Federal awards (which may be a range); the amount of funding per Federal award, on average, experienced in previous years; and the anticipated start dates and periods o</w:t>
      </w:r>
      <w:r>
        <w:rPr>
          <w:rFonts w:cs="Times New Roman"/>
          <w:color w:val="009745"/>
        </w:rPr>
        <w:t xml:space="preserve">f performance for new Federal awards. This section also should address whether applications for renewal or supplementation of existing projects are eligible to compete with applications for new Federal awards. </w:t>
      </w:r>
    </w:p>
    <w:p w14:paraId="3FDB35EE" w14:textId="77777777" w:rsidR="00957E69" w:rsidRDefault="001B034F"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 xml:space="preserve">This section also must indicate the type(s) </w:t>
      </w:r>
      <w:r>
        <w:rPr>
          <w:rFonts w:ascii="Times New Roman" w:eastAsia="Times New Roman" w:hAnsi="Times New Roman" w:cs="Times New Roman"/>
          <w:color w:val="009745"/>
          <w:sz w:val="24"/>
          <w:szCs w:val="24"/>
        </w:rPr>
        <w:t xml:space="preserve">of assistance instrument (e.g., grant, cooperative agreement) that may be awarded if applications are successful.  If cooperative agreements may be awarded, this section either should describe the “substantial involvement” that the Federal awarding agency </w:t>
      </w:r>
      <w:r>
        <w:rPr>
          <w:rFonts w:ascii="Times New Roman" w:eastAsia="Times New Roman" w:hAnsi="Times New Roman" w:cs="Times New Roman"/>
          <w:color w:val="009745"/>
          <w:sz w:val="24"/>
          <w:szCs w:val="24"/>
        </w:rPr>
        <w:t>expects to have or should reference where the potential applicant can find that information (e.g., in the funding opportunity description in A. Program Description—Required or Federal award administration information in Section D. Application and Submissio</w:t>
      </w:r>
      <w:r>
        <w:rPr>
          <w:rFonts w:ascii="Times New Roman" w:eastAsia="Times New Roman" w:hAnsi="Times New Roman" w:cs="Times New Roman"/>
          <w:color w:val="009745"/>
          <w:sz w:val="24"/>
          <w:szCs w:val="24"/>
        </w:rPr>
        <w:t>n Information).  If procurement contracts also may be awarded, this must be stated.</w:t>
      </w:r>
    </w:p>
    <w:p w14:paraId="57B0CB98" w14:textId="77777777" w:rsidR="00957E69" w:rsidRDefault="001B034F"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347F61C8" w14:textId="77777777" w:rsidR="00957E69" w:rsidRDefault="00957E69" w:rsidP="00470374">
      <w:pPr>
        <w:spacing w:before="120" w:after="60"/>
        <w:rPr>
          <w:vanish/>
        </w:rPr>
      </w:pPr>
    </w:p>
    <w:p w14:paraId="15D70E26"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6468F22" w14:textId="77777777" w:rsidR="00957E69" w:rsidRDefault="001B034F">
      <w:pPr>
        <w:pStyle w:val="h2Heading2"/>
        <w:keepNext w:val="0"/>
        <w:spacing w:before="199" w:after="199"/>
        <w:ind w:left="45" w:right="45"/>
        <w:outlineLvl w:val="9"/>
      </w:pPr>
      <w:bookmarkStart w:id="4" w:name="_Toc256000004"/>
      <w:r>
        <w:rPr>
          <w:iCs w:val="0"/>
          <w:color w:val="000000"/>
          <w:shd w:val="clear" w:color="auto" w:fill="auto"/>
        </w:rPr>
        <w:t>B1. Total Funding</w:t>
      </w:r>
      <w:bookmarkEnd w:id="4"/>
    </w:p>
    <w:p w14:paraId="0BEE088F" w14:textId="77777777" w:rsidR="00957E69" w:rsidRDefault="001B034F" w:rsidP="00470374">
      <w:pPr>
        <w:spacing w:before="120" w:after="60"/>
        <w:rPr>
          <w:vanish/>
        </w:rPr>
      </w:pPr>
      <w:r>
        <w:rPr>
          <w:vanish/>
          <w:color w:val="009745"/>
        </w:rPr>
        <w:t>In the numeric</w:t>
      </w:r>
      <w:r>
        <w:rPr>
          <w:b/>
          <w:bCs/>
          <w:vanish/>
          <w:color w:val="009745"/>
        </w:rPr>
        <w:t xml:space="preserve"> </w:t>
      </w:r>
      <w:r>
        <w:rPr>
          <w:vanish/>
          <w:color w:val="009745"/>
        </w:rPr>
        <w:t xml:space="preserve">field below, enter the total amount of funding that the program expects </w:t>
      </w:r>
      <w:r>
        <w:rPr>
          <w:vanish/>
          <w:color w:val="009745"/>
        </w:rPr>
        <w:t>to award through this funding opportunity.</w:t>
      </w:r>
    </w:p>
    <w:p w14:paraId="45CB1D81" w14:textId="77777777" w:rsidR="00957E69" w:rsidRDefault="001B034F" w:rsidP="00470374">
      <w:pPr>
        <w:pStyle w:val="Label"/>
        <w:spacing w:before="60" w:after="20"/>
      </w:pPr>
      <w:r>
        <w:t>Estimated Total Funding</w:t>
      </w:r>
    </w:p>
    <w:p w14:paraId="1C37C99D" w14:textId="77777777" w:rsidR="00957E69" w:rsidRDefault="001B034F" w:rsidP="00470374">
      <w:pPr>
        <w:pStyle w:val="highlight"/>
        <w:spacing w:before="20" w:after="20"/>
        <w:rPr>
          <w:szCs w:val="24"/>
        </w:rPr>
      </w:pPr>
      <w:r>
        <w:rPr>
          <w:szCs w:val="24"/>
        </w:rPr>
        <w:t>$4,000,000</w:t>
      </w:r>
    </w:p>
    <w:p w14:paraId="233E4728"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273C8913" w14:textId="77777777" w:rsidR="00957E69" w:rsidRDefault="001B034F">
      <w:pPr>
        <w:pStyle w:val="h2Heading2"/>
        <w:keepNext w:val="0"/>
        <w:spacing w:before="199" w:after="199"/>
        <w:ind w:left="45" w:right="45"/>
        <w:outlineLvl w:val="9"/>
      </w:pPr>
      <w:bookmarkStart w:id="5" w:name="_Toc256000005"/>
      <w:r>
        <w:rPr>
          <w:iCs w:val="0"/>
          <w:color w:val="000000"/>
          <w:shd w:val="clear" w:color="auto" w:fill="auto"/>
        </w:rPr>
        <w:t>B2. Award Amount</w:t>
      </w:r>
      <w:bookmarkEnd w:id="5"/>
    </w:p>
    <w:p w14:paraId="58635293" w14:textId="77777777" w:rsidR="00957E69" w:rsidRDefault="001B034F" w:rsidP="00470374">
      <w:pPr>
        <w:spacing w:before="20" w:after="20"/>
        <w:rPr>
          <w:vanish/>
        </w:rPr>
      </w:pPr>
      <w:r>
        <w:rPr>
          <w:vanish/>
          <w:color w:val="009745"/>
        </w:rPr>
        <w:t xml:space="preserve">If the program has established maximum and/or minimum values for individual award amounts, enter those in the fields below.  If either of these values does </w:t>
      </w:r>
      <w:r>
        <w:rPr>
          <w:vanish/>
          <w:color w:val="009745"/>
        </w:rPr>
        <w:t>not apply, enter $0 in the corresponding field(s).  In the text field, enter a description of the expected amounts of individual awards (which may be a range); the amount of funding per award, on average, experienced in previous years; and indicate whether</w:t>
      </w:r>
      <w:r>
        <w:rPr>
          <w:vanish/>
          <w:color w:val="009745"/>
        </w:rPr>
        <w:t xml:space="preserve"> applications for renewal or supplementation of existing projects are eligible to compete with applications for new Federal awards.</w:t>
      </w:r>
    </w:p>
    <w:p w14:paraId="7563C5D7" w14:textId="77777777" w:rsidR="00957E69" w:rsidRDefault="001B034F" w:rsidP="00470374">
      <w:pPr>
        <w:pStyle w:val="Label"/>
        <w:spacing w:before="60" w:after="20"/>
      </w:pPr>
      <w:r>
        <w:t>Maximum Award</w:t>
      </w:r>
    </w:p>
    <w:p w14:paraId="0FA9AD4A" w14:textId="77777777" w:rsidR="00957E69" w:rsidRDefault="001B034F" w:rsidP="00470374">
      <w:pPr>
        <w:pStyle w:val="highlight"/>
        <w:spacing w:before="20" w:after="20"/>
        <w:rPr>
          <w:szCs w:val="24"/>
        </w:rPr>
      </w:pPr>
      <w:r>
        <w:rPr>
          <w:szCs w:val="24"/>
        </w:rPr>
        <w:t>$0</w:t>
      </w:r>
    </w:p>
    <w:p w14:paraId="7B699DD0" w14:textId="77777777" w:rsidR="00957E69" w:rsidRDefault="001B034F" w:rsidP="00470374">
      <w:pPr>
        <w:pStyle w:val="Label"/>
        <w:spacing w:before="60" w:after="20"/>
      </w:pPr>
      <w:r>
        <w:t xml:space="preserve">Minimum Award </w:t>
      </w:r>
    </w:p>
    <w:p w14:paraId="1DD81BAB" w14:textId="77777777" w:rsidR="00957E69" w:rsidRDefault="001B034F" w:rsidP="00470374">
      <w:pPr>
        <w:pStyle w:val="highlight"/>
        <w:spacing w:before="20" w:after="20"/>
        <w:rPr>
          <w:szCs w:val="24"/>
        </w:rPr>
      </w:pPr>
      <w:r>
        <w:rPr>
          <w:szCs w:val="24"/>
        </w:rPr>
        <w:t>$0</w:t>
      </w:r>
    </w:p>
    <w:p w14:paraId="06AA2034" w14:textId="77777777" w:rsidR="00957E69" w:rsidRDefault="001B034F" w:rsidP="00470374">
      <w:pPr>
        <w:pStyle w:val="highlightanyParagraph"/>
        <w:spacing w:after="140"/>
        <w:rPr>
          <w:szCs w:val="24"/>
        </w:rPr>
      </w:pPr>
      <w:r>
        <w:rPr>
          <w:szCs w:val="24"/>
        </w:rPr>
        <w:t xml:space="preserve">It is estimated that a total of $4 million will be awarded in support of </w:t>
      </w:r>
      <w:r>
        <w:rPr>
          <w:szCs w:val="24"/>
        </w:rPr>
        <w:t>competitive research grants in FY2024, with a maximum total of $7 million. Based on awards in recent years, 60 to 80 new awards are funded each fiscal year. There is no maximum award amount (i.e., any amount may be proposed if it can be justified appropria</w:t>
      </w:r>
      <w:r>
        <w:rPr>
          <w:szCs w:val="24"/>
        </w:rPr>
        <w:t xml:space="preserve">tely), however, the majority of grants range between </w:t>
      </w:r>
      <w:r>
        <w:rPr>
          <w:szCs w:val="24"/>
        </w:rPr>
        <w:lastRenderedPageBreak/>
        <w:t>$30,000 and $100,000. This estimate does not bind the USGS to a specified number of awards or to the amount of any award unless that amount is specified by statute or regulation.</w:t>
      </w:r>
    </w:p>
    <w:p w14:paraId="47A21D64"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314E6F81" w14:textId="77777777" w:rsidR="00957E69" w:rsidRDefault="001B034F">
      <w:pPr>
        <w:pStyle w:val="h2Heading2"/>
        <w:keepNext w:val="0"/>
        <w:spacing w:before="199" w:after="199"/>
        <w:ind w:left="45" w:right="45"/>
        <w:outlineLvl w:val="9"/>
      </w:pPr>
      <w:bookmarkStart w:id="6" w:name="_Toc256000006"/>
      <w:r>
        <w:rPr>
          <w:iCs w:val="0"/>
          <w:color w:val="000000"/>
          <w:shd w:val="clear" w:color="auto" w:fill="auto"/>
        </w:rPr>
        <w:t xml:space="preserve">B3. Anticipated Award </w:t>
      </w:r>
      <w:r>
        <w:rPr>
          <w:iCs w:val="0"/>
          <w:color w:val="000000"/>
          <w:shd w:val="clear" w:color="auto" w:fill="auto"/>
        </w:rPr>
        <w:t>Funding and Dates</w:t>
      </w:r>
      <w:bookmarkEnd w:id="6"/>
    </w:p>
    <w:p w14:paraId="29186A1A" w14:textId="77777777" w:rsidR="00957E69" w:rsidRDefault="001B034F" w:rsidP="00470374">
      <w:pPr>
        <w:spacing w:before="20" w:after="20"/>
        <w:rPr>
          <w:vanish/>
        </w:rPr>
      </w:pPr>
      <w:r>
        <w:rPr>
          <w:vanish/>
          <w:color w:val="009745"/>
        </w:rPr>
        <w:t>In the text field below enter information on the expected amounts of individual Federal awards (which may be a range); the amount of funding per Federal award, on average, experienced in previous years; and the anticipated start dates and</w:t>
      </w:r>
      <w:r>
        <w:rPr>
          <w:vanish/>
          <w:color w:val="009745"/>
        </w:rPr>
        <w:t xml:space="preserve"> periods of performance for new Federal awards.</w:t>
      </w:r>
    </w:p>
    <w:p w14:paraId="28AB30CD" w14:textId="77777777" w:rsidR="00957E69" w:rsidRDefault="001B034F" w:rsidP="00470374">
      <w:pPr>
        <w:pStyle w:val="Label"/>
        <w:spacing w:before="60" w:after="20"/>
      </w:pPr>
      <w:r>
        <w:t>Anticipated Award Date</w:t>
      </w:r>
    </w:p>
    <w:p w14:paraId="4A7BFBA5" w14:textId="77777777" w:rsidR="00957E69" w:rsidRDefault="001B034F" w:rsidP="00470374">
      <w:pPr>
        <w:pStyle w:val="div"/>
        <w:spacing w:before="20" w:after="20"/>
      </w:pPr>
      <w:r>
        <w:t>January 01, 2024</w:t>
      </w:r>
    </w:p>
    <w:p w14:paraId="1171B43F" w14:textId="77777777" w:rsidR="00957E69" w:rsidRDefault="001B034F" w:rsidP="00470374">
      <w:pPr>
        <w:pStyle w:val="highlightanyParagraph"/>
        <w:spacing w:after="140"/>
        <w:rPr>
          <w:szCs w:val="24"/>
        </w:rPr>
      </w:pPr>
      <w:r>
        <w:rPr>
          <w:rStyle w:val="highlightany"/>
          <w:szCs w:val="24"/>
          <w:u w:val="single"/>
        </w:rPr>
        <w:t xml:space="preserve">All projects must propose </w:t>
      </w:r>
      <w:r>
        <w:rPr>
          <w:rStyle w:val="highlightany"/>
          <w:b/>
          <w:bCs/>
          <w:szCs w:val="24"/>
          <w:u w:val="single"/>
        </w:rPr>
        <w:t>start dates between January 1, 2024 and September 1, 2024</w:t>
      </w:r>
      <w:r>
        <w:rPr>
          <w:rStyle w:val="highlightany"/>
          <w:szCs w:val="24"/>
          <w:u w:val="single"/>
        </w:rPr>
        <w:t>.</w:t>
      </w:r>
      <w:r>
        <w:rPr>
          <w:szCs w:val="24"/>
        </w:rPr>
        <w:t>  The start date requested in the applicant’s submitted proposal is considered the a</w:t>
      </w:r>
      <w:r>
        <w:rPr>
          <w:szCs w:val="24"/>
        </w:rPr>
        <w:t>pplicant's official start date and may not be changed by the applicant.  If funding delays do not allow for a project to be funded by the applicant's requested start date, the award will be issued as soon as funds become available, and the applicant will b</w:t>
      </w:r>
      <w:r>
        <w:rPr>
          <w:szCs w:val="24"/>
        </w:rPr>
        <w:t xml:space="preserve">e notified of the new start date by the USGS Contracting Officer.  Applicants </w:t>
      </w:r>
      <w:r>
        <w:rPr>
          <w:rStyle w:val="highlightany"/>
          <w:b/>
          <w:bCs/>
          <w:szCs w:val="24"/>
        </w:rPr>
        <w:t xml:space="preserve">must </w:t>
      </w:r>
      <w:r>
        <w:rPr>
          <w:szCs w:val="24"/>
        </w:rPr>
        <w:t xml:space="preserve">indicate if the proposed start date is </w:t>
      </w:r>
      <w:r>
        <w:rPr>
          <w:rStyle w:val="highlightany"/>
          <w:b/>
          <w:bCs/>
          <w:szCs w:val="24"/>
        </w:rPr>
        <w:t xml:space="preserve">fixed or flexible </w:t>
      </w:r>
      <w:r>
        <w:rPr>
          <w:szCs w:val="24"/>
        </w:rPr>
        <w:t xml:space="preserve">based on the research activities (field work, etc.) of the proposal. This must be indicated on the Proposal </w:t>
      </w:r>
      <w:r>
        <w:rPr>
          <w:szCs w:val="24"/>
        </w:rPr>
        <w:t>Information Summary Template (Attachment C).</w:t>
      </w:r>
    </w:p>
    <w:p w14:paraId="521C9D6B"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2ECFE51E" w14:textId="77777777" w:rsidR="00957E69" w:rsidRDefault="001B034F">
      <w:pPr>
        <w:pStyle w:val="h2Heading2"/>
        <w:keepNext w:val="0"/>
        <w:spacing w:before="199" w:after="199"/>
        <w:ind w:left="45" w:right="45"/>
        <w:outlineLvl w:val="9"/>
      </w:pPr>
      <w:bookmarkStart w:id="7" w:name="_Toc256000007"/>
      <w:r>
        <w:rPr>
          <w:iCs w:val="0"/>
          <w:color w:val="000000"/>
          <w:shd w:val="clear" w:color="auto" w:fill="auto"/>
        </w:rPr>
        <w:t>B4. Number of Awards</w:t>
      </w:r>
      <w:bookmarkEnd w:id="7"/>
    </w:p>
    <w:p w14:paraId="7895822B" w14:textId="77777777" w:rsidR="00957E69" w:rsidRDefault="001B034F" w:rsidP="00470374">
      <w:pPr>
        <w:spacing w:before="20" w:after="20"/>
        <w:rPr>
          <w:vanish/>
        </w:rPr>
      </w:pPr>
      <w:r>
        <w:rPr>
          <w:vanish/>
          <w:color w:val="009745"/>
        </w:rPr>
        <w:t>In the text field below enter information on the anticipated number of Federal awards.  If the program has established minimum and maximum values for the anticipated total number of awards</w:t>
      </w:r>
      <w:r>
        <w:rPr>
          <w:vanish/>
          <w:color w:val="009745"/>
        </w:rPr>
        <w:t>, enter those values in the maximum and minimum fields below.  If either of these values does not apply, enter “0” in the corresponding field(s) and then enter an alternate description of the anticipated number of awards in the following text field.</w:t>
      </w:r>
    </w:p>
    <w:p w14:paraId="1AAF9666" w14:textId="77777777" w:rsidR="00957E69" w:rsidRDefault="001B034F" w:rsidP="00470374">
      <w:pPr>
        <w:pStyle w:val="Label"/>
        <w:spacing w:before="60" w:after="20"/>
      </w:pPr>
      <w:r>
        <w:t>Expect</w:t>
      </w:r>
      <w:r>
        <w:t>ed Number of Awards</w:t>
      </w:r>
    </w:p>
    <w:p w14:paraId="5D297463" w14:textId="77777777" w:rsidR="00957E69" w:rsidRDefault="001B034F" w:rsidP="00470374">
      <w:pPr>
        <w:pStyle w:val="highlight"/>
        <w:spacing w:before="20" w:after="20"/>
        <w:rPr>
          <w:szCs w:val="24"/>
        </w:rPr>
      </w:pPr>
      <w:r>
        <w:rPr>
          <w:szCs w:val="24"/>
        </w:rPr>
        <w:t>75</w:t>
      </w:r>
    </w:p>
    <w:p w14:paraId="1A62CFAF"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5BC63E9F" w14:textId="77777777" w:rsidR="00957E69" w:rsidRDefault="001B034F">
      <w:pPr>
        <w:pStyle w:val="h2Heading2"/>
        <w:keepNext w:val="0"/>
        <w:spacing w:before="199" w:after="199"/>
        <w:ind w:left="45" w:right="45"/>
        <w:outlineLvl w:val="9"/>
      </w:pPr>
      <w:bookmarkStart w:id="8" w:name="_Toc256000008"/>
      <w:r>
        <w:rPr>
          <w:iCs w:val="0"/>
          <w:color w:val="000000"/>
          <w:shd w:val="clear" w:color="auto" w:fill="auto"/>
        </w:rPr>
        <w:t>B5. Type of Award</w:t>
      </w:r>
      <w:bookmarkEnd w:id="8"/>
    </w:p>
    <w:p w14:paraId="5F5D2FA1" w14:textId="77777777" w:rsidR="00957E69" w:rsidRDefault="001B034F"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Select the Type of Award below by choosing the appropriate assistance instrument(s) from the drop-down list.  </w:t>
      </w:r>
      <w:r>
        <w:rPr>
          <w:rFonts w:ascii="Times New Roman" w:eastAsia="Times New Roman" w:hAnsi="Times New Roman" w:cs="Times New Roman"/>
          <w:color w:val="009745"/>
          <w:sz w:val="24"/>
          <w:szCs w:val="24"/>
        </w:rPr>
        <w:br/>
        <w:t> </w:t>
      </w:r>
    </w:p>
    <w:p w14:paraId="14F91379" w14:textId="77777777" w:rsidR="00957E69" w:rsidRDefault="001B034F"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If you are awarding cooperative agreements, you must also enter text in the following text field to </w:t>
      </w:r>
      <w:r>
        <w:rPr>
          <w:rFonts w:ascii="Times New Roman" w:eastAsia="Times New Roman" w:hAnsi="Times New Roman" w:cs="Times New Roman"/>
          <w:color w:val="009745"/>
          <w:sz w:val="24"/>
          <w:szCs w:val="24"/>
        </w:rPr>
        <w:t>describe the substantial involvement the U.S. Geological Survey (USGS) expects to have in the performance of  the agreement, or reference where the potential applicant can find that information elsewhere in this document (e.g., in section I. Program Descri</w:t>
      </w:r>
      <w:r>
        <w:rPr>
          <w:rFonts w:ascii="Times New Roman" w:eastAsia="Times New Roman" w:hAnsi="Times New Roman" w:cs="Times New Roman"/>
          <w:color w:val="009745"/>
          <w:sz w:val="24"/>
          <w:szCs w:val="24"/>
        </w:rPr>
        <w:t xml:space="preserve">ption above).  Here is suggested text to use to begin the substantial involvement statement: “The U.S. Geological Survey (USGS) will be substantially involved in projects under this funding opportunity.  In </w:t>
      </w:r>
      <w:r>
        <w:rPr>
          <w:rFonts w:ascii="Times New Roman" w:eastAsia="Times New Roman" w:hAnsi="Times New Roman" w:cs="Times New Roman"/>
          <w:color w:val="009745"/>
          <w:sz w:val="24"/>
          <w:szCs w:val="24"/>
        </w:rPr>
        <w:lastRenderedPageBreak/>
        <w:t xml:space="preserve">particular, the USGS will be responsible for the </w:t>
      </w:r>
      <w:r>
        <w:rPr>
          <w:rFonts w:ascii="Times New Roman" w:eastAsia="Times New Roman" w:hAnsi="Times New Roman" w:cs="Times New Roman"/>
          <w:color w:val="009745"/>
          <w:sz w:val="24"/>
          <w:szCs w:val="24"/>
        </w:rPr>
        <w:t>following: [insert list of the specific project-related activities to be performed by USGS staff.]”</w:t>
      </w:r>
    </w:p>
    <w:p w14:paraId="326CD695" w14:textId="77777777" w:rsidR="00957E69" w:rsidRDefault="00957E69" w:rsidP="00470374">
      <w:pPr>
        <w:spacing w:before="20" w:after="20"/>
        <w:rPr>
          <w:vanish/>
        </w:rPr>
      </w:pPr>
    </w:p>
    <w:p w14:paraId="1470F2DD" w14:textId="77777777" w:rsidR="00957E69" w:rsidRDefault="001B034F" w:rsidP="00470374">
      <w:pPr>
        <w:pStyle w:val="Label"/>
        <w:spacing w:before="60" w:after="20"/>
      </w:pPr>
      <w:r>
        <w:t>Funding Instrument Type</w:t>
      </w:r>
    </w:p>
    <w:p w14:paraId="4C21CEDE" w14:textId="77777777" w:rsidR="00957E69" w:rsidRDefault="001B034F" w:rsidP="00470374">
      <w:pPr>
        <w:pStyle w:val="highlight"/>
        <w:spacing w:before="20" w:after="20"/>
        <w:rPr>
          <w:szCs w:val="24"/>
        </w:rPr>
      </w:pPr>
      <w:r>
        <w:rPr>
          <w:szCs w:val="24"/>
        </w:rPr>
        <w:t>G - Grant</w:t>
      </w:r>
    </w:p>
    <w:p w14:paraId="4809F889"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41906A19" w14:textId="77777777" w:rsidR="00957E69" w:rsidRDefault="001B034F">
      <w:pPr>
        <w:pStyle w:val="h1Heading1"/>
        <w:widowControl/>
        <w:spacing w:before="161" w:after="161"/>
        <w:ind w:left="45" w:right="45"/>
        <w:outlineLvl w:val="9"/>
      </w:pPr>
      <w:bookmarkStart w:id="9" w:name="_Toc256000009"/>
      <w:r>
        <w:rPr>
          <w:color w:val="000000"/>
          <w:kern w:val="0"/>
          <w:shd w:val="clear" w:color="auto" w:fill="auto"/>
        </w:rPr>
        <w:t>C. Eligibility Information</w:t>
      </w:r>
      <w:bookmarkEnd w:id="9"/>
    </w:p>
    <w:p w14:paraId="5C43221D" w14:textId="77777777" w:rsidR="00957E69" w:rsidRDefault="001B034F" w:rsidP="00470374">
      <w:pPr>
        <w:spacing w:before="120" w:after="60"/>
        <w:rPr>
          <w:vanish/>
        </w:rPr>
      </w:pPr>
      <w:r>
        <w:rPr>
          <w:vanish/>
          <w:color w:val="009745"/>
        </w:rPr>
        <w:t xml:space="preserve">This section addresses the considerations or factors that determine applicant or </w:t>
      </w:r>
      <w:r>
        <w:rPr>
          <w:vanish/>
          <w:color w:val="009745"/>
        </w:rPr>
        <w:t>application eligibility.  This includes the eligibility of particular types of applicant organizations, any factors affecting the eligibility of the principal investigator or project director, and any criteria that make particular projects ineligible.  Fed</w:t>
      </w:r>
      <w:r>
        <w:rPr>
          <w:vanish/>
          <w:color w:val="009745"/>
        </w:rPr>
        <w:t>eral agencies should make clear whether an applicant's failure to meet an eligibility criterion by the time of an application deadline will result in the Federal awarding agency returning the application without review or, even though an application may be</w:t>
      </w:r>
      <w:r>
        <w:rPr>
          <w:vanish/>
          <w:color w:val="009745"/>
        </w:rPr>
        <w:t xml:space="preserve"> reviewed, will preclude the Federal awarding agency from making a Federal award.  Enter program specific text in the sub-headers of this section.</w:t>
      </w:r>
    </w:p>
    <w:p w14:paraId="168094FE"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5DE0A1AC" w14:textId="77777777" w:rsidR="00957E69" w:rsidRDefault="001B034F">
      <w:pPr>
        <w:pStyle w:val="h2Heading2"/>
        <w:keepNext w:val="0"/>
        <w:spacing w:before="199" w:after="199"/>
        <w:ind w:left="45" w:right="45"/>
        <w:outlineLvl w:val="9"/>
      </w:pPr>
      <w:bookmarkStart w:id="10" w:name="_Toc256000010"/>
      <w:r>
        <w:rPr>
          <w:iCs w:val="0"/>
          <w:color w:val="000000"/>
          <w:shd w:val="clear" w:color="auto" w:fill="auto"/>
        </w:rPr>
        <w:t>C1. Eligible Applicants</w:t>
      </w:r>
      <w:bookmarkEnd w:id="10"/>
    </w:p>
    <w:p w14:paraId="0DA735AE" w14:textId="77777777" w:rsidR="00957E69" w:rsidRDefault="001B034F" w:rsidP="00470374">
      <w:pPr>
        <w:pStyle w:val="Hidden"/>
        <w:keepLines w:val="0"/>
        <w:spacing w:before="96" w:after="96"/>
        <w:rPr>
          <w:rFonts w:cs="Times New Roman"/>
          <w:color w:val="009745"/>
        </w:rPr>
      </w:pPr>
      <w:r>
        <w:rPr>
          <w:rFonts w:cs="Times New Roman"/>
          <w:color w:val="009745"/>
        </w:rPr>
        <w:t>Identify the types of entities that are eligible to apply by selecting the checkbox</w:t>
      </w:r>
      <w:r>
        <w:rPr>
          <w:rFonts w:cs="Times New Roman"/>
          <w:color w:val="009745"/>
        </w:rPr>
        <w:t xml:space="preserve"> for the type of entity. Multiple checkboxes may be selected.   If there are no restrictions on eligibility, you may simply indicate that all potential applicants are eligible.  In the text box below the checkbox selection indicate if there are restriction</w:t>
      </w:r>
      <w:r>
        <w:rPr>
          <w:rFonts w:cs="Times New Roman"/>
          <w:color w:val="009745"/>
        </w:rPr>
        <w:t xml:space="preserve">s on eligibility. It is important to be clear about the specific types of entities that are eligible, not just the types that are ineligible.  For example, if the program is limited to nonprofit organizations subject to 26 U.S.C. 501(c)(3) of the tax code </w:t>
      </w:r>
      <w:r>
        <w:rPr>
          <w:rFonts w:cs="Times New Roman"/>
          <w:color w:val="009745"/>
        </w:rPr>
        <w:t>(26 U.S.C. 501(c)(3)), the announcement should say so.  Similarly, it is better to state explicitly that Native American tribal organizations are eligible than to assume that they can unambiguously infer that from a statement that nonprofit organizations m</w:t>
      </w:r>
      <w:r>
        <w:rPr>
          <w:rFonts w:cs="Times New Roman"/>
          <w:color w:val="009745"/>
        </w:rPr>
        <w:t>ay apply.  Programs may also express eligibility by exception (e.g., open to all types of domestic applicants other than individuals).  In the textbox specifically reference any documentation applicants must submit to support an eligibility determination (</w:t>
      </w:r>
      <w:r>
        <w:rPr>
          <w:rFonts w:cs="Times New Roman"/>
          <w:color w:val="009745"/>
        </w:rPr>
        <w:t>e.g., if the program limits eligibility to only non-profits with a specific IRS status, state in the field below that proof of 501(c)(3) status as determined by the Internal Revenue Service or an authorizing tribal resolution is required).  To the extent t</w:t>
      </w:r>
      <w:r>
        <w:rPr>
          <w:rFonts w:cs="Times New Roman"/>
          <w:color w:val="009745"/>
        </w:rPr>
        <w:t>hat any program funding restriction could affect the eligibility of an applicant or project, the announcement must either restate that restriction in the textbox in this section or provide a cross-reference to its description as it appears elsewhere in thi</w:t>
      </w:r>
      <w:r>
        <w:rPr>
          <w:rFonts w:cs="Times New Roman"/>
          <w:color w:val="009745"/>
        </w:rPr>
        <w:t xml:space="preserve">s template. </w:t>
      </w:r>
    </w:p>
    <w:p w14:paraId="62C300CB" w14:textId="77777777" w:rsidR="00957E69" w:rsidRDefault="001B034F"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6E024881" w14:textId="77777777" w:rsidR="00957E69" w:rsidRDefault="00957E69" w:rsidP="00470374">
      <w:pPr>
        <w:spacing w:before="120" w:after="60"/>
        <w:rPr>
          <w:vanish/>
        </w:rPr>
      </w:pPr>
    </w:p>
    <w:p w14:paraId="68A4781E" w14:textId="77777777" w:rsidR="00957E69" w:rsidRDefault="001B034F" w:rsidP="00470374">
      <w:pPr>
        <w:pStyle w:val="Label"/>
        <w:spacing w:before="60" w:after="20"/>
      </w:pPr>
      <w:r>
        <w:lastRenderedPageBreak/>
        <w:t xml:space="preserve">Eligible Applicants </w:t>
      </w:r>
    </w:p>
    <w:p w14:paraId="08A10F76" w14:textId="77777777" w:rsidR="00957E69" w:rsidRDefault="001B034F" w:rsidP="00470374">
      <w:pPr>
        <w:pStyle w:val="div"/>
        <w:spacing w:before="20" w:after="20"/>
        <w:rPr>
          <w:color w:val="606060"/>
          <w:u w:val="single"/>
        </w:rPr>
      </w:pPr>
      <w:r>
        <w:rPr>
          <w:color w:val="606060"/>
          <w:u w:val="single"/>
        </w:rPr>
        <w:t>99 – Unrestricted (i.e. open to any type of entity above), subject to any clarification in the te</w:t>
      </w:r>
      <w:r>
        <w:rPr>
          <w:color w:val="606060"/>
          <w:u w:val="single"/>
        </w:rPr>
        <w:t>xt field entitled "Additional Information on Eligibility"</w:t>
      </w:r>
    </w:p>
    <w:p w14:paraId="25DADF4F" w14:textId="77777777" w:rsidR="00957E69" w:rsidRDefault="001B034F" w:rsidP="00470374">
      <w:pPr>
        <w:pStyle w:val="Label"/>
        <w:spacing w:before="60" w:after="20"/>
      </w:pPr>
      <w:r>
        <w:t xml:space="preserve">Additional Information on Eligibility </w:t>
      </w:r>
    </w:p>
    <w:p w14:paraId="58B5B170" w14:textId="77777777" w:rsidR="00957E69" w:rsidRDefault="001B034F" w:rsidP="00470374">
      <w:pPr>
        <w:spacing w:before="60" w:after="20"/>
        <w:rPr>
          <w:vanish/>
        </w:rPr>
      </w:pPr>
      <w:r>
        <w:rPr>
          <w:vanish/>
          <w:color w:val="009745"/>
        </w:rPr>
        <w:t>Explanation required if “Others” is selected.</w:t>
      </w:r>
    </w:p>
    <w:p w14:paraId="4D650A6D"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Announcement is open to all individuals and entities EXCEPT for the ineligible categories listed </w:t>
      </w:r>
      <w:r>
        <w:rPr>
          <w:rFonts w:ascii="Times New Roman" w:eastAsia="Times New Roman" w:hAnsi="Times New Roman" w:cs="Times New Roman"/>
          <w:sz w:val="24"/>
          <w:szCs w:val="24"/>
        </w:rPr>
        <w:t>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following proposals are </w:t>
      </w:r>
      <w:r>
        <w:rPr>
          <w:rStyle w:val="highlightany"/>
          <w:rFonts w:ascii="Times New Roman" w:eastAsia="Times New Roman" w:hAnsi="Times New Roman" w:cs="Times New Roman"/>
          <w:b/>
          <w:bCs/>
          <w:sz w:val="24"/>
          <w:szCs w:val="24"/>
        </w:rPr>
        <w:t>NOT</w:t>
      </w:r>
      <w:r>
        <w:rPr>
          <w:rFonts w:ascii="Times New Roman" w:eastAsia="Times New Roman" w:hAnsi="Times New Roman" w:cs="Times New Roman"/>
          <w:sz w:val="24"/>
          <w:szCs w:val="24"/>
        </w:rPr>
        <w:t xml:space="preserve"> eligible for consideration under this Announcement:</w:t>
      </w:r>
    </w:p>
    <w:p w14:paraId="384DD14A" w14:textId="77777777" w:rsidR="00957E69" w:rsidRDefault="001B034F" w:rsidP="00470374">
      <w:pPr>
        <w:pStyle w:val="Normal0"/>
        <w:numPr>
          <w:ilvl w:val="1"/>
          <w:numId w:val="25"/>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for regional seismic monitoring or establishing Data Centers.</w:t>
      </w:r>
    </w:p>
    <w:p w14:paraId="1C62C79F" w14:textId="77777777" w:rsidR="00957E69" w:rsidRDefault="001B034F" w:rsidP="00470374">
      <w:pPr>
        <w:pStyle w:val="Normal0"/>
        <w:numPr>
          <w:ilvl w:val="1"/>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for long-term operation of geodetic networks or instruments.</w:t>
      </w:r>
    </w:p>
    <w:p w14:paraId="1490DA08" w14:textId="77777777" w:rsidR="00957E69" w:rsidRDefault="001B034F" w:rsidP="00470374">
      <w:pPr>
        <w:pStyle w:val="Normal0"/>
        <w:numPr>
          <w:ilvl w:val="1"/>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Proposals from </w:t>
      </w:r>
      <w:r>
        <w:rPr>
          <w:rFonts w:ascii="Times New Roman" w:eastAsia="Times New Roman" w:hAnsi="Times New Roman" w:cs="Times New Roman"/>
          <w:sz w:val="24"/>
          <w:szCs w:val="24"/>
        </w:rPr>
        <w:t>U.S. Government agencies or U.S. Government employees.</w:t>
      </w:r>
    </w:p>
    <w:p w14:paraId="14093263" w14:textId="77777777" w:rsidR="00957E69" w:rsidRDefault="001B034F" w:rsidP="00470374">
      <w:pPr>
        <w:pStyle w:val="Normal0"/>
        <w:numPr>
          <w:ilvl w:val="1"/>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from Federally Funded Research and Development Centers (FFRDC).</w:t>
      </w:r>
    </w:p>
    <w:p w14:paraId="3FDEAC66" w14:textId="77777777" w:rsidR="00957E69" w:rsidRDefault="001B034F" w:rsidP="00470374">
      <w:pPr>
        <w:pStyle w:val="Normal0"/>
        <w:numPr>
          <w:ilvl w:val="1"/>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in which there is a real or apparent conflict of interest.</w:t>
      </w:r>
    </w:p>
    <w:p w14:paraId="5C8893E1" w14:textId="77777777" w:rsidR="00957E69" w:rsidRDefault="001B034F" w:rsidP="00470374">
      <w:pPr>
        <w:pStyle w:val="Normal0"/>
        <w:numPr>
          <w:ilvl w:val="1"/>
          <w:numId w:val="25"/>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Proposals principally involving the direct procurement of </w:t>
      </w:r>
      <w:r>
        <w:rPr>
          <w:rFonts w:ascii="Times New Roman" w:eastAsia="Times New Roman" w:hAnsi="Times New Roman" w:cs="Times New Roman"/>
          <w:sz w:val="24"/>
          <w:szCs w:val="24"/>
        </w:rPr>
        <w:t>a product, equipment, or service.</w:t>
      </w:r>
    </w:p>
    <w:p w14:paraId="7E9DFBDF" w14:textId="77777777" w:rsidR="00957E69" w:rsidRDefault="001B034F" w:rsidP="00470374">
      <w:pPr>
        <w:pStyle w:val="Normal0"/>
        <w:numPr>
          <w:ilvl w:val="1"/>
          <w:numId w:val="25"/>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having subcontracts for 50 percent or greater of total direct costs. </w:t>
      </w:r>
    </w:p>
    <w:p w14:paraId="0DD491C0"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2EE8306B" w14:textId="77777777" w:rsidR="00957E69" w:rsidRDefault="001B034F">
      <w:pPr>
        <w:pStyle w:val="h2Heading2"/>
        <w:keepNext w:val="0"/>
        <w:spacing w:before="199" w:after="199"/>
        <w:ind w:left="45" w:right="45"/>
        <w:outlineLvl w:val="9"/>
      </w:pPr>
      <w:bookmarkStart w:id="11" w:name="_Toc256000011"/>
      <w:r>
        <w:rPr>
          <w:iCs w:val="0"/>
          <w:color w:val="000000"/>
          <w:shd w:val="clear" w:color="auto" w:fill="auto"/>
        </w:rPr>
        <w:t>C2. Cost Sharing or Matching</w:t>
      </w:r>
      <w:bookmarkEnd w:id="11"/>
    </w:p>
    <w:p w14:paraId="1C963F28" w14:textId="77777777" w:rsidR="00957E69" w:rsidRDefault="001B034F" w:rsidP="00470374">
      <w:pPr>
        <w:spacing w:before="20" w:after="20"/>
        <w:rPr>
          <w:vanish/>
        </w:rPr>
      </w:pPr>
      <w:r>
        <w:rPr>
          <w:vanish/>
          <w:color w:val="009745"/>
        </w:rPr>
        <w:t>Select the appropriate value from the list to indicate if recipient cost sharing or matching is required.  If t</w:t>
      </w:r>
      <w:r>
        <w:rPr>
          <w:vanish/>
          <w:color w:val="009745"/>
        </w:rPr>
        <w:t>he program has a cost sharing, cost matching, or cost participation requirement, you must also enter a complete description of the cost sharing or matching requirement in the following text field.  Required cost sharing may be a certain percentage or amoun</w:t>
      </w:r>
      <w:r>
        <w:rPr>
          <w:vanish/>
          <w:color w:val="009745"/>
        </w:rPr>
        <w:t>t or may be in the form of contributions of specified items or activities (e.g., provision of equipment).  It is important to be clear about any restrictions on the types of cost (e.g., in-kind contributions) that are acceptable as cost sharing or match.  </w:t>
      </w:r>
      <w:r>
        <w:rPr>
          <w:vanish/>
          <w:color w:val="009745"/>
        </w:rPr>
        <w:t>Cost sharing as an eligibility criterion includes requirements based in statute or regulation as described, in 2 CFR §200.306 or those imposed by administrative decision of the funding bureau or office.  Include specific reference to the appropriate sectio</w:t>
      </w:r>
      <w:r>
        <w:rPr>
          <w:vanish/>
          <w:color w:val="009745"/>
        </w:rPr>
        <w:t>n(s) of this announcement stating any pre-award requirements for submission of letters or other documentation to verify commitments to meet cost-sharing requirements if a Federal award is made.  Programs without a required cost sharing or matching requirem</w:t>
      </w:r>
      <w:r>
        <w:rPr>
          <w:vanish/>
          <w:color w:val="009745"/>
        </w:rPr>
        <w:t>ent may enter clarifications regarding voluntary committed cost sharing or other related information in the following text field, as applicable.</w:t>
      </w:r>
    </w:p>
    <w:p w14:paraId="4B01A38B" w14:textId="77777777" w:rsidR="00957E69" w:rsidRDefault="001B034F" w:rsidP="00470374">
      <w:pPr>
        <w:pStyle w:val="Label"/>
        <w:spacing w:before="60" w:after="20"/>
      </w:pPr>
      <w:r>
        <w:t>Cost Sharing / Matching Requirement</w:t>
      </w:r>
    </w:p>
    <w:p w14:paraId="18EBE650" w14:textId="77777777" w:rsidR="00957E69" w:rsidRDefault="001B034F" w:rsidP="00470374">
      <w:pPr>
        <w:pStyle w:val="div"/>
        <w:spacing w:before="20" w:after="20"/>
        <w:rPr>
          <w:color w:val="606060"/>
          <w:u w:val="single"/>
        </w:rPr>
      </w:pPr>
      <w:r>
        <w:rPr>
          <w:color w:val="606060"/>
          <w:u w:val="single"/>
        </w:rPr>
        <w:t>No</w:t>
      </w:r>
    </w:p>
    <w:p w14:paraId="2CEF443C"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2197BF9" w14:textId="77777777" w:rsidR="00957E69" w:rsidRDefault="001B034F">
      <w:pPr>
        <w:pStyle w:val="h2Heading2"/>
        <w:keepNext w:val="0"/>
        <w:spacing w:before="199" w:after="199"/>
        <w:ind w:left="45" w:right="45"/>
        <w:outlineLvl w:val="9"/>
      </w:pPr>
      <w:bookmarkStart w:id="12" w:name="_Toc256000012"/>
      <w:r>
        <w:rPr>
          <w:iCs w:val="0"/>
          <w:color w:val="000000"/>
          <w:shd w:val="clear" w:color="auto" w:fill="auto"/>
        </w:rPr>
        <w:t>C3. Other</w:t>
      </w:r>
      <w:bookmarkEnd w:id="12"/>
    </w:p>
    <w:p w14:paraId="56B5F8EA" w14:textId="77777777" w:rsidR="00957E69" w:rsidRDefault="001B034F" w:rsidP="00470374">
      <w:pPr>
        <w:spacing w:before="20" w:after="20"/>
        <w:rPr>
          <w:vanish/>
        </w:rPr>
      </w:pPr>
      <w:r>
        <w:rPr>
          <w:vanish/>
          <w:color w:val="009745"/>
        </w:rPr>
        <w:t xml:space="preserve">In the text box below, insert a description of any </w:t>
      </w:r>
      <w:r>
        <w:rPr>
          <w:vanish/>
          <w:color w:val="009745"/>
        </w:rPr>
        <w:t>other criteria that have the effect of making an application or project ineligible for Federal awards, as applicable.  If there are other eligibility criteria (i.e., criteria that have the effect of making an application or project ineligible for Federal a</w:t>
      </w:r>
      <w:r>
        <w:rPr>
          <w:vanish/>
          <w:color w:val="009745"/>
        </w:rPr>
        <w:t xml:space="preserve">wards, whether referred to as “responsiveness” criteria, “go-no go” criteria, “threshold” criteria, </w:t>
      </w:r>
      <w:r>
        <w:rPr>
          <w:vanish/>
          <w:color w:val="009745"/>
        </w:rPr>
        <w:lastRenderedPageBreak/>
        <w:t>or in other ways), clearly state those in the following text field.  Include reference(s) to the regulation of requirement that describes the restriction, a</w:t>
      </w:r>
      <w:r>
        <w:rPr>
          <w:vanish/>
          <w:color w:val="009745"/>
        </w:rPr>
        <w:t>s applicable.  State any limit on the number of applications an applicant may submit under the announcement and make clear whether the limitation is on the submitting organization, individual investigator/program director, or both.  Specify any eligibility</w:t>
      </w:r>
      <w:r>
        <w:rPr>
          <w:vanish/>
          <w:color w:val="009745"/>
        </w:rPr>
        <w:t xml:space="preserve"> criteria for beneficiaries or for program participants other than Federal award recipients.</w:t>
      </w:r>
    </w:p>
    <w:p w14:paraId="1E1B13C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 </w:t>
      </w:r>
      <w:r>
        <w:rPr>
          <w:rFonts w:ascii="Times New Roman" w:eastAsia="Times New Roman" w:hAnsi="Times New Roman" w:cs="Times New Roman"/>
          <w:sz w:val="24"/>
          <w:szCs w:val="24"/>
        </w:rPr>
        <w:t>USGS conducts a review of the SAM.gov Exclusions database for all applicant entities and their key project personnel prior to award.  USGS cannot</w:t>
      </w:r>
      <w:r>
        <w:rPr>
          <w:rFonts w:ascii="Times New Roman" w:eastAsia="Times New Roman" w:hAnsi="Times New Roman" w:cs="Times New Roman"/>
          <w:sz w:val="24"/>
          <w:szCs w:val="24"/>
        </w:rPr>
        <w:t xml:space="preserve"> award funds to entities or their key project personnel identified in the SAM.gov Exclusions database as ineligible, prohibited/restricted or otherwise excluded from receiving Federal contracts, certain subcontracts, and certain Federal assistance and bene</w:t>
      </w:r>
      <w:r>
        <w:rPr>
          <w:rFonts w:ascii="Times New Roman" w:eastAsia="Times New Roman" w:hAnsi="Times New Roman" w:cs="Times New Roman"/>
          <w:sz w:val="24"/>
          <w:szCs w:val="24"/>
        </w:rPr>
        <w:t>fits, as their ineligibility condition applies to this Federal program.</w:t>
      </w:r>
    </w:p>
    <w:p w14:paraId="0FD2B348"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2134798B" w14:textId="77777777" w:rsidR="00957E69" w:rsidRDefault="001B034F">
      <w:pPr>
        <w:pStyle w:val="h1Heading1"/>
        <w:widowControl/>
        <w:spacing w:before="161" w:after="161"/>
        <w:ind w:left="45" w:right="45"/>
        <w:outlineLvl w:val="9"/>
      </w:pPr>
      <w:bookmarkStart w:id="13" w:name="_Toc256000013"/>
      <w:r>
        <w:rPr>
          <w:color w:val="000000"/>
          <w:kern w:val="0"/>
          <w:shd w:val="clear" w:color="auto" w:fill="auto"/>
        </w:rPr>
        <w:t>D. Application and Submission Information</w:t>
      </w:r>
      <w:bookmarkEnd w:id="13"/>
    </w:p>
    <w:p w14:paraId="75279FA9" w14:textId="77777777" w:rsidR="00957E69" w:rsidRDefault="001B034F" w:rsidP="00470374">
      <w:pPr>
        <w:spacing w:before="120" w:after="60"/>
        <w:rPr>
          <w:vanish/>
        </w:rPr>
      </w:pPr>
      <w:r>
        <w:rPr>
          <w:vanish/>
          <w:color w:val="009745"/>
        </w:rPr>
        <w:t xml:space="preserve">This section informs potential applicants how to get application forms, kits, or other materials needed to apply.  Enter program </w:t>
      </w:r>
      <w:r>
        <w:rPr>
          <w:vanish/>
          <w:color w:val="009745"/>
        </w:rPr>
        <w:t>specific text in the sub-headers of this section.</w:t>
      </w:r>
    </w:p>
    <w:p w14:paraId="0C251241"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Grants.gov Application Submission and Receipt Procedures</w:t>
      </w:r>
    </w:p>
    <w:p w14:paraId="053A04D5"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Grants.gov Application Submission and Receipt Procedures</w:t>
      </w:r>
    </w:p>
    <w:p w14:paraId="1DD8223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This section provides the application submission and receipt instructions for U.S. </w:t>
      </w:r>
      <w:r>
        <w:rPr>
          <w:rFonts w:ascii="Times New Roman" w:eastAsia="Times New Roman" w:hAnsi="Times New Roman" w:cs="Times New Roman"/>
          <w:i/>
          <w:iCs/>
          <w:sz w:val="24"/>
          <w:szCs w:val="24"/>
        </w:rPr>
        <w:t>Geological Survey (USGS) program applications. Please read the following instructions carefully and completely.</w:t>
      </w:r>
    </w:p>
    <w:p w14:paraId="07A572B9"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Electronic Delivery</w:t>
      </w:r>
    </w:p>
    <w:p w14:paraId="712ED56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USGS is participating in the Grants.gov initiative to provide the grant community with a single site to find and apply fo</w:t>
      </w:r>
      <w:r>
        <w:rPr>
          <w:rFonts w:ascii="Times New Roman" w:eastAsia="Times New Roman" w:hAnsi="Times New Roman" w:cs="Times New Roman"/>
          <w:sz w:val="24"/>
          <w:szCs w:val="24"/>
        </w:rPr>
        <w:t>r grant funding opportunities. USGS encourages applicants to submit their applications online through Grants.gov.</w:t>
      </w:r>
    </w:p>
    <w:p w14:paraId="2CBDEB72"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How to Register to Apply through Grants.gov</w:t>
      </w:r>
    </w:p>
    <w:p w14:paraId="0CFE473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r>
        <w:rPr>
          <w:rFonts w:ascii="Times New Roman" w:eastAsia="Times New Roman" w:hAnsi="Times New Roman" w:cs="Times New Roman"/>
          <w:i/>
          <w:iCs/>
          <w:sz w:val="24"/>
          <w:szCs w:val="24"/>
        </w:rPr>
        <w:t>Instructions: </w:t>
      </w:r>
      <w:r>
        <w:rPr>
          <w:rFonts w:ascii="Times New Roman" w:eastAsia="Times New Roman" w:hAnsi="Times New Roman" w:cs="Times New Roman"/>
          <w:sz w:val="24"/>
          <w:szCs w:val="24"/>
        </w:rPr>
        <w:t>Read the instructions below about registering to apply for USGS funds. Applica</w:t>
      </w:r>
      <w:r>
        <w:rPr>
          <w:rFonts w:ascii="Times New Roman" w:eastAsia="Times New Roman" w:hAnsi="Times New Roman" w:cs="Times New Roman"/>
          <w:sz w:val="24"/>
          <w:szCs w:val="24"/>
        </w:rPr>
        <w:t>nts should read the registration instructions carefully and prepare the information requested before beginning the registration process. Reviewingand assembling the required information before beginning the registration process will alleviate last-minute s</w:t>
      </w:r>
      <w:r>
        <w:rPr>
          <w:rFonts w:ascii="Times New Roman" w:eastAsia="Times New Roman" w:hAnsi="Times New Roman" w:cs="Times New Roman"/>
          <w:sz w:val="24"/>
          <w:szCs w:val="24"/>
        </w:rPr>
        <w:t>earches for required informati</w:t>
      </w:r>
    </w:p>
    <w:p w14:paraId="11FEB172"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must have an active System for Award Management (SAM) registration, and Grants.gov account to apply for grants. If individual applicants are eligible to apply for this funding opportunity, then you may begin wit</w:t>
      </w:r>
      <w:r>
        <w:rPr>
          <w:rFonts w:ascii="Times New Roman" w:eastAsia="Times New Roman" w:hAnsi="Times New Roman" w:cs="Times New Roman"/>
          <w:sz w:val="24"/>
          <w:szCs w:val="24"/>
        </w:rPr>
        <w:t>h step 3, Create a Grants.gov Account, listed below.</w:t>
      </w:r>
    </w:p>
    <w:p w14:paraId="72EA192F"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Creating a Grants.gov account can be completed online in minutes, but SAM registration may take several weeks.Therefore, an organization's registration should be done in sufficient time to ensure it does</w:t>
      </w:r>
      <w:r>
        <w:rPr>
          <w:rFonts w:ascii="Times New Roman" w:eastAsia="Times New Roman" w:hAnsi="Times New Roman" w:cs="Times New Roman"/>
          <w:sz w:val="24"/>
          <w:szCs w:val="24"/>
        </w:rPr>
        <w:t xml:space="preserve"> not impact the entity's ability to meet required application submission deadlines. Note: An entity will be assigned a Unique Entity Identifier (UEI) by SAM. No Dun and Bradstreet (DUNS) number is required after April 4, 2022.</w:t>
      </w:r>
    </w:p>
    <w:p w14:paraId="19D517D0"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Complete organization instruc</w:t>
      </w:r>
      <w:r>
        <w:rPr>
          <w:rFonts w:ascii="Times New Roman" w:eastAsia="Times New Roman" w:hAnsi="Times New Roman" w:cs="Times New Roman"/>
          <w:sz w:val="24"/>
          <w:szCs w:val="24"/>
        </w:rPr>
        <w:t>tions can be found on Grants.gov here: https://www.grants.gov/web/grants/applicants/organization-registration.html</w:t>
      </w:r>
    </w:p>
    <w:p w14:paraId="1EFF443B"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i/>
          <w:iCs/>
          <w:sz w:val="24"/>
          <w:szCs w:val="24"/>
        </w:rPr>
        <w:t>Register with SAM</w:t>
      </w:r>
      <w:r>
        <w:rPr>
          <w:rFonts w:ascii="Times New Roman" w:eastAsia="Times New Roman" w:hAnsi="Times New Roman" w:cs="Times New Roman"/>
          <w:sz w:val="24"/>
          <w:szCs w:val="24"/>
        </w:rPr>
        <w:t>: All organizations applying online through Grants.gov must register with the System forAward Management (SAM). Failure t</w:t>
      </w:r>
      <w:r>
        <w:rPr>
          <w:rFonts w:ascii="Times New Roman" w:eastAsia="Times New Roman" w:hAnsi="Times New Roman" w:cs="Times New Roman"/>
          <w:sz w:val="24"/>
          <w:szCs w:val="24"/>
        </w:rPr>
        <w:t>o register with SAM will prevent your organization from applying through Grants.gov. SAM registration must be renewed annually. For more detailed instructions for registering with SAM, refer to: </w:t>
      </w:r>
      <w:hyperlink r:id="rId19" w:history="1">
        <w:r>
          <w:rPr>
            <w:rStyle w:val="a"/>
            <w:rFonts w:ascii="Times New Roman" w:eastAsia="Times New Roman" w:hAnsi="Times New Roman" w:cs="Times New Roman"/>
            <w:sz w:val="24"/>
            <w:szCs w:val="24"/>
            <w:u w:val="single" w:color="0000FF"/>
          </w:rPr>
          <w:t>https://www.grants.gov/web/grants/applicants/organization-registration/step-2-register-</w:t>
        </w:r>
      </w:hyperlink>
      <w:r>
        <w:rPr>
          <w:rFonts w:ascii="Times New Roman" w:eastAsia="Times New Roman" w:hAnsi="Times New Roman" w:cs="Times New Roman"/>
          <w:sz w:val="24"/>
          <w:szCs w:val="24"/>
        </w:rPr>
        <w:t> </w:t>
      </w:r>
      <w:hyperlink r:id="rId20" w:history="1">
        <w:r>
          <w:rPr>
            <w:rStyle w:val="a"/>
            <w:rFonts w:ascii="Times New Roman" w:eastAsia="Times New Roman" w:hAnsi="Times New Roman" w:cs="Times New Roman"/>
            <w:sz w:val="24"/>
            <w:szCs w:val="24"/>
            <w:u w:val="single" w:color="0000FF"/>
          </w:rPr>
          <w:t>with-sam.html</w:t>
        </w:r>
      </w:hyperlink>
    </w:p>
    <w:p w14:paraId="41E951B7"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eastAsia="Times New Roman" w:hAnsi="Times New Roman" w:cs="Times New Roman"/>
          <w:sz w:val="24"/>
          <w:szCs w:val="24"/>
        </w:rPr>
        <w:t>2) </w:t>
      </w:r>
      <w:r>
        <w:rPr>
          <w:rFonts w:ascii="Times New Roman" w:eastAsia="Times New Roman" w:hAnsi="Times New Roman" w:cs="Times New Roman"/>
          <w:i/>
          <w:iCs/>
          <w:sz w:val="24"/>
          <w:szCs w:val="24"/>
        </w:rPr>
        <w:t>Create a Grants.gov Account</w:t>
      </w:r>
      <w:r>
        <w:rPr>
          <w:rFonts w:ascii="Times New Roman" w:eastAsia="Times New Roman" w:hAnsi="Times New Roman" w:cs="Times New Roman"/>
          <w:sz w:val="24"/>
          <w:szCs w:val="24"/>
        </w:rPr>
        <w:t>: The next step is to register an account with Grants.gov. Follow the on-screen instructions or refer to the detailed instructions here: </w:t>
      </w:r>
      <w:hyperlink r:id="rId21" w:history="1">
        <w:r>
          <w:rPr>
            <w:rStyle w:val="a"/>
            <w:rFonts w:ascii="Times New Roman" w:eastAsia="Times New Roman" w:hAnsi="Times New Roman" w:cs="Times New Roman"/>
            <w:sz w:val="24"/>
            <w:szCs w:val="24"/>
            <w:u w:val="single" w:color="0000FF"/>
          </w:rPr>
          <w:t>https://www.grants.gov/web/grants/applicants/registration.html</w:t>
        </w:r>
      </w:hyperlink>
    </w:p>
    <w:p w14:paraId="2EF0C1DB"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eastAsia="Times New Roman" w:hAnsi="Times New Roman" w:cs="Times New Roman"/>
          <w:sz w:val="24"/>
          <w:szCs w:val="24"/>
        </w:rPr>
        <w:t>3) </w:t>
      </w:r>
      <w:r>
        <w:rPr>
          <w:rFonts w:ascii="Times New Roman" w:eastAsia="Times New Roman" w:hAnsi="Times New Roman" w:cs="Times New Roman"/>
          <w:i/>
          <w:iCs/>
          <w:sz w:val="24"/>
          <w:szCs w:val="24"/>
        </w:rPr>
        <w:t>Add a Profile to a Grants.gov Account</w:t>
      </w:r>
      <w:r>
        <w:rPr>
          <w:rFonts w:ascii="Times New Roman" w:eastAsia="Times New Roman" w:hAnsi="Times New Roman" w:cs="Times New Roman"/>
          <w:sz w:val="24"/>
          <w:szCs w:val="24"/>
        </w:rPr>
        <w:t>: A profile in Grants.gov corresponds to a single applicant organizat</w:t>
      </w:r>
      <w:r>
        <w:rPr>
          <w:rFonts w:ascii="Times New Roman" w:eastAsia="Times New Roman" w:hAnsi="Times New Roman" w:cs="Times New Roman"/>
          <w:sz w:val="24"/>
          <w:szCs w:val="24"/>
        </w:rPr>
        <w:t>ion the user represents (i.e., an applicant) or an individual applicant. If you work for or consult with multipleorganizations and have a profile for each, you may log in to one Grants.gov account to access all of your grant applications. To add an organiz</w:t>
      </w:r>
      <w:r>
        <w:rPr>
          <w:rFonts w:ascii="Times New Roman" w:eastAsia="Times New Roman" w:hAnsi="Times New Roman" w:cs="Times New Roman"/>
          <w:sz w:val="24"/>
          <w:szCs w:val="24"/>
        </w:rPr>
        <w:t>ational profile to your Grants.gov account, enter UEI assigned by SAM in the UEI field while adding a profile. For more detailed instructions about creating a profile on Grants.gov, refer to: </w:t>
      </w:r>
      <w:hyperlink r:id="rId22" w:history="1">
        <w:r>
          <w:rPr>
            <w:rStyle w:val="a"/>
            <w:rFonts w:ascii="Times New Roman" w:eastAsia="Times New Roman" w:hAnsi="Times New Roman" w:cs="Times New Roman"/>
            <w:sz w:val="24"/>
            <w:szCs w:val="24"/>
            <w:u w:val="single" w:color="0000FF"/>
          </w:rPr>
          <w:t>https://www.grants.gov/web/grants/applicants/registration/add-profile.html</w:t>
        </w:r>
      </w:hyperlink>
      <w:r>
        <w:rPr>
          <w:rFonts w:ascii="Times New Roman" w:eastAsia="Times New Roman" w:hAnsi="Times New Roman" w:cs="Times New Roman"/>
          <w:sz w:val="24"/>
          <w:szCs w:val="24"/>
        </w:rPr>
        <w:t> </w:t>
      </w:r>
    </w:p>
    <w:p w14:paraId="6549C95F"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Arial Unicode MS" w:eastAsia="Arial Unicode MS" w:hAnsi="Arial Unicode MS" w:cs="Arial Unicode MS"/>
          <w:sz w:val="24"/>
          <w:szCs w:val="24"/>
        </w:rPr>
        <w:t>​​​​​​​</w:t>
      </w:r>
      <w:r>
        <w:rPr>
          <w:rFonts w:ascii="Times New Roman" w:eastAsia="Times New Roman" w:hAnsi="Times New Roman" w:cs="Times New Roman"/>
          <w:i/>
          <w:iCs/>
          <w:sz w:val="24"/>
          <w:szCs w:val="24"/>
        </w:rPr>
        <w:t>EBiz POC Authorized Profile Roles</w:t>
      </w:r>
      <w:r>
        <w:rPr>
          <w:rFonts w:ascii="Times New Roman" w:eastAsia="Times New Roman" w:hAnsi="Times New Roman" w:cs="Times New Roman"/>
          <w:sz w:val="24"/>
          <w:szCs w:val="24"/>
        </w:rPr>
        <w:t>: After you register with Grants.gov and create an Organization ApplicantProfile, the organization applicant's</w:t>
      </w:r>
      <w:r>
        <w:rPr>
          <w:rFonts w:ascii="Times New Roman" w:eastAsia="Times New Roman" w:hAnsi="Times New Roman" w:cs="Times New Roman"/>
          <w:sz w:val="24"/>
          <w:szCs w:val="24"/>
        </w:rPr>
        <w:t xml:space="preserve"> request for Grants.gov roles and access is sent to the EBiz POC. The EBiz POC will then log in to Grants.gov and authorize the appropriate roles, which may include the AOR role, thereby giving you permission to complete and submit applications on behalf o</w:t>
      </w:r>
      <w:r>
        <w:rPr>
          <w:rFonts w:ascii="Times New Roman" w:eastAsia="Times New Roman" w:hAnsi="Times New Roman" w:cs="Times New Roman"/>
          <w:sz w:val="24"/>
          <w:szCs w:val="24"/>
        </w:rPr>
        <w:t>f the organization. You will be able to submit your application online any time after you have been assigned the AOR role. For more detailed instructions about creating a profile on Grants.gov, refer to:  </w:t>
      </w:r>
      <w:hyperlink r:id="rId23" w:history="1">
        <w:r>
          <w:rPr>
            <w:rStyle w:val="a"/>
            <w:rFonts w:ascii="Times New Roman" w:eastAsia="Times New Roman" w:hAnsi="Times New Roman" w:cs="Times New Roman"/>
            <w:sz w:val="24"/>
            <w:szCs w:val="24"/>
            <w:u w:val="single" w:color="0000FF"/>
          </w:rPr>
          <w:t>https://www.grants.gov/web/grants/applicants/registration/authorize-roles.html</w:t>
        </w:r>
      </w:hyperlink>
    </w:p>
    <w:p w14:paraId="5ABF210B"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Arial Unicode MS" w:eastAsia="Arial Unicode MS" w:hAnsi="Arial Unicode MS" w:cs="Arial Unicode MS"/>
          <w:sz w:val="24"/>
          <w:szCs w:val="24"/>
        </w:rPr>
        <w:t>​​​​​​​</w:t>
      </w:r>
      <w:r>
        <w:rPr>
          <w:rFonts w:ascii="Times New Roman" w:eastAsia="Times New Roman" w:hAnsi="Times New Roman" w:cs="Times New Roman"/>
          <w:i/>
          <w:iCs/>
          <w:sz w:val="24"/>
          <w:szCs w:val="24"/>
        </w:rPr>
        <w:t>Track Role Status</w:t>
      </w:r>
      <w:r>
        <w:rPr>
          <w:rFonts w:ascii="Times New Roman" w:eastAsia="Times New Roman" w:hAnsi="Times New Roman" w:cs="Times New Roman"/>
          <w:sz w:val="24"/>
          <w:szCs w:val="24"/>
        </w:rPr>
        <w:t>: To track your role request, refer to:</w:t>
      </w:r>
      <w:hyperlink r:id="rId24" w:history="1">
        <w:r>
          <w:rPr>
            <w:rStyle w:val="a"/>
            <w:rFonts w:ascii="Times New Roman" w:eastAsia="Times New Roman" w:hAnsi="Times New Roman" w:cs="Times New Roman"/>
            <w:sz w:val="24"/>
            <w:szCs w:val="24"/>
            <w:u w:val="single" w:color="0000FF"/>
          </w:rPr>
          <w:t>https://www.grants.gov/web/grants/applicants/registration/track-role-status.html</w:t>
        </w:r>
      </w:hyperlink>
    </w:p>
    <w:p w14:paraId="71639389"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i/>
          <w:iCs/>
          <w:sz w:val="24"/>
          <w:szCs w:val="24"/>
        </w:rPr>
        <w:t> Electronic Signature</w:t>
      </w:r>
      <w:r>
        <w:rPr>
          <w:rFonts w:ascii="Times New Roman" w:eastAsia="Times New Roman" w:hAnsi="Times New Roman" w:cs="Times New Roman"/>
          <w:sz w:val="24"/>
          <w:szCs w:val="24"/>
        </w:rPr>
        <w:t>: When applications are submitted through Grants.gov, the name of the organization applicant with the AOR role that submitt</w:t>
      </w:r>
      <w:r>
        <w:rPr>
          <w:rFonts w:ascii="Times New Roman" w:eastAsia="Times New Roman" w:hAnsi="Times New Roman" w:cs="Times New Roman"/>
          <w:sz w:val="24"/>
          <w:szCs w:val="24"/>
        </w:rPr>
        <w:t>ed the application is inserted into the signature line of the application, serving as the electronic signature. The EBiz POC </w:t>
      </w:r>
      <w:r>
        <w:rPr>
          <w:rFonts w:ascii="Times New Roman" w:eastAsia="Times New Roman" w:hAnsi="Times New Roman" w:cs="Times New Roman"/>
          <w:b/>
          <w:bCs/>
          <w:sz w:val="24"/>
          <w:szCs w:val="24"/>
        </w:rPr>
        <w:t>must </w:t>
      </w:r>
      <w:r>
        <w:rPr>
          <w:rFonts w:ascii="Times New Roman" w:eastAsia="Times New Roman" w:hAnsi="Times New Roman" w:cs="Times New Roman"/>
          <w:sz w:val="24"/>
          <w:szCs w:val="24"/>
        </w:rPr>
        <w:t xml:space="preserve">authorize people who are able to make legally binding commitments on behalf of the organization as a user with the AOR </w:t>
      </w:r>
      <w:r>
        <w:rPr>
          <w:rFonts w:ascii="Times New Roman" w:eastAsia="Times New Roman" w:hAnsi="Times New Roman" w:cs="Times New Roman"/>
          <w:sz w:val="24"/>
          <w:szCs w:val="24"/>
        </w:rPr>
        <w:t>role; </w:t>
      </w:r>
      <w:r>
        <w:rPr>
          <w:rFonts w:ascii="Times New Roman" w:eastAsia="Times New Roman" w:hAnsi="Times New Roman" w:cs="Times New Roman"/>
          <w:b/>
          <w:bCs/>
          <w:sz w:val="24"/>
          <w:szCs w:val="24"/>
        </w:rPr>
        <w:t>this step is often missed and it is crucial for valid and timely submissions.</w:t>
      </w:r>
    </w:p>
    <w:p w14:paraId="141FE83B"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How to Submit an Application to USGS via Grants.gov</w:t>
      </w:r>
    </w:p>
    <w:p w14:paraId="271CE3D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Grants.gov applicants can apply online using Workspace. Workspace is a shared, online environment where members of a </w:t>
      </w:r>
      <w:r>
        <w:rPr>
          <w:rFonts w:ascii="Times New Roman" w:eastAsia="Times New Roman" w:hAnsi="Times New Roman" w:cs="Times New Roman"/>
          <w:sz w:val="24"/>
          <w:szCs w:val="24"/>
        </w:rPr>
        <w:t>grant team may simultaneously access and edit different webforms within an application. For each funding opportunity announcement (FOA), you can create individual instances of a workspace.</w:t>
      </w:r>
    </w:p>
    <w:p w14:paraId="1A5DA91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Below is an overview of applying on Grants.gov. For access to compl</w:t>
      </w:r>
      <w:r>
        <w:rPr>
          <w:rFonts w:ascii="Times New Roman" w:eastAsia="Times New Roman" w:hAnsi="Times New Roman" w:cs="Times New Roman"/>
          <w:sz w:val="24"/>
          <w:szCs w:val="24"/>
        </w:rPr>
        <w:t>ete instructions on how to apply for opportunities, refer to:</w:t>
      </w:r>
    </w:p>
    <w:p w14:paraId="162CA61C" w14:textId="77777777" w:rsidR="00957E69" w:rsidRDefault="001B034F" w:rsidP="00470374">
      <w:pPr>
        <w:pStyle w:val="Normal0"/>
        <w:spacing w:after="140"/>
        <w:rPr>
          <w:rFonts w:ascii="Times New Roman" w:eastAsia="Times New Roman" w:hAnsi="Times New Roman" w:cs="Times New Roman"/>
          <w:sz w:val="24"/>
          <w:szCs w:val="24"/>
        </w:rPr>
      </w:pPr>
      <w:hyperlink r:id="rId25" w:history="1">
        <w:r>
          <w:rPr>
            <w:rStyle w:val="a"/>
            <w:rFonts w:ascii="Times New Roman" w:eastAsia="Times New Roman" w:hAnsi="Times New Roman" w:cs="Times New Roman"/>
            <w:sz w:val="24"/>
            <w:szCs w:val="24"/>
            <w:u w:val="single" w:color="0000FF"/>
          </w:rPr>
          <w:t>https://www.grants.gov/web/grants/applicants/workspace-overview.html</w:t>
        </w:r>
      </w:hyperlink>
    </w:p>
    <w:p w14:paraId="49ED2FFA"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r>
        <w:rPr>
          <w:rFonts w:ascii="Times New Roman" w:eastAsia="Times New Roman" w:hAnsi="Times New Roman" w:cs="Times New Roman"/>
          <w:i/>
          <w:iCs/>
          <w:sz w:val="24"/>
          <w:szCs w:val="24"/>
        </w:rPr>
        <w:t>Create a Workspace</w:t>
      </w:r>
      <w:r>
        <w:rPr>
          <w:rFonts w:ascii="Times New Roman" w:eastAsia="Times New Roman" w:hAnsi="Times New Roman" w:cs="Times New Roman"/>
          <w:sz w:val="24"/>
          <w:szCs w:val="24"/>
        </w:rPr>
        <w:t>: Creating a worksp</w:t>
      </w:r>
      <w:r>
        <w:rPr>
          <w:rFonts w:ascii="Times New Roman" w:eastAsia="Times New Roman" w:hAnsi="Times New Roman" w:cs="Times New Roman"/>
          <w:sz w:val="24"/>
          <w:szCs w:val="24"/>
        </w:rPr>
        <w:t>ace allows you to complete it online and route it through your organization for review before submitting.</w:t>
      </w:r>
    </w:p>
    <w:p w14:paraId="2B565F51"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r>
        <w:rPr>
          <w:rFonts w:ascii="Times New Roman" w:eastAsia="Times New Roman" w:hAnsi="Times New Roman" w:cs="Times New Roman"/>
          <w:i/>
          <w:iCs/>
          <w:sz w:val="24"/>
          <w:szCs w:val="24"/>
        </w:rPr>
        <w:t>Complete a Workspace</w:t>
      </w:r>
      <w:r>
        <w:rPr>
          <w:rFonts w:ascii="Times New Roman" w:eastAsia="Times New Roman" w:hAnsi="Times New Roman" w:cs="Times New Roman"/>
          <w:sz w:val="24"/>
          <w:szCs w:val="24"/>
        </w:rPr>
        <w:t>: Add participants to the workspace to work on the application together, complete all the required forms online or by downloadi</w:t>
      </w:r>
      <w:r>
        <w:rPr>
          <w:rFonts w:ascii="Times New Roman" w:eastAsia="Times New Roman" w:hAnsi="Times New Roman" w:cs="Times New Roman"/>
          <w:sz w:val="24"/>
          <w:szCs w:val="24"/>
        </w:rPr>
        <w:t>ng PDF versions, and check for errors before submission. The Workspace progress bar will display the state of your application process as you apply. As you apply using Workspace, you may click the blue question mark icon near the upper-right corner of each</w:t>
      </w:r>
      <w:r>
        <w:rPr>
          <w:rFonts w:ascii="Times New Roman" w:eastAsia="Times New Roman" w:hAnsi="Times New Roman" w:cs="Times New Roman"/>
          <w:sz w:val="24"/>
          <w:szCs w:val="24"/>
        </w:rPr>
        <w:t xml:space="preserve"> page to access context-sensitive help.</w:t>
      </w:r>
    </w:p>
    <w:p w14:paraId="2B936392" w14:textId="77777777" w:rsidR="00957E69" w:rsidRDefault="001B034F"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r>
        <w:rPr>
          <w:rFonts w:ascii="Times New Roman" w:eastAsia="Times New Roman" w:hAnsi="Times New Roman" w:cs="Times New Roman"/>
          <w:i/>
          <w:iCs/>
          <w:sz w:val="24"/>
          <w:szCs w:val="24"/>
        </w:rPr>
        <w:t>Adobe Reader</w:t>
      </w:r>
      <w:r>
        <w:rPr>
          <w:rFonts w:ascii="Times New Roman" w:eastAsia="Times New Roman" w:hAnsi="Times New Roman" w:cs="Times New Roman"/>
          <w:sz w:val="24"/>
          <w:szCs w:val="24"/>
        </w:rPr>
        <w:t xml:space="preserve">: If you decide not to apply by filling out webforms you can download individual PDF forms in Workspace. The individual PDF forms can be downloaded and saved to your local device storage, </w:t>
      </w:r>
      <w:r>
        <w:rPr>
          <w:rFonts w:ascii="Times New Roman" w:eastAsia="Times New Roman" w:hAnsi="Times New Roman" w:cs="Times New Roman"/>
          <w:sz w:val="24"/>
          <w:szCs w:val="24"/>
        </w:rPr>
        <w:t>network drive(s), or external drives, then accessed through Adobe Reader.</w:t>
      </w:r>
    </w:p>
    <w:p w14:paraId="505F93E8" w14:textId="77777777" w:rsidR="00957E69" w:rsidRDefault="001B034F"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NOTE: Visit the Adobe Software Compatibility page on Grants.gov to download the appropriate version of the software at: </w:t>
      </w:r>
      <w:hyperlink r:id="rId26" w:history="1">
        <w:r>
          <w:rPr>
            <w:rStyle w:val="a"/>
            <w:rFonts w:ascii="Times New Roman" w:eastAsia="Times New Roman" w:hAnsi="Times New Roman" w:cs="Times New Roman"/>
            <w:sz w:val="24"/>
            <w:szCs w:val="24"/>
            <w:u w:val="single" w:color="0000FF"/>
          </w:rPr>
          <w:t>https://www.grants.gov/web/grants/applicants/adobe-software-compatibility.html</w:t>
        </w:r>
      </w:hyperlink>
    </w:p>
    <w:p w14:paraId="7DBA0A23" w14:textId="77777777" w:rsidR="00957E69" w:rsidRDefault="001B034F"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b. </w:t>
      </w:r>
      <w:r>
        <w:rPr>
          <w:rFonts w:ascii="Times New Roman" w:eastAsia="Times New Roman" w:hAnsi="Times New Roman" w:cs="Times New Roman"/>
          <w:i/>
          <w:iCs/>
          <w:sz w:val="24"/>
          <w:szCs w:val="24"/>
        </w:rPr>
        <w:t>Mandatory Fields in Forms:</w:t>
      </w:r>
      <w:r>
        <w:rPr>
          <w:rFonts w:ascii="Times New Roman" w:eastAsia="Times New Roman" w:hAnsi="Times New Roman" w:cs="Times New Roman"/>
          <w:sz w:val="24"/>
          <w:szCs w:val="24"/>
        </w:rPr>
        <w:t> In the forms, you will note fields marked with an asterisk and a different background color. These fields are mand</w:t>
      </w:r>
      <w:r>
        <w:rPr>
          <w:rFonts w:ascii="Times New Roman" w:eastAsia="Times New Roman" w:hAnsi="Times New Roman" w:cs="Times New Roman"/>
          <w:sz w:val="24"/>
          <w:szCs w:val="24"/>
        </w:rPr>
        <w:t>atory fields that must be completed to successfully submit your application.</w:t>
      </w:r>
    </w:p>
    <w:p w14:paraId="6523DF44" w14:textId="77777777" w:rsidR="00957E69" w:rsidRDefault="001B034F" w:rsidP="00470374">
      <w:pPr>
        <w:pStyle w:val="Normal0"/>
        <w:spacing w:after="140"/>
        <w:ind w:left="750"/>
        <w:rPr>
          <w:rFonts w:ascii="Times New Roman" w:eastAsia="Times New Roman" w:hAnsi="Times New Roman" w:cs="Times New Roman"/>
          <w:sz w:val="24"/>
          <w:szCs w:val="24"/>
        </w:rPr>
      </w:pPr>
      <w:r>
        <w:rPr>
          <w:rFonts w:ascii="Times New Roman" w:eastAsia="Times New Roman" w:hAnsi="Times New Roman" w:cs="Times New Roman"/>
          <w:sz w:val="24"/>
          <w:szCs w:val="24"/>
        </w:rPr>
        <w:t>c. </w:t>
      </w:r>
      <w:r>
        <w:rPr>
          <w:rFonts w:ascii="Times New Roman" w:eastAsia="Times New Roman" w:hAnsi="Times New Roman" w:cs="Times New Roman"/>
          <w:i/>
          <w:iCs/>
          <w:sz w:val="24"/>
          <w:szCs w:val="24"/>
        </w:rPr>
        <w:t>Complete SF-424 Fields First</w:t>
      </w:r>
      <w:r>
        <w:rPr>
          <w:rFonts w:ascii="Times New Roman" w:eastAsia="Times New Roman" w:hAnsi="Times New Roman" w:cs="Times New Roman"/>
          <w:sz w:val="24"/>
          <w:szCs w:val="24"/>
        </w:rPr>
        <w:t>: The forms are designed to fill in common required fields across other forms, such as the applicant name, address, and UEI Number. Once it is compl</w:t>
      </w:r>
      <w:r>
        <w:rPr>
          <w:rFonts w:ascii="Times New Roman" w:eastAsia="Times New Roman" w:hAnsi="Times New Roman" w:cs="Times New Roman"/>
          <w:sz w:val="24"/>
          <w:szCs w:val="24"/>
        </w:rPr>
        <w:t>eted, the information will transfer to the other forms.</w:t>
      </w:r>
    </w:p>
    <w:p w14:paraId="2C392BF7"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i/>
          <w:iCs/>
          <w:sz w:val="24"/>
          <w:szCs w:val="24"/>
        </w:rPr>
        <w:t>Submit a Workspace</w:t>
      </w:r>
      <w:r>
        <w:rPr>
          <w:rFonts w:ascii="Times New Roman" w:eastAsia="Times New Roman" w:hAnsi="Times New Roman" w:cs="Times New Roman"/>
          <w:sz w:val="24"/>
          <w:szCs w:val="24"/>
        </w:rPr>
        <w:t>: An application may be submitted through workspace by clicking the Sign and Submit button on the Manage Workspace page, under the Forms tab. Grants.gov recommends submitting your</w:t>
      </w:r>
      <w:r>
        <w:rPr>
          <w:rFonts w:ascii="Times New Roman" w:eastAsia="Times New Roman" w:hAnsi="Times New Roman" w:cs="Times New Roman"/>
          <w:sz w:val="24"/>
          <w:szCs w:val="24"/>
        </w:rPr>
        <w:t xml:space="preserve"> application package </w:t>
      </w:r>
      <w:r>
        <w:rPr>
          <w:rFonts w:ascii="Times New Roman" w:eastAsia="Times New Roman" w:hAnsi="Times New Roman" w:cs="Times New Roman"/>
          <w:sz w:val="24"/>
          <w:szCs w:val="24"/>
          <w:u w:val="single"/>
        </w:rPr>
        <w:t>at least 24-48 hours prior to the close date</w:t>
      </w:r>
      <w:r>
        <w:rPr>
          <w:rFonts w:ascii="Times New Roman" w:eastAsia="Times New Roman" w:hAnsi="Times New Roman" w:cs="Times New Roman"/>
          <w:sz w:val="24"/>
          <w:szCs w:val="24"/>
        </w:rPr>
        <w:t> to provide you with time to correct any potential technical issues that may disrupt the application submission.</w:t>
      </w:r>
    </w:p>
    <w:p w14:paraId="28586AAA" w14:textId="77777777" w:rsidR="00957E69" w:rsidRDefault="001B034F" w:rsidP="00470374">
      <w:pPr>
        <w:pStyle w:val="Normal0"/>
        <w:spacing w:after="140"/>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4) </w:t>
      </w:r>
      <w:r>
        <w:rPr>
          <w:rFonts w:ascii="Times New Roman" w:eastAsia="Times New Roman" w:hAnsi="Times New Roman" w:cs="Times New Roman"/>
          <w:i/>
          <w:iCs/>
          <w:sz w:val="24"/>
          <w:szCs w:val="24"/>
        </w:rPr>
        <w:t>Track a Workspace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Submission</w:t>
      </w:r>
      <w:r>
        <w:rPr>
          <w:rFonts w:ascii="Times New Roman" w:eastAsia="Times New Roman" w:hAnsi="Times New Roman" w:cs="Times New Roman"/>
          <w:sz w:val="24"/>
          <w:szCs w:val="24"/>
        </w:rPr>
        <w:t xml:space="preserve">: After successfully submitting a </w:t>
      </w:r>
      <w:r>
        <w:rPr>
          <w:rFonts w:ascii="Times New Roman" w:eastAsia="Times New Roman" w:hAnsi="Times New Roman" w:cs="Times New Roman"/>
          <w:sz w:val="24"/>
          <w:szCs w:val="24"/>
        </w:rPr>
        <w:t>workspace application, a Grants.gov Tracking Number (GRANTXXXXXXXX) is automatically assigned to the application. The number will be listed on the Confirmation page that is generated after submission. Using the tracking number, access the Track My Applicat</w:t>
      </w:r>
      <w:r>
        <w:rPr>
          <w:rFonts w:ascii="Times New Roman" w:eastAsia="Times New Roman" w:hAnsi="Times New Roman" w:cs="Times New Roman"/>
          <w:sz w:val="24"/>
          <w:szCs w:val="24"/>
        </w:rPr>
        <w:t>ion page under the Applicants tab or the Details tab in the submitted workspace.</w:t>
      </w:r>
    </w:p>
    <w:p w14:paraId="6300BD9E"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additional training resources, including video tutorials, refer to: </w:t>
      </w:r>
      <w:hyperlink r:id="rId27" w:history="1">
        <w:r>
          <w:rPr>
            <w:rStyle w:val="a"/>
            <w:rFonts w:ascii="Times New Roman" w:eastAsia="Times New Roman" w:hAnsi="Times New Roman" w:cs="Times New Roman"/>
            <w:sz w:val="24"/>
            <w:szCs w:val="24"/>
            <w:u w:val="single" w:color="0000FF"/>
          </w:rPr>
          <w:t>https://www.grants</w:t>
        </w:r>
        <w:r>
          <w:rPr>
            <w:rStyle w:val="a"/>
            <w:rFonts w:ascii="Times New Roman" w:eastAsia="Times New Roman" w:hAnsi="Times New Roman" w:cs="Times New Roman"/>
            <w:sz w:val="24"/>
            <w:szCs w:val="24"/>
            <w:u w:val="single" w:color="0000FF"/>
          </w:rPr>
          <w:t>.gov/web/grants/applicants/applicant-training.html</w:t>
        </w:r>
      </w:hyperlink>
    </w:p>
    <w:p w14:paraId="2E7749A4"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Applicant Support</w:t>
      </w:r>
      <w:r>
        <w:rPr>
          <w:rFonts w:ascii="Times New Roman" w:eastAsia="Times New Roman" w:hAnsi="Times New Roman" w:cs="Times New Roman"/>
          <w:sz w:val="24"/>
          <w:szCs w:val="24"/>
        </w:rPr>
        <w:t>: Grants.gov provides applicants 24/7 support via the toll-free number 1-800-518-4726 and email at </w:t>
      </w:r>
      <w:hyperlink r:id="rId28" w:history="1">
        <w:r>
          <w:rPr>
            <w:rStyle w:val="a"/>
            <w:rFonts w:ascii="Times New Roman" w:eastAsia="Times New Roman" w:hAnsi="Times New Roman" w:cs="Times New Roman"/>
            <w:sz w:val="24"/>
            <w:szCs w:val="24"/>
            <w:u w:val="single" w:color="0000FF"/>
          </w:rPr>
          <w:t>support@grants.gov</w:t>
        </w:r>
      </w:hyperlink>
      <w:r>
        <w:rPr>
          <w:rFonts w:ascii="Times New Roman" w:eastAsia="Times New Roman" w:hAnsi="Times New Roman" w:cs="Times New Roman"/>
          <w:sz w:val="24"/>
          <w:szCs w:val="24"/>
        </w:rPr>
        <w:t>. For questions related to th</w:t>
      </w:r>
      <w:r>
        <w:rPr>
          <w:rFonts w:ascii="Times New Roman" w:eastAsia="Times New Roman" w:hAnsi="Times New Roman" w:cs="Times New Roman"/>
          <w:sz w:val="24"/>
          <w:szCs w:val="24"/>
        </w:rPr>
        <w:t>e specific grant opportunity, contact the number listed in the application package of the grant you are applying for.</w:t>
      </w:r>
    </w:p>
    <w:p w14:paraId="3150D9FE"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experiencing difficulties with your submission, it is best to call the Grants.gov Support Center and get a ticket number. The S</w:t>
      </w:r>
      <w:r>
        <w:rPr>
          <w:rFonts w:ascii="Times New Roman" w:eastAsia="Times New Roman" w:hAnsi="Times New Roman" w:cs="Times New Roman"/>
          <w:sz w:val="24"/>
          <w:szCs w:val="24"/>
        </w:rPr>
        <w:t>upport Center ticket number will assist the USGS with tracking your issue and understanding background information on the issue.</w:t>
      </w:r>
    </w:p>
    <w:p w14:paraId="05C7AEB5"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4. Timely Receipt Requirements and Proof of Timely Submission</w:t>
      </w:r>
    </w:p>
    <w:p w14:paraId="5886098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w:t>
      </w:r>
      <w:r>
        <w:rPr>
          <w:rFonts w:ascii="Times New Roman" w:eastAsia="Times New Roman" w:hAnsi="Times New Roman" w:cs="Times New Roman"/>
          <w:i/>
          <w:iCs/>
          <w:sz w:val="24"/>
          <w:szCs w:val="24"/>
        </w:rPr>
        <w:t>Online Submission.</w:t>
      </w:r>
      <w:r>
        <w:rPr>
          <w:rFonts w:ascii="Times New Roman" w:eastAsia="Times New Roman" w:hAnsi="Times New Roman" w:cs="Times New Roman"/>
          <w:sz w:val="24"/>
          <w:szCs w:val="24"/>
        </w:rPr>
        <w:t> All applications must be received by the du</w:t>
      </w:r>
      <w:r>
        <w:rPr>
          <w:rFonts w:ascii="Times New Roman" w:eastAsia="Times New Roman" w:hAnsi="Times New Roman" w:cs="Times New Roman"/>
          <w:sz w:val="24"/>
          <w:szCs w:val="24"/>
        </w:rPr>
        <w:t>e date established for each program. Proof of timely submission is automatically recorded by Grants.gov. An electronic date/time stamp is generated within the system when the application is successfully received by Grants.gov. The applicant with the AOR ro</w:t>
      </w:r>
      <w:r>
        <w:rPr>
          <w:rFonts w:ascii="Times New Roman" w:eastAsia="Times New Roman" w:hAnsi="Times New Roman" w:cs="Times New Roman"/>
          <w:sz w:val="24"/>
          <w:szCs w:val="24"/>
        </w:rPr>
        <w:t>le who submitted the application will receive an acknowledgement of receipt and a tracking number (GRANTXXXXXXXX) from Grants.gov with the successful transmission of their application. This applicant with the AOR role will also receive the official date/ti</w:t>
      </w:r>
      <w:r>
        <w:rPr>
          <w:rFonts w:ascii="Times New Roman" w:eastAsia="Times New Roman" w:hAnsi="Times New Roman" w:cs="Times New Roman"/>
          <w:sz w:val="24"/>
          <w:szCs w:val="24"/>
        </w:rPr>
        <w:t>me stamp and Grants.gov Tracking number in an email serving as proof of their timely submission.</w:t>
      </w:r>
    </w:p>
    <w:p w14:paraId="29286D9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When USGS successfully retrieves the application from Grants.gov, and acknowledges the download of submissions, Grants.gov will provide an electronic acknowled</w:t>
      </w:r>
      <w:r>
        <w:rPr>
          <w:rFonts w:ascii="Times New Roman" w:eastAsia="Times New Roman" w:hAnsi="Times New Roman" w:cs="Times New Roman"/>
          <w:sz w:val="24"/>
          <w:szCs w:val="24"/>
        </w:rPr>
        <w:t>gment of receipt of the application to the email address of the applicant with the AOR role who submitted the application. Again, proof of timely submission shall be the official date and time that Grants.gov receives your application. Applications receive</w:t>
      </w:r>
      <w:r>
        <w:rPr>
          <w:rFonts w:ascii="Times New Roman" w:eastAsia="Times New Roman" w:hAnsi="Times New Roman" w:cs="Times New Roman"/>
          <w:sz w:val="24"/>
          <w:szCs w:val="24"/>
        </w:rPr>
        <w:t>d by Grants.gov after the established due date for the program will be considered late and will not be considered for funding by USGS.</w:t>
      </w:r>
    </w:p>
    <w:p w14:paraId="0F0102C4"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using slow internet, such as dial-up connections, should be aware that transmission can take some time before </w:t>
      </w:r>
      <w:r>
        <w:rPr>
          <w:rFonts w:ascii="Times New Roman" w:eastAsia="Times New Roman" w:hAnsi="Times New Roman" w:cs="Times New Roman"/>
          <w:sz w:val="24"/>
          <w:szCs w:val="24"/>
        </w:rPr>
        <w:t>Grants.gov receives your application. Again, Grants.gov will provide either an error or a successfully received transmission in the form of an email sent to the applicant with the AOR role attempting to submit the application. The Grants.gov Support Center</w:t>
      </w:r>
      <w:r>
        <w:rPr>
          <w:rFonts w:ascii="Times New Roman" w:eastAsia="Times New Roman" w:hAnsi="Times New Roman" w:cs="Times New Roman"/>
          <w:sz w:val="24"/>
          <w:szCs w:val="24"/>
        </w:rPr>
        <w:t xml:space="preserve"> reports that some applicants end the transmission because they think that nothing is occurring during the transmission process. Please be patient and give the system time to process the application.</w:t>
      </w:r>
    </w:p>
    <w:p w14:paraId="34D3C291" w14:textId="77777777" w:rsidR="00957E69" w:rsidRDefault="001B034F" w:rsidP="00470374">
      <w:pPr>
        <w:pStyle w:val="highlightanyParagraph"/>
        <w:spacing w:after="140"/>
        <w:rPr>
          <w:szCs w:val="24"/>
        </w:rPr>
      </w:pPr>
      <w:r>
        <w:rPr>
          <w:rStyle w:val="highlightany"/>
          <w:b/>
          <w:bCs/>
          <w:szCs w:val="24"/>
        </w:rPr>
        <w:t>IMPORTANT NOTE:</w:t>
      </w:r>
      <w:r>
        <w:rPr>
          <w:szCs w:val="24"/>
        </w:rPr>
        <w:t xml:space="preserve"> On April 4, 2022, the Federal government will transition to using the Unique Entity Identifier (UEI) in place of the DUNS number to uniquely identify entities doing business with the government.  As of that date, all entities receiving grants or cooperati</w:t>
      </w:r>
      <w:r>
        <w:rPr>
          <w:szCs w:val="24"/>
        </w:rPr>
        <w:t>ve agreements from the Department of the Interior (DOI) will be required to have a Unique Entity Identifier created in SAM.gov.  Information pertaining to this transition, including instructions on how to obtain a Unique Entity Identifier can be located on</w:t>
      </w:r>
      <w:r>
        <w:rPr>
          <w:szCs w:val="24"/>
        </w:rPr>
        <w:t xml:space="preserve"> the </w:t>
      </w:r>
      <w:hyperlink r:id="rId29" w:history="1">
        <w:r>
          <w:rPr>
            <w:rStyle w:val="highlightany"/>
            <w:color w:val="0000FF"/>
            <w:szCs w:val="24"/>
            <w:u w:val="single" w:color="0000FF"/>
          </w:rPr>
          <w:t>SAM.gov UEI webpage</w:t>
        </w:r>
      </w:hyperlink>
      <w:r>
        <w:rPr>
          <w:szCs w:val="24"/>
        </w:rPr>
        <w:t>.</w:t>
      </w:r>
      <w:r>
        <w:rPr>
          <w:szCs w:val="24"/>
        </w:rPr>
        <w:br/>
      </w:r>
      <w:r>
        <w:rPr>
          <w:szCs w:val="24"/>
        </w:rPr>
        <w:br/>
        <w:t>As a result of this transition, DOI grant and cooperative agreement recipients should be aware of the following information:</w:t>
      </w:r>
    </w:p>
    <w:p w14:paraId="3ADBF258" w14:textId="77777777" w:rsidR="00957E69" w:rsidRDefault="001B034F" w:rsidP="00470374">
      <w:pPr>
        <w:pStyle w:val="highlightanyParagraph"/>
        <w:numPr>
          <w:ilvl w:val="0"/>
          <w:numId w:val="26"/>
        </w:numPr>
        <w:spacing w:after="20"/>
        <w:rPr>
          <w:szCs w:val="24"/>
        </w:rPr>
      </w:pPr>
      <w:r>
        <w:rPr>
          <w:szCs w:val="24"/>
        </w:rPr>
        <w:t>The DUNS number, assigned by Dun and Bradstreet, will r</w:t>
      </w:r>
      <w:r>
        <w:rPr>
          <w:szCs w:val="24"/>
        </w:rPr>
        <w:t>emain the official Identifier for all DOI recipients through April 3, 2022.</w:t>
      </w:r>
    </w:p>
    <w:p w14:paraId="22ECE041" w14:textId="77777777" w:rsidR="00957E69" w:rsidRDefault="001B034F" w:rsidP="00470374">
      <w:pPr>
        <w:pStyle w:val="highlightanyParagraph"/>
        <w:numPr>
          <w:ilvl w:val="0"/>
          <w:numId w:val="26"/>
        </w:numPr>
        <w:spacing w:before="20" w:after="20"/>
        <w:rPr>
          <w:szCs w:val="24"/>
        </w:rPr>
      </w:pPr>
      <w:r>
        <w:rPr>
          <w:szCs w:val="24"/>
        </w:rPr>
        <w:t>The UEI number, assigned by SAM.gov, will become the official identifier for all DOI recipients as of April 4, 2022.</w:t>
      </w:r>
    </w:p>
    <w:p w14:paraId="7463DF9F" w14:textId="77777777" w:rsidR="00957E69" w:rsidRDefault="001B034F" w:rsidP="00470374">
      <w:pPr>
        <w:pStyle w:val="highlightanyParagraph"/>
        <w:numPr>
          <w:ilvl w:val="0"/>
          <w:numId w:val="26"/>
        </w:numPr>
        <w:spacing w:before="20" w:after="20"/>
        <w:rPr>
          <w:szCs w:val="24"/>
        </w:rPr>
      </w:pPr>
      <w:r>
        <w:rPr>
          <w:szCs w:val="24"/>
        </w:rPr>
        <w:t>All active entities with a SAM.gov registration should now have</w:t>
      </w:r>
      <w:r>
        <w:rPr>
          <w:szCs w:val="24"/>
        </w:rPr>
        <w:t xml:space="preserve"> a UEI assigned within SAM.gov.</w:t>
      </w:r>
    </w:p>
    <w:p w14:paraId="3686D7F0" w14:textId="77777777" w:rsidR="00957E69" w:rsidRDefault="001B034F" w:rsidP="00470374">
      <w:pPr>
        <w:pStyle w:val="highlightanyParagraph"/>
        <w:numPr>
          <w:ilvl w:val="0"/>
          <w:numId w:val="26"/>
        </w:numPr>
        <w:spacing w:before="20" w:after="150"/>
        <w:rPr>
          <w:szCs w:val="24"/>
        </w:rPr>
      </w:pPr>
      <w:r>
        <w:rPr>
          <w:szCs w:val="24"/>
        </w:rPr>
        <w:t xml:space="preserve">Questions and concerns pertaining to an entity’s UEI should be directed to the </w:t>
      </w:r>
      <w:hyperlink r:id="rId30" w:history="1">
        <w:r>
          <w:rPr>
            <w:rStyle w:val="highlightany"/>
            <w:color w:val="0000FF"/>
            <w:szCs w:val="24"/>
            <w:u w:val="single" w:color="0000FF"/>
          </w:rPr>
          <w:t>SAM.gov helpdesk.</w:t>
        </w:r>
      </w:hyperlink>
    </w:p>
    <w:p w14:paraId="6E16F1B8" w14:textId="77777777" w:rsidR="00957E69" w:rsidRDefault="001B034F" w:rsidP="00470374">
      <w:pPr>
        <w:pStyle w:val="highlightanyParagraph"/>
        <w:spacing w:after="140"/>
        <w:rPr>
          <w:szCs w:val="24"/>
        </w:rPr>
      </w:pPr>
      <w:r>
        <w:rPr>
          <w:szCs w:val="24"/>
        </w:rPr>
        <w:br/>
        <w:t>For entities that may be submitting an application for a DOI grant or cooperative</w:t>
      </w:r>
      <w:r>
        <w:rPr>
          <w:szCs w:val="24"/>
        </w:rPr>
        <w:t xml:space="preserve"> agreement, please be aware of the following DOI guidance. Please note that the guidance below may be supplemented by additional guidance from DOI programs or Bureaus:</w:t>
      </w:r>
    </w:p>
    <w:p w14:paraId="01441064" w14:textId="77777777" w:rsidR="00957E69" w:rsidRDefault="001B034F" w:rsidP="00470374">
      <w:pPr>
        <w:pStyle w:val="highlightanyParagraph"/>
        <w:numPr>
          <w:ilvl w:val="0"/>
          <w:numId w:val="27"/>
        </w:numPr>
        <w:spacing w:after="20"/>
        <w:rPr>
          <w:szCs w:val="24"/>
        </w:rPr>
      </w:pPr>
      <w:r>
        <w:rPr>
          <w:szCs w:val="24"/>
        </w:rPr>
        <w:lastRenderedPageBreak/>
        <w:t>All grant or cooperative agreement applications submitted to DOI on or after April 1, 20</w:t>
      </w:r>
      <w:r>
        <w:rPr>
          <w:szCs w:val="24"/>
        </w:rPr>
        <w:t xml:space="preserve">22 must use </w:t>
      </w:r>
      <w:hyperlink r:id="rId31" w:history="1">
        <w:r>
          <w:rPr>
            <w:rStyle w:val="highlightany"/>
            <w:color w:val="0000FF"/>
            <w:szCs w:val="24"/>
            <w:u w:val="single" w:color="0000FF"/>
          </w:rPr>
          <w:t>version 4 of the SF-424 form</w:t>
        </w:r>
      </w:hyperlink>
      <w:r>
        <w:rPr>
          <w:szCs w:val="24"/>
        </w:rPr>
        <w:t xml:space="preserve"> that contains the UEI number in place of the DUNS. After April 1, the DOI will no longer be able to accept applications submitted usi</w:t>
      </w:r>
      <w:r>
        <w:rPr>
          <w:szCs w:val="24"/>
        </w:rPr>
        <w:t>ng the SF-424 version 3 (or earlier versions) containing a DUNS number.</w:t>
      </w:r>
    </w:p>
    <w:p w14:paraId="2B357936" w14:textId="77777777" w:rsidR="00957E69" w:rsidRDefault="001B034F" w:rsidP="00470374">
      <w:pPr>
        <w:pStyle w:val="highlightanyParagraph"/>
        <w:numPr>
          <w:ilvl w:val="0"/>
          <w:numId w:val="27"/>
        </w:numPr>
        <w:spacing w:before="20" w:after="20"/>
        <w:rPr>
          <w:szCs w:val="24"/>
        </w:rPr>
      </w:pPr>
      <w:r>
        <w:rPr>
          <w:szCs w:val="24"/>
        </w:rPr>
        <w:t xml:space="preserve">For applications submitted on or before March 31, 2022, applications shall be submitted using </w:t>
      </w:r>
      <w:hyperlink r:id="rId32" w:history="1">
        <w:r>
          <w:rPr>
            <w:rStyle w:val="highlightany"/>
            <w:color w:val="0000FF"/>
            <w:szCs w:val="24"/>
            <w:u w:val="single" w:color="0000FF"/>
          </w:rPr>
          <w:t>version 3 of the SF-424 form</w:t>
        </w:r>
      </w:hyperlink>
      <w:r>
        <w:rPr>
          <w:szCs w:val="24"/>
        </w:rPr>
        <w:t>, unless a different version is specifically identif</w:t>
      </w:r>
      <w:r>
        <w:rPr>
          <w:szCs w:val="24"/>
        </w:rPr>
        <w:t>ied within the announcement.</w:t>
      </w:r>
    </w:p>
    <w:p w14:paraId="3D77DEE4" w14:textId="77777777" w:rsidR="00957E69" w:rsidRDefault="001B034F" w:rsidP="00470374">
      <w:pPr>
        <w:pStyle w:val="highlightanyParagraph"/>
        <w:numPr>
          <w:ilvl w:val="0"/>
          <w:numId w:val="27"/>
        </w:numPr>
        <w:spacing w:before="20" w:after="150"/>
        <w:rPr>
          <w:szCs w:val="24"/>
        </w:rPr>
      </w:pPr>
      <w:r>
        <w:rPr>
          <w:szCs w:val="24"/>
        </w:rPr>
        <w:t>Please note that any applications submitted using the version 3 of the SF-424 form containing a DUNS number must be received and accepted by the DOI no later than March 31, 2022.</w:t>
      </w:r>
    </w:p>
    <w:p w14:paraId="3AAEA0BD" w14:textId="77777777" w:rsidR="00957E69" w:rsidRDefault="001B034F" w:rsidP="00470374">
      <w:pPr>
        <w:pStyle w:val="highlightanyParagraph"/>
        <w:spacing w:after="140"/>
        <w:rPr>
          <w:szCs w:val="24"/>
        </w:rPr>
      </w:pPr>
      <w:r>
        <w:rPr>
          <w:szCs w:val="24"/>
        </w:rPr>
        <w:br/>
        <w:t>Please direct any questions or concerns to your</w:t>
      </w:r>
      <w:r>
        <w:rPr>
          <w:szCs w:val="24"/>
        </w:rPr>
        <w:t xml:space="preserve"> Bureau Awarding Office.</w:t>
      </w:r>
      <w:r>
        <w:rPr>
          <w:szCs w:val="24"/>
        </w:rPr>
        <w:br/>
        <w:t> </w:t>
      </w:r>
    </w:p>
    <w:p w14:paraId="585954F7" w14:textId="77777777" w:rsidR="00957E69" w:rsidRDefault="001B034F">
      <w:pPr>
        <w:pStyle w:val="h2Heading2"/>
        <w:keepNext w:val="0"/>
        <w:spacing w:before="0" w:after="199"/>
        <w:ind w:left="45" w:right="45"/>
        <w:outlineLvl w:val="9"/>
      </w:pPr>
      <w:bookmarkStart w:id="14" w:name="_Toc256000014"/>
      <w:r>
        <w:rPr>
          <w:iCs w:val="0"/>
          <w:color w:val="000000"/>
          <w:shd w:val="clear" w:color="auto" w:fill="auto"/>
        </w:rPr>
        <w:t>D1. Address to Request Application Package</w:t>
      </w:r>
      <w:bookmarkEnd w:id="14"/>
    </w:p>
    <w:p w14:paraId="761D6D8E" w14:textId="77777777" w:rsidR="00957E69" w:rsidRDefault="001B034F" w:rsidP="00470374">
      <w:pPr>
        <w:spacing w:before="20" w:after="20"/>
        <w:rPr>
          <w:vanish/>
        </w:rPr>
      </w:pPr>
      <w:r>
        <w:rPr>
          <w:vanish/>
          <w:color w:val="009745"/>
        </w:rPr>
        <w:t>In the following text field,specify if applicants must go elsewhere to complete all documentation requirements, such as an Internet address where additional materials are available.  </w:t>
      </w:r>
    </w:p>
    <w:p w14:paraId="6200DB04" w14:textId="77777777" w:rsidR="00957E69" w:rsidRDefault="001B034F" w:rsidP="00470374">
      <w:pPr>
        <w:pStyle w:val="highlightanyParagraph"/>
        <w:spacing w:after="140"/>
        <w:rPr>
          <w:szCs w:val="24"/>
        </w:rPr>
      </w:pPr>
      <w:r>
        <w:rPr>
          <w:rStyle w:val="highlightany"/>
          <w:b/>
          <w:bCs/>
          <w:szCs w:val="24"/>
          <w:u w:val="single"/>
        </w:rPr>
        <w:t>El</w:t>
      </w:r>
      <w:r>
        <w:rPr>
          <w:rStyle w:val="highlightany"/>
          <w:b/>
          <w:bCs/>
          <w:szCs w:val="24"/>
          <w:u w:val="single"/>
        </w:rPr>
        <w:t>ectronic Application Requirement:</w:t>
      </w:r>
    </w:p>
    <w:p w14:paraId="55DF2129" w14:textId="77777777" w:rsidR="00957E69" w:rsidRDefault="001B034F" w:rsidP="00470374">
      <w:pPr>
        <w:pStyle w:val="highlightanyParagraph"/>
        <w:spacing w:after="140"/>
        <w:rPr>
          <w:szCs w:val="24"/>
        </w:rPr>
      </w:pPr>
      <w:r>
        <w:rPr>
          <w:rStyle w:val="highlightany"/>
          <w:b/>
          <w:bCs/>
          <w:szCs w:val="24"/>
        </w:rPr>
        <w:t xml:space="preserve">For the FY2024 funding cycle all proposals shall be submitted electronically via Grants.gov (http://www.grants.gov). Hard/paper submissions will NOT be accepted. Electronic copies submitted via e-mail will NOT be accepted under any circumstances. </w:t>
      </w:r>
      <w:r>
        <w:rPr>
          <w:szCs w:val="24"/>
        </w:rPr>
        <w:t>All propo</w:t>
      </w:r>
      <w:r>
        <w:rPr>
          <w:szCs w:val="24"/>
        </w:rPr>
        <w:t>sals must be submitted electronically through Grants.gov on or before:</w:t>
      </w:r>
    </w:p>
    <w:p w14:paraId="6C0813A2" w14:textId="77777777" w:rsidR="00957E69" w:rsidRDefault="001B034F" w:rsidP="00470374">
      <w:pPr>
        <w:pStyle w:val="highlightanyParagraph"/>
        <w:spacing w:after="140"/>
        <w:rPr>
          <w:szCs w:val="24"/>
        </w:rPr>
      </w:pPr>
      <w:r>
        <w:rPr>
          <w:rStyle w:val="highlightany"/>
          <w:b/>
          <w:bCs/>
          <w:szCs w:val="24"/>
        </w:rPr>
        <w:t>May 24, 2023, at 6 pm, Eastern Daylight Time</w:t>
      </w:r>
    </w:p>
    <w:p w14:paraId="0CE623B8" w14:textId="77777777" w:rsidR="00957E69" w:rsidRDefault="001B034F" w:rsidP="00470374">
      <w:pPr>
        <w:pStyle w:val="highlightanyParagraph"/>
        <w:spacing w:after="140"/>
        <w:rPr>
          <w:szCs w:val="24"/>
        </w:rPr>
      </w:pPr>
      <w:r>
        <w:rPr>
          <w:szCs w:val="24"/>
        </w:rPr>
        <w:br/>
      </w:r>
      <w:r>
        <w:rPr>
          <w:rStyle w:val="highlightany"/>
          <w:b/>
          <w:bCs/>
          <w:szCs w:val="24"/>
        </w:rPr>
        <w:t>Please be aware that the electronic submission process requires first time users to register using an e- Authentication process. This regis</w:t>
      </w:r>
      <w:r>
        <w:rPr>
          <w:rStyle w:val="highlightany"/>
          <w:b/>
          <w:bCs/>
          <w:szCs w:val="24"/>
        </w:rPr>
        <w:t xml:space="preserve">tration process can be somewhat complex and can take up to 3 weeks to complete. Be advised that it is virtually impossible to begin the process of electronic submission for the first time if you start just a few days before the due date. If you are from a </w:t>
      </w:r>
      <w:r>
        <w:rPr>
          <w:rStyle w:val="highlightany"/>
          <w:b/>
          <w:bCs/>
          <w:szCs w:val="24"/>
        </w:rPr>
        <w:t>university, contact your Office of Sponsored Programs. They may already have completed the registration process and should work with you to submit the application.</w:t>
      </w:r>
      <w:r>
        <w:rPr>
          <w:rStyle w:val="highlightany"/>
          <w:b/>
          <w:bCs/>
          <w:szCs w:val="24"/>
        </w:rPr>
        <w:br/>
      </w:r>
      <w:r>
        <w:rPr>
          <w:rStyle w:val="highlightany"/>
          <w:b/>
          <w:bCs/>
          <w:szCs w:val="24"/>
        </w:rPr>
        <w:br/>
      </w:r>
      <w:r>
        <w:rPr>
          <w:szCs w:val="24"/>
        </w:rPr>
        <w:t>If you have any questions or problems with the registration process, or the completion of t</w:t>
      </w:r>
      <w:r>
        <w:rPr>
          <w:szCs w:val="24"/>
        </w:rPr>
        <w:t>he application package, please contact the grants.gov help desk at 1-800-518-4726 or </w:t>
      </w:r>
      <w:hyperlink r:id="rId33" w:history="1">
        <w:r>
          <w:rPr>
            <w:rStyle w:val="highlightany"/>
            <w:color w:val="0000FF"/>
            <w:szCs w:val="24"/>
            <w:u w:val="single" w:color="0000FF"/>
          </w:rPr>
          <w:t>support@grants.gov</w:t>
        </w:r>
      </w:hyperlink>
      <w:r>
        <w:rPr>
          <w:szCs w:val="24"/>
        </w:rPr>
        <w:t>.</w:t>
      </w:r>
      <w:r>
        <w:rPr>
          <w:szCs w:val="24"/>
        </w:rPr>
        <w:br/>
      </w:r>
      <w:r>
        <w:rPr>
          <w:szCs w:val="24"/>
        </w:rPr>
        <w:br/>
        <w:t>Briefly, when you submit a grant application package to Grants.gov, you will receive a confirmation screen a</w:t>
      </w:r>
      <w:r>
        <w:rPr>
          <w:szCs w:val="24"/>
        </w:rPr>
        <w:t>s well as three additional emails over two business days from Grants.gov informing you of your application processing status:</w:t>
      </w:r>
    </w:p>
    <w:p w14:paraId="73F4F2AD" w14:textId="77777777" w:rsidR="00957E69" w:rsidRDefault="001B034F" w:rsidP="00470374">
      <w:pPr>
        <w:pStyle w:val="highlightanyParagraph"/>
        <w:spacing w:after="140"/>
        <w:rPr>
          <w:szCs w:val="24"/>
        </w:rPr>
      </w:pPr>
      <w:r>
        <w:rPr>
          <w:szCs w:val="24"/>
        </w:rPr>
        <w:t> A.</w:t>
      </w:r>
    </w:p>
    <w:p w14:paraId="170ED6D4" w14:textId="77777777" w:rsidR="00957E69" w:rsidRDefault="001B034F" w:rsidP="00470374">
      <w:pPr>
        <w:pStyle w:val="highlightanyParagraph"/>
        <w:numPr>
          <w:ilvl w:val="0"/>
          <w:numId w:val="28"/>
        </w:numPr>
        <w:spacing w:after="20"/>
        <w:rPr>
          <w:szCs w:val="24"/>
        </w:rPr>
      </w:pPr>
      <w:r>
        <w:rPr>
          <w:szCs w:val="24"/>
        </w:rPr>
        <w:t>Confirmation screen</w:t>
      </w:r>
    </w:p>
    <w:p w14:paraId="2F543FC9" w14:textId="77777777" w:rsidR="00957E69" w:rsidRDefault="001B034F" w:rsidP="00470374">
      <w:pPr>
        <w:pStyle w:val="highlightanyParagraph"/>
        <w:numPr>
          <w:ilvl w:val="0"/>
          <w:numId w:val="28"/>
        </w:numPr>
        <w:spacing w:before="20" w:after="20"/>
        <w:rPr>
          <w:szCs w:val="24"/>
        </w:rPr>
      </w:pPr>
      <w:r>
        <w:rPr>
          <w:szCs w:val="24"/>
        </w:rPr>
        <w:t>Submission Receipt (with “Track My Application” link)</w:t>
      </w:r>
    </w:p>
    <w:p w14:paraId="4E1FC169" w14:textId="77777777" w:rsidR="00957E69" w:rsidRDefault="001B034F" w:rsidP="00470374">
      <w:pPr>
        <w:pStyle w:val="highlightanyParagraph"/>
        <w:numPr>
          <w:ilvl w:val="0"/>
          <w:numId w:val="28"/>
        </w:numPr>
        <w:spacing w:before="20" w:after="20"/>
        <w:rPr>
          <w:szCs w:val="24"/>
        </w:rPr>
      </w:pPr>
      <w:r>
        <w:rPr>
          <w:szCs w:val="24"/>
        </w:rPr>
        <w:lastRenderedPageBreak/>
        <w:t>Submission Validation (or Rejection with Errors)</w:t>
      </w:r>
    </w:p>
    <w:p w14:paraId="334BA63F" w14:textId="77777777" w:rsidR="00957E69" w:rsidRDefault="001B034F" w:rsidP="00470374">
      <w:pPr>
        <w:pStyle w:val="highlightanyParagraph"/>
        <w:numPr>
          <w:ilvl w:val="0"/>
          <w:numId w:val="28"/>
        </w:numPr>
        <w:spacing w:before="20" w:after="150"/>
        <w:rPr>
          <w:szCs w:val="24"/>
        </w:rPr>
      </w:pPr>
      <w:r>
        <w:rPr>
          <w:szCs w:val="24"/>
        </w:rPr>
        <w:t>Age</w:t>
      </w:r>
      <w:r>
        <w:rPr>
          <w:szCs w:val="24"/>
        </w:rPr>
        <w:t>ncy Retrieval</w:t>
      </w:r>
    </w:p>
    <w:p w14:paraId="78359533" w14:textId="77777777" w:rsidR="00957E69" w:rsidRDefault="001B034F" w:rsidP="00470374">
      <w:pPr>
        <w:pStyle w:val="highlightanyParagraph"/>
        <w:spacing w:after="140"/>
        <w:rPr>
          <w:szCs w:val="24"/>
        </w:rPr>
      </w:pPr>
      <w:r>
        <w:rPr>
          <w:szCs w:val="24"/>
        </w:rPr>
        <w:br/>
      </w:r>
      <w:r>
        <w:rPr>
          <w:rStyle w:val="highlightany"/>
          <w:szCs w:val="24"/>
          <w:u w:val="single"/>
        </w:rPr>
        <w:t>CONFIRMATION: Submission Confirmation Screen.</w:t>
      </w:r>
      <w:r>
        <w:rPr>
          <w:rStyle w:val="highlightany"/>
          <w:szCs w:val="24"/>
          <w:u w:val="single"/>
        </w:rPr>
        <w:br/>
      </w:r>
      <w:r>
        <w:rPr>
          <w:szCs w:val="24"/>
        </w:rPr>
        <w:t>After you submit your grant application package, a confirmation screen will appear on your computer screen. This screen confirms that you have submitted an application to Grants.gov.</w:t>
      </w:r>
      <w:r>
        <w:rPr>
          <w:szCs w:val="24"/>
        </w:rPr>
        <w:br/>
      </w:r>
      <w:r>
        <w:rPr>
          <w:szCs w:val="24"/>
        </w:rPr>
        <w:br/>
      </w:r>
      <w:r>
        <w:rPr>
          <w:rStyle w:val="highlightany"/>
          <w:szCs w:val="24"/>
          <w:u w:val="single"/>
        </w:rPr>
        <w:t>NOTIFICATIO</w:t>
      </w:r>
      <w:r>
        <w:rPr>
          <w:rStyle w:val="highlightany"/>
          <w:szCs w:val="24"/>
          <w:u w:val="single"/>
        </w:rPr>
        <w:t>N 1: Submission Receipt Email</w:t>
      </w:r>
      <w:r>
        <w:rPr>
          <w:rStyle w:val="highlightany"/>
          <w:szCs w:val="24"/>
          <w:u w:val="single"/>
        </w:rPr>
        <w:br/>
      </w:r>
      <w:r>
        <w:rPr>
          <w:szCs w:val="24"/>
        </w:rPr>
        <w:t>Within two business days after your application package has been received by the Grants.gov system, you will receive a submission receipt email which indicates that your submission has entered the Grants.gov system and is read</w:t>
      </w:r>
      <w:r>
        <w:rPr>
          <w:szCs w:val="24"/>
        </w:rPr>
        <w:t>y for validation. This email also contains a tracking number for use while tracking the status of the submission as well as a “Track My Application” link, to use to see the progress of your submission.</w:t>
      </w:r>
      <w:r>
        <w:rPr>
          <w:szCs w:val="24"/>
        </w:rPr>
        <w:br/>
      </w:r>
      <w:r>
        <w:rPr>
          <w:szCs w:val="24"/>
        </w:rPr>
        <w:br/>
      </w:r>
      <w:r>
        <w:rPr>
          <w:rStyle w:val="highlightany"/>
          <w:b/>
          <w:bCs/>
          <w:szCs w:val="24"/>
          <w:u w:val="single"/>
        </w:rPr>
        <w:t>NOTIFICATION 2: Submission Validation Receipt Email –</w:t>
      </w:r>
      <w:r>
        <w:rPr>
          <w:rStyle w:val="highlightany"/>
          <w:b/>
          <w:bCs/>
          <w:szCs w:val="24"/>
          <w:u w:val="single"/>
        </w:rPr>
        <w:t xml:space="preserve"> This is the important one!</w:t>
      </w:r>
      <w:r>
        <w:rPr>
          <w:rStyle w:val="highlightany"/>
          <w:b/>
          <w:bCs/>
          <w:szCs w:val="24"/>
          <w:u w:val="single"/>
        </w:rPr>
        <w:br/>
      </w:r>
      <w:r>
        <w:rPr>
          <w:szCs w:val="24"/>
        </w:rPr>
        <w:t>After you receive the submission receipt email, the next email you will receive will be a message validating or rejecting your submitted application package with errors. The Grants.gov system is designed to check for technical e</w:t>
      </w:r>
      <w:r>
        <w:rPr>
          <w:szCs w:val="24"/>
        </w:rPr>
        <w:t xml:space="preserve">rrors within the submitted application package. Grants.gov does not review application content for award determination. Grants.gov will not post the application if there are errors. </w:t>
      </w:r>
      <w:r>
        <w:rPr>
          <w:rStyle w:val="highlightany"/>
          <w:b/>
          <w:bCs/>
          <w:szCs w:val="24"/>
        </w:rPr>
        <w:t>Failure to correct errors and submit by the date and time for closing shal</w:t>
      </w:r>
      <w:r>
        <w:rPr>
          <w:rStyle w:val="highlightany"/>
          <w:b/>
          <w:bCs/>
          <w:szCs w:val="24"/>
        </w:rPr>
        <w:t>l not be a reason for accepting a late application.</w:t>
      </w:r>
      <w:r>
        <w:rPr>
          <w:rStyle w:val="highlightany"/>
          <w:b/>
          <w:bCs/>
          <w:szCs w:val="24"/>
        </w:rPr>
        <w:br/>
      </w:r>
      <w:r>
        <w:rPr>
          <w:rStyle w:val="highlightany"/>
          <w:b/>
          <w:bCs/>
          <w:szCs w:val="24"/>
        </w:rPr>
        <w:br/>
      </w:r>
      <w:r>
        <w:rPr>
          <w:rStyle w:val="highlightany"/>
          <w:szCs w:val="24"/>
          <w:u w:val="single"/>
        </w:rPr>
        <w:t>NOTIFICATION 3: Grantor Agency Retrieval Email</w:t>
      </w:r>
      <w:r>
        <w:rPr>
          <w:rStyle w:val="highlightany"/>
          <w:szCs w:val="24"/>
          <w:u w:val="single"/>
        </w:rPr>
        <w:br/>
      </w:r>
      <w:r>
        <w:rPr>
          <w:szCs w:val="24"/>
        </w:rPr>
        <w:t>Once your application package has passed validation it is delivered to the grantor for award determination and further approval. After the grantor has confi</w:t>
      </w:r>
      <w:r>
        <w:rPr>
          <w:szCs w:val="24"/>
        </w:rPr>
        <w:t xml:space="preserve">rmed receipt of your application, you will be sent a </w:t>
      </w:r>
      <w:r>
        <w:rPr>
          <w:rStyle w:val="highlightany"/>
          <w:b/>
          <w:bCs/>
          <w:szCs w:val="24"/>
        </w:rPr>
        <w:t xml:space="preserve">third and final email </w:t>
      </w:r>
      <w:r>
        <w:rPr>
          <w:szCs w:val="24"/>
        </w:rPr>
        <w:t>from Grants.gov. The grantor may also assign your application package an agency specific tracking number for use within their internal system. IF YOU HAVE NOT RECEIVED THIS E-MAIL W</w:t>
      </w:r>
      <w:r>
        <w:rPr>
          <w:szCs w:val="24"/>
        </w:rPr>
        <w:t>ITHIN FOUR DAYS OF THE CLOSING DATE, PLEASE CONTACT THE CONTRACTING OFFICER.</w:t>
      </w:r>
      <w:r>
        <w:rPr>
          <w:szCs w:val="24"/>
        </w:rPr>
        <w:br/>
      </w:r>
      <w:r>
        <w:rPr>
          <w:szCs w:val="24"/>
        </w:rPr>
        <w:br/>
        <w:t xml:space="preserve">If you need help entering your proposal, you can reach the </w:t>
      </w:r>
      <w:r>
        <w:rPr>
          <w:rStyle w:val="highlightany"/>
          <w:b/>
          <w:bCs/>
          <w:szCs w:val="24"/>
        </w:rPr>
        <w:t xml:space="preserve">Grants.gov Contact Center at: </w:t>
      </w:r>
      <w:r>
        <w:rPr>
          <w:szCs w:val="24"/>
        </w:rPr>
        <w:t>1-800-518-4726. Their hours of operation are Monday-Friday, 7:00 a.m. to 9:00 p.m., Easte</w:t>
      </w:r>
      <w:r>
        <w:rPr>
          <w:szCs w:val="24"/>
        </w:rPr>
        <w:t xml:space="preserve">rn Time, and they are closed on </w:t>
      </w:r>
      <w:r>
        <w:rPr>
          <w:rStyle w:val="highlightany"/>
          <w:szCs w:val="24"/>
          <w:u w:val="single"/>
        </w:rPr>
        <w:t>Federal Holidays</w:t>
      </w:r>
      <w:r>
        <w:rPr>
          <w:szCs w:val="24"/>
        </w:rPr>
        <w:t>.</w:t>
      </w:r>
      <w:r>
        <w:rPr>
          <w:szCs w:val="24"/>
        </w:rPr>
        <w:br/>
      </w:r>
      <w:r>
        <w:rPr>
          <w:szCs w:val="24"/>
        </w:rPr>
        <w:br/>
        <w:t>During the application period an applicant may submit a revised or corrected proposal through grants.gov. Include a cover letter as the first page of the proposal stating that the proposal is revised and i</w:t>
      </w:r>
      <w:r>
        <w:rPr>
          <w:szCs w:val="24"/>
        </w:rPr>
        <w:t xml:space="preserve">ndicating that the previous submittal is to be withdrawn from consideration. Such submissions must be completed by </w:t>
      </w:r>
      <w:r>
        <w:rPr>
          <w:rStyle w:val="highlightany"/>
          <w:b/>
          <w:bCs/>
          <w:szCs w:val="24"/>
        </w:rPr>
        <w:t>May 24, 2023 at 6:00 pm Eastern Daylight Time.</w:t>
      </w:r>
      <w:r>
        <w:rPr>
          <w:rStyle w:val="highlightany"/>
          <w:b/>
          <w:bCs/>
          <w:szCs w:val="24"/>
        </w:rPr>
        <w:br/>
      </w:r>
      <w:r>
        <w:rPr>
          <w:rStyle w:val="highlightany"/>
          <w:b/>
          <w:bCs/>
          <w:szCs w:val="24"/>
        </w:rPr>
        <w:br/>
      </w:r>
      <w:r>
        <w:rPr>
          <w:szCs w:val="24"/>
        </w:rPr>
        <w:t xml:space="preserve">See Section D2., Project Narrative, which describes requirements for the proposal and </w:t>
      </w:r>
      <w:r>
        <w:rPr>
          <w:szCs w:val="24"/>
        </w:rPr>
        <w:t>other application components.</w:t>
      </w:r>
      <w:r>
        <w:rPr>
          <w:szCs w:val="24"/>
        </w:rPr>
        <w:br/>
      </w:r>
      <w:r>
        <w:rPr>
          <w:szCs w:val="24"/>
        </w:rPr>
        <w:br/>
      </w:r>
      <w:r>
        <w:rPr>
          <w:rStyle w:val="highlightany"/>
          <w:b/>
          <w:bCs/>
          <w:szCs w:val="24"/>
        </w:rPr>
        <w:t xml:space="preserve">Please allow sufficient time for the proposal to be submitted electronically through Grants.gov and allow time for possible computer delays. Applicants are strongly advised not to wait until the last minute for submission. A </w:t>
      </w:r>
      <w:r>
        <w:rPr>
          <w:rStyle w:val="highlightany"/>
          <w:b/>
          <w:bCs/>
          <w:szCs w:val="24"/>
        </w:rPr>
        <w:t xml:space="preserve">proposal received after the closing date </w:t>
      </w:r>
      <w:r>
        <w:rPr>
          <w:rStyle w:val="highlightany"/>
          <w:b/>
          <w:bCs/>
          <w:szCs w:val="24"/>
        </w:rPr>
        <w:lastRenderedPageBreak/>
        <w:t>and time will NOT be considered for award. If the USGS determines that a proposal will not be considered for award due to lateness, the applicant will be notified immediately.</w:t>
      </w:r>
    </w:p>
    <w:p w14:paraId="3AA9CF52" w14:textId="77777777" w:rsidR="00957E69" w:rsidRDefault="001B034F" w:rsidP="00470374">
      <w:pPr>
        <w:pStyle w:val="Label"/>
        <w:spacing w:before="60" w:after="20"/>
      </w:pPr>
      <w:r>
        <w:t xml:space="preserve"> Program Website Link</w:t>
      </w:r>
    </w:p>
    <w:p w14:paraId="1F835821" w14:textId="77777777" w:rsidR="00957E69" w:rsidRDefault="001B034F" w:rsidP="00470374">
      <w:pPr>
        <w:pStyle w:val="highlight"/>
        <w:spacing w:before="20" w:after="20"/>
        <w:rPr>
          <w:szCs w:val="24"/>
        </w:rPr>
      </w:pPr>
      <w:r>
        <w:rPr>
          <w:szCs w:val="24"/>
        </w:rPr>
        <w:t>https://www.usgs.gov/programs/earthquake-hazards/science/external-grants</w:t>
      </w:r>
    </w:p>
    <w:p w14:paraId="0CD8AD94"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6F87B418" w14:textId="77777777" w:rsidR="00957E69" w:rsidRDefault="001B034F">
      <w:pPr>
        <w:pStyle w:val="h2Heading2"/>
        <w:keepNext w:val="0"/>
        <w:spacing w:before="199" w:after="199"/>
        <w:ind w:left="45" w:right="45"/>
        <w:outlineLvl w:val="9"/>
      </w:pPr>
      <w:bookmarkStart w:id="15" w:name="_Toc256000015"/>
      <w:r>
        <w:rPr>
          <w:iCs w:val="0"/>
          <w:color w:val="000000"/>
          <w:shd w:val="clear" w:color="auto" w:fill="auto"/>
        </w:rPr>
        <w:t>D2. Content and Form of Application Submission</w:t>
      </w:r>
      <w:bookmarkEnd w:id="15"/>
    </w:p>
    <w:p w14:paraId="4414F8CD"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SF-424, Application for Federal Assistance</w:t>
      </w:r>
    </w:p>
    <w:p w14:paraId="7399A284"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submit the appropriate Standard Form (SF)-424, Application for Federal A</w:t>
      </w:r>
      <w:r>
        <w:rPr>
          <w:rFonts w:ascii="Times New Roman" w:eastAsia="Times New Roman" w:hAnsi="Times New Roman" w:cs="Times New Roman"/>
          <w:sz w:val="24"/>
          <w:szCs w:val="24"/>
        </w:rPr>
        <w:t>ssistance.  The required application forms are available with this announcement on Grants.gov.  The SF-424, Application for Federal Assistance must be complete, signed, and dated. Do not include any proprietary or personally identifiable information.  Plea</w:t>
      </w:r>
      <w:r>
        <w:rPr>
          <w:rFonts w:ascii="Times New Roman" w:eastAsia="Times New Roman" w:hAnsi="Times New Roman" w:cs="Times New Roman"/>
          <w:sz w:val="24"/>
          <w:szCs w:val="24"/>
        </w:rPr>
        <w:t>se note: Enter only the amount requested from this Federal program in the “Federal” funding box on the SF-424 Application form.  Include any other Federal sources of funding in the “Other” box and provide details on those Federal source(s) and funding amou</w:t>
      </w:r>
      <w:r>
        <w:rPr>
          <w:rFonts w:ascii="Times New Roman" w:eastAsia="Times New Roman" w:hAnsi="Times New Roman" w:cs="Times New Roman"/>
          <w:sz w:val="24"/>
          <w:szCs w:val="24"/>
        </w:rPr>
        <w:t>nt(s) in the required Budget Narrative (see the “Budget Narrative” section below).</w:t>
      </w:r>
    </w:p>
    <w:p w14:paraId="67FC9E2F" w14:textId="77777777" w:rsidR="00957E69" w:rsidRDefault="001B034F" w:rsidP="00470374">
      <w:pPr>
        <w:spacing w:before="20" w:after="20"/>
        <w:rPr>
          <w:vanish/>
        </w:rPr>
      </w:pPr>
      <w:r>
        <w:rPr>
          <w:vanish/>
          <w:color w:val="009745"/>
        </w:rPr>
        <w:t xml:space="preserve">Authors may need to provide additional applicant instructions if multiple SF 424 forms are included in the application kit for different applicant types. </w:t>
      </w:r>
      <w:r>
        <w:rPr>
          <w:vanish/>
          <w:color w:val="009745"/>
        </w:rPr>
        <w:t> Instructions should be entered in the program specific language in this section to require the appropriate SF 424 type required to be submitted by applicant type.</w:t>
      </w:r>
    </w:p>
    <w:p w14:paraId="614D5135" w14:textId="77777777" w:rsidR="00957E69" w:rsidRDefault="001B034F" w:rsidP="00470374">
      <w:pPr>
        <w:spacing w:before="20" w:after="20"/>
        <w:rPr>
          <w:vanish/>
        </w:rPr>
      </w:pPr>
      <w:r>
        <w:rPr>
          <w:vanish/>
          <w:color w:val="009745"/>
        </w:rPr>
        <w:t>The following header will display if this checkbox is selected: </w:t>
      </w:r>
      <w:r>
        <w:rPr>
          <w:b/>
          <w:bCs/>
          <w:vanish/>
          <w:color w:val="009745"/>
        </w:rPr>
        <w:t>SF 424B, Assurances for Non-</w:t>
      </w:r>
      <w:r>
        <w:rPr>
          <w:b/>
          <w:bCs/>
          <w:vanish/>
          <w:color w:val="009745"/>
        </w:rPr>
        <w:t>Construction Programs </w:t>
      </w:r>
    </w:p>
    <w:p w14:paraId="6E3139D0" w14:textId="77777777" w:rsidR="00957E69" w:rsidRDefault="001B034F" w:rsidP="00470374">
      <w:pPr>
        <w:spacing w:before="20" w:after="20"/>
        <w:rPr>
          <w:vanish/>
        </w:rPr>
      </w:pPr>
      <w:r>
        <w:rPr>
          <w:vanish/>
          <w:color w:val="009745"/>
        </w:rPr>
        <w:t>The following header will display if this checkbox is selected: </w:t>
      </w:r>
      <w:r>
        <w:rPr>
          <w:b/>
          <w:bCs/>
          <w:vanish/>
          <w:color w:val="009745"/>
        </w:rPr>
        <w:t>SF 424D, Assurances for Construction Programs</w:t>
      </w:r>
    </w:p>
    <w:p w14:paraId="7183DF6A" w14:textId="77777777" w:rsidR="00957E69" w:rsidRDefault="001B034F" w:rsidP="00470374">
      <w:pPr>
        <w:pStyle w:val="highlightanyParagraph"/>
        <w:spacing w:after="140"/>
        <w:rPr>
          <w:szCs w:val="24"/>
        </w:rPr>
      </w:pPr>
      <w:r>
        <w:rPr>
          <w:rStyle w:val="highlightany"/>
          <w:b/>
          <w:bCs/>
          <w:szCs w:val="24"/>
          <w:u w:val="single"/>
        </w:rPr>
        <w:t>Application Preparation Instructions:</w:t>
      </w:r>
      <w:r>
        <w:rPr>
          <w:rStyle w:val="highlightany"/>
          <w:b/>
          <w:bCs/>
          <w:szCs w:val="24"/>
          <w:u w:val="single"/>
        </w:rPr>
        <w:br/>
      </w:r>
      <w:r>
        <w:rPr>
          <w:rStyle w:val="highlightany"/>
          <w:b/>
          <w:bCs/>
          <w:szCs w:val="24"/>
          <w:u w:val="single"/>
        </w:rPr>
        <w:br/>
        <w:t>NOTE CHANGES FOR FY24! Proposal page limit is now *15* pages, maximum. See "IMPORTAN</w:t>
      </w:r>
      <w:r>
        <w:rPr>
          <w:rStyle w:val="highlightany"/>
          <w:b/>
          <w:bCs/>
          <w:szCs w:val="24"/>
          <w:u w:val="single"/>
        </w:rPr>
        <w:t>T" below for new and updated details.</w:t>
      </w:r>
      <w:r>
        <w:rPr>
          <w:rStyle w:val="highlightany"/>
          <w:b/>
          <w:bCs/>
          <w:szCs w:val="24"/>
          <w:u w:val="single"/>
        </w:rPr>
        <w:br/>
      </w:r>
      <w:r>
        <w:rPr>
          <w:rStyle w:val="highlightany"/>
          <w:b/>
          <w:bCs/>
          <w:szCs w:val="24"/>
          <w:u w:val="single"/>
        </w:rPr>
        <w:br/>
      </w:r>
      <w:r>
        <w:rPr>
          <w:szCs w:val="24"/>
        </w:rPr>
        <w:t xml:space="preserve">Your electronic submission shall consist of forms SF-424, SF-424A, and SF-424B, plus the items described below. No additional documents or materials may be submitted. </w:t>
      </w:r>
      <w:r>
        <w:rPr>
          <w:rStyle w:val="highlightany"/>
          <w:b/>
          <w:bCs/>
          <w:szCs w:val="24"/>
        </w:rPr>
        <w:t>Failure to comply with the required application co</w:t>
      </w:r>
      <w:r>
        <w:rPr>
          <w:rStyle w:val="highlightany"/>
          <w:b/>
          <w:bCs/>
          <w:szCs w:val="24"/>
        </w:rPr>
        <w:t>mponents listed below may result in the proposal being rejected.</w:t>
      </w:r>
      <w:r>
        <w:rPr>
          <w:szCs w:val="24"/>
        </w:rPr>
        <w:t xml:space="preserve"> The USGS cannot request or receive supplemental or replacement application components after the closing date/time under this Program Announcement.</w:t>
      </w:r>
      <w:r>
        <w:rPr>
          <w:szCs w:val="24"/>
        </w:rPr>
        <w:br/>
      </w:r>
      <w:r>
        <w:rPr>
          <w:szCs w:val="24"/>
        </w:rPr>
        <w:br/>
        <w:t>In the Grants.gov forms, floating your mous</w:t>
      </w:r>
      <w:r>
        <w:rPr>
          <w:szCs w:val="24"/>
        </w:rPr>
        <w:t>e over a field will provide instructions for completing that field. You can also click on the Check Package for Errors button to check the entire application for validation errors (incomplete fields, etc.)</w:t>
      </w:r>
      <w:r>
        <w:rPr>
          <w:szCs w:val="24"/>
        </w:rPr>
        <w:br/>
      </w:r>
      <w:r>
        <w:rPr>
          <w:szCs w:val="24"/>
        </w:rPr>
        <w:br/>
        <w:t>To view complete forms instructions, please visit</w:t>
      </w:r>
      <w:r>
        <w:rPr>
          <w:szCs w:val="24"/>
        </w:rPr>
        <w:t xml:space="preserve"> the Grants.gov Forms Repository at </w:t>
      </w:r>
      <w:hyperlink r:id="rId34" w:history="1">
        <w:r>
          <w:rPr>
            <w:rStyle w:val="highlightany"/>
            <w:color w:val="0000FF"/>
            <w:szCs w:val="24"/>
            <w:u w:val="single" w:color="0000FF"/>
          </w:rPr>
          <w:t>http://www.grants.gov/web/grants/forms.html</w:t>
        </w:r>
      </w:hyperlink>
      <w:r>
        <w:rPr>
          <w:rStyle w:val="highlightany"/>
          <w:color w:val="0000FF"/>
          <w:szCs w:val="24"/>
          <w:u w:val="single" w:color="0000FF"/>
        </w:rPr>
        <w:br/>
      </w:r>
      <w:r>
        <w:rPr>
          <w:rStyle w:val="highlightany"/>
          <w:color w:val="0000FF"/>
          <w:szCs w:val="24"/>
          <w:u w:val="single" w:color="0000FF"/>
        </w:rPr>
        <w:br/>
      </w:r>
      <w:r>
        <w:rPr>
          <w:rStyle w:val="highlightany"/>
          <w:b/>
          <w:bCs/>
          <w:szCs w:val="24"/>
          <w:u w:val="single"/>
        </w:rPr>
        <w:t>!!IMPORTANT!!:</w:t>
      </w:r>
      <w:r>
        <w:rPr>
          <w:rStyle w:val="highlightany"/>
          <w:b/>
          <w:bCs/>
          <w:szCs w:val="24"/>
        </w:rPr>
        <w:t xml:space="preserve"> Items as described below </w:t>
      </w:r>
      <w:r>
        <w:rPr>
          <w:rStyle w:val="highlightany"/>
          <w:b/>
          <w:bCs/>
          <w:szCs w:val="24"/>
          <w:u w:val="single"/>
        </w:rPr>
        <w:t>shall be combined into *ONE* (1) document</w:t>
      </w:r>
      <w:r>
        <w:rPr>
          <w:rStyle w:val="highlightany"/>
          <w:b/>
          <w:bCs/>
          <w:szCs w:val="24"/>
        </w:rPr>
        <w:t>, in the order noted below, and su</w:t>
      </w:r>
      <w:r>
        <w:rPr>
          <w:rStyle w:val="highlightany"/>
          <w:b/>
          <w:bCs/>
          <w:szCs w:val="24"/>
        </w:rPr>
        <w:t xml:space="preserve">bmitted through Grants.gov in either MS Word or PDF </w:t>
      </w:r>
      <w:r>
        <w:rPr>
          <w:rStyle w:val="highlightany"/>
          <w:b/>
          <w:bCs/>
          <w:szCs w:val="24"/>
        </w:rPr>
        <w:lastRenderedPageBreak/>
        <w:t>format.</w:t>
      </w:r>
      <w:r>
        <w:rPr>
          <w:szCs w:val="24"/>
        </w:rPr>
        <w:t xml:space="preserve"> </w:t>
      </w:r>
      <w:r>
        <w:rPr>
          <w:rStyle w:val="highlightany"/>
          <w:b/>
          <w:bCs/>
          <w:szCs w:val="24"/>
          <w:u w:val="single"/>
        </w:rPr>
        <w:t>The application</w:t>
      </w:r>
      <w:r>
        <w:rPr>
          <w:rStyle w:val="highlightany"/>
          <w:szCs w:val="24"/>
          <w:u w:val="single"/>
        </w:rPr>
        <w:t> </w:t>
      </w:r>
      <w:r>
        <w:rPr>
          <w:rStyle w:val="highlightany"/>
          <w:b/>
          <w:bCs/>
          <w:szCs w:val="24"/>
          <w:u w:val="single"/>
        </w:rPr>
        <w:t>shall not exceed 15 single-spaced pages</w:t>
      </w:r>
      <w:r>
        <w:rPr>
          <w:rStyle w:val="highlightany"/>
          <w:b/>
          <w:bCs/>
          <w:szCs w:val="24"/>
        </w:rPr>
        <w:t xml:space="preserve"> </w:t>
      </w:r>
      <w:r>
        <w:rPr>
          <w:szCs w:val="24"/>
        </w:rPr>
        <w:t>(including figures, tables, appendices, etc.), and the </w:t>
      </w:r>
      <w:r>
        <w:rPr>
          <w:rStyle w:val="highlightany"/>
          <w:b/>
          <w:bCs/>
          <w:szCs w:val="24"/>
        </w:rPr>
        <w:t xml:space="preserve">type size </w:t>
      </w:r>
      <w:r>
        <w:rPr>
          <w:rStyle w:val="highlightany"/>
          <w:b/>
          <w:bCs/>
          <w:szCs w:val="24"/>
          <w:u w:val="single"/>
        </w:rPr>
        <w:t>shall not be smaller than 11 point</w:t>
      </w:r>
      <w:r>
        <w:rPr>
          <w:szCs w:val="24"/>
        </w:rPr>
        <w:t xml:space="preserve">. All pages of the application shall be numbered. All text, figures, and tables shall be sized to fit on 8½" by 11" paper. </w:t>
      </w:r>
      <w:r>
        <w:rPr>
          <w:rStyle w:val="highlightany"/>
          <w:b/>
          <w:bCs/>
          <w:szCs w:val="24"/>
        </w:rPr>
        <w:t xml:space="preserve">The SF forms, data management plan, references, curriculum vitae, letters of support from institutions outside the USGS and any USGS </w:t>
      </w:r>
      <w:r>
        <w:rPr>
          <w:rStyle w:val="highlightany"/>
          <w:b/>
          <w:bCs/>
          <w:szCs w:val="24"/>
        </w:rPr>
        <w:t>scientist collaboration/commitment statement form do NOT count toward the 15-page limit.</w:t>
      </w:r>
      <w:r>
        <w:rPr>
          <w:szCs w:val="24"/>
        </w:rPr>
        <w:t xml:space="preserve"> The application shall be in color as needed for review by peer review panel members.</w:t>
      </w:r>
    </w:p>
    <w:p w14:paraId="6B1ED347" w14:textId="77777777" w:rsidR="00957E69" w:rsidRDefault="001B034F" w:rsidP="00470374">
      <w:pPr>
        <w:pStyle w:val="Label"/>
        <w:spacing w:before="60" w:after="20"/>
      </w:pPr>
      <w:r>
        <w:t>Project Narrative</w:t>
      </w:r>
    </w:p>
    <w:p w14:paraId="189C28AE" w14:textId="77777777" w:rsidR="00957E69" w:rsidRDefault="001B034F" w:rsidP="00470374">
      <w:pPr>
        <w:pStyle w:val="div0"/>
        <w:keepLines w:val="0"/>
        <w:spacing w:before="96" w:after="96"/>
        <w:rPr>
          <w:color w:val="009745"/>
        </w:rPr>
      </w:pPr>
      <w:r>
        <w:rPr>
          <w:color w:val="009745"/>
        </w:rPr>
        <w:t xml:space="preserve">In this section provide the description of the program-specific </w:t>
      </w:r>
      <w:r>
        <w:rPr>
          <w:color w:val="009745"/>
        </w:rPr>
        <w:t xml:space="preserve">requirements for project narrative statements. Indicate any restrictions on length, as applicable. Application narrative requirements may include: </w:t>
      </w:r>
    </w:p>
    <w:p w14:paraId="39D1659E"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Project title;</w:t>
      </w:r>
    </w:p>
    <w:p w14:paraId="31342009"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Description of entity(ies) undertaking the project;</w:t>
      </w:r>
    </w:p>
    <w:p w14:paraId="37BDD79B"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Statement of need;</w:t>
      </w:r>
    </w:p>
    <w:p w14:paraId="09052316"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Goals and objectives;</w:t>
      </w:r>
    </w:p>
    <w:p w14:paraId="251FCB4D"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Activities;</w:t>
      </w:r>
    </w:p>
    <w:p w14:paraId="4FC70750"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Methods;</w:t>
      </w:r>
    </w:p>
    <w:p w14:paraId="217066B3" w14:textId="77777777" w:rsidR="00957E69" w:rsidRDefault="001B034F" w:rsidP="00470374">
      <w:pPr>
        <w:pStyle w:val="Hidden"/>
        <w:keepLines w:val="0"/>
        <w:numPr>
          <w:ilvl w:val="0"/>
          <w:numId w:val="29"/>
        </w:numPr>
        <w:spacing w:before="96" w:after="96"/>
        <w:rPr>
          <w:rFonts w:cs="Times New Roman"/>
          <w:color w:val="009745"/>
        </w:rPr>
      </w:pPr>
      <w:r>
        <w:rPr>
          <w:rFonts w:cs="Times New Roman"/>
          <w:color w:val="009745"/>
        </w:rPr>
        <w:t>Timetable or milestones;</w:t>
      </w:r>
    </w:p>
    <w:p w14:paraId="7020A44F" w14:textId="77777777" w:rsidR="00957E69" w:rsidRDefault="001B034F" w:rsidP="00470374">
      <w:pPr>
        <w:pStyle w:val="Hidden"/>
        <w:keepLines w:val="0"/>
        <w:spacing w:before="96" w:after="96"/>
        <w:rPr>
          <w:rFonts w:cs="Times New Roman"/>
          <w:color w:val="009745"/>
        </w:rPr>
      </w:pPr>
      <w:r>
        <w:rPr>
          <w:rFonts w:cs="Times New Roman"/>
          <w:color w:val="009745"/>
        </w:rPr>
        <w:t xml:space="preserve">  </w:t>
      </w:r>
    </w:p>
    <w:p w14:paraId="2F4C6F40" w14:textId="77777777" w:rsidR="00957E69" w:rsidRDefault="001B034F" w:rsidP="00470374">
      <w:pPr>
        <w:pStyle w:val="Hidden"/>
        <w:keepLines w:val="0"/>
        <w:numPr>
          <w:ilvl w:val="0"/>
          <w:numId w:val="30"/>
        </w:numPr>
        <w:spacing w:before="96" w:after="96"/>
        <w:rPr>
          <w:rFonts w:cs="Times New Roman"/>
          <w:color w:val="009745"/>
        </w:rPr>
      </w:pPr>
      <w:r>
        <w:rPr>
          <w:rFonts w:cs="Times New Roman"/>
          <w:color w:val="009745"/>
        </w:rPr>
        <w:t>Description of stakeholder coordination or involvement;</w:t>
      </w:r>
    </w:p>
    <w:p w14:paraId="2254AA2A" w14:textId="77777777" w:rsidR="00957E69" w:rsidRDefault="001B034F" w:rsidP="00470374">
      <w:pPr>
        <w:pStyle w:val="Hidden"/>
        <w:keepLines w:val="0"/>
        <w:numPr>
          <w:ilvl w:val="0"/>
          <w:numId w:val="30"/>
        </w:numPr>
        <w:spacing w:before="96" w:after="96"/>
        <w:ind w:right="495"/>
        <w:rPr>
          <w:rFonts w:cs="Times New Roman"/>
          <w:color w:val="009745"/>
        </w:rPr>
      </w:pPr>
      <w:r>
        <w:rPr>
          <w:rFonts w:cs="Times New Roman"/>
          <w:color w:val="009745"/>
        </w:rPr>
        <w:t>Required project monitoring and evaluation plan, including description of assessment tools to be used;</w:t>
      </w:r>
    </w:p>
    <w:p w14:paraId="2510E4C7" w14:textId="77777777" w:rsidR="00957E69" w:rsidRDefault="001B034F" w:rsidP="00470374">
      <w:pPr>
        <w:pStyle w:val="Hidden"/>
        <w:keepLines w:val="0"/>
        <w:numPr>
          <w:ilvl w:val="0"/>
          <w:numId w:val="30"/>
        </w:numPr>
        <w:spacing w:before="96" w:after="96"/>
        <w:rPr>
          <w:rFonts w:cs="Times New Roman"/>
          <w:color w:val="009745"/>
        </w:rPr>
      </w:pPr>
      <w:r>
        <w:rPr>
          <w:rFonts w:cs="Times New Roman"/>
          <w:color w:val="009745"/>
        </w:rPr>
        <w:t>Information on key project personnel;</w:t>
      </w:r>
    </w:p>
    <w:p w14:paraId="14255FC4" w14:textId="77777777" w:rsidR="00957E69" w:rsidRDefault="001B034F" w:rsidP="00470374">
      <w:pPr>
        <w:pStyle w:val="Hidden"/>
        <w:keepLines w:val="0"/>
        <w:numPr>
          <w:ilvl w:val="0"/>
          <w:numId w:val="30"/>
        </w:numPr>
        <w:spacing w:before="96" w:after="96"/>
        <w:rPr>
          <w:rFonts w:cs="Times New Roman"/>
          <w:color w:val="009745"/>
        </w:rPr>
      </w:pPr>
      <w:r>
        <w:rPr>
          <w:rFonts w:cs="Times New Roman"/>
          <w:color w:val="009745"/>
        </w:rPr>
        <w:t>Anticipated future funding needs;</w:t>
      </w:r>
    </w:p>
    <w:p w14:paraId="78D7A1E4" w14:textId="77777777" w:rsidR="00957E69" w:rsidRDefault="001B034F" w:rsidP="00470374">
      <w:pPr>
        <w:pStyle w:val="Hidden"/>
        <w:keepLines w:val="0"/>
        <w:numPr>
          <w:ilvl w:val="0"/>
          <w:numId w:val="30"/>
        </w:numPr>
        <w:spacing w:before="96" w:after="96"/>
        <w:rPr>
          <w:rFonts w:cs="Times New Roman"/>
          <w:color w:val="009745"/>
        </w:rPr>
      </w:pPr>
      <w:r>
        <w:rPr>
          <w:rFonts w:cs="Times New Roman"/>
          <w:color w:val="009745"/>
        </w:rPr>
        <w:t>Details and supporting documentation on the project location; and</w:t>
      </w:r>
    </w:p>
    <w:p w14:paraId="036A90CF" w14:textId="77777777" w:rsidR="00957E69" w:rsidRDefault="001B034F" w:rsidP="00470374">
      <w:pPr>
        <w:pStyle w:val="Hidden"/>
        <w:keepLines w:val="0"/>
        <w:numPr>
          <w:ilvl w:val="0"/>
          <w:numId w:val="30"/>
        </w:numPr>
        <w:spacing w:before="96" w:after="96"/>
        <w:rPr>
          <w:rFonts w:cs="Times New Roman"/>
          <w:color w:val="009745"/>
        </w:rPr>
      </w:pPr>
      <w:r>
        <w:rPr>
          <w:rFonts w:cs="Times New Roman"/>
          <w:color w:val="009745"/>
        </w:rPr>
        <w:t>Other program- or project-specific narrative requirements.</w:t>
      </w:r>
    </w:p>
    <w:p w14:paraId="2A41F4BF" w14:textId="77777777" w:rsidR="00957E69" w:rsidRDefault="00957E69" w:rsidP="00470374">
      <w:pPr>
        <w:spacing w:before="60" w:after="20"/>
        <w:rPr>
          <w:vanish/>
        </w:rPr>
      </w:pPr>
    </w:p>
    <w:p w14:paraId="3F5708EC" w14:textId="77777777" w:rsidR="00957E69" w:rsidRDefault="001B034F" w:rsidP="00470374">
      <w:pPr>
        <w:pStyle w:val="highlightanyParagraph"/>
        <w:spacing w:after="140"/>
        <w:ind w:left="375"/>
        <w:rPr>
          <w:szCs w:val="24"/>
        </w:rPr>
      </w:pPr>
      <w:r>
        <w:rPr>
          <w:szCs w:val="24"/>
        </w:rPr>
        <w:t xml:space="preserve">The application submitted through grants.gov as the </w:t>
      </w:r>
      <w:r>
        <w:rPr>
          <w:rStyle w:val="highlightany"/>
          <w:b/>
          <w:bCs/>
          <w:szCs w:val="24"/>
        </w:rPr>
        <w:t xml:space="preserve">Project Narrative Attachment Form </w:t>
      </w:r>
      <w:r>
        <w:rPr>
          <w:szCs w:val="24"/>
        </w:rPr>
        <w:t>(in MS Wor</w:t>
      </w:r>
      <w:r>
        <w:rPr>
          <w:szCs w:val="24"/>
        </w:rPr>
        <w:t>d or PDF format) and shall be </w:t>
      </w:r>
      <w:r>
        <w:rPr>
          <w:rStyle w:val="highlightany"/>
          <w:b/>
          <w:bCs/>
          <w:szCs w:val="24"/>
        </w:rPr>
        <w:t>assembled in the following order and combined in ONE document:</w:t>
      </w:r>
    </w:p>
    <w:p w14:paraId="08FE0ECB" w14:textId="77777777" w:rsidR="00957E69" w:rsidRDefault="001B034F" w:rsidP="00470374">
      <w:pPr>
        <w:pStyle w:val="highlightanyParagraph"/>
        <w:spacing w:after="140"/>
        <w:rPr>
          <w:szCs w:val="24"/>
        </w:rPr>
      </w:pPr>
      <w:r>
        <w:rPr>
          <w:szCs w:val="24"/>
        </w:rPr>
        <w:t>A.</w:t>
      </w:r>
    </w:p>
    <w:p w14:paraId="158A390C" w14:textId="77777777" w:rsidR="00957E69" w:rsidRDefault="001B034F" w:rsidP="00470374">
      <w:pPr>
        <w:pStyle w:val="highlightanyParagraph"/>
        <w:numPr>
          <w:ilvl w:val="0"/>
          <w:numId w:val="31"/>
        </w:numPr>
        <w:spacing w:after="20"/>
        <w:rPr>
          <w:szCs w:val="24"/>
        </w:rPr>
      </w:pPr>
      <w:r>
        <w:rPr>
          <w:rStyle w:val="highlightany"/>
          <w:b/>
          <w:bCs/>
          <w:szCs w:val="24"/>
          <w:u w:val="single"/>
        </w:rPr>
        <w:t>Proposal Information Summary</w:t>
      </w:r>
      <w:r>
        <w:rPr>
          <w:rStyle w:val="highlightany"/>
          <w:b/>
          <w:bCs/>
          <w:szCs w:val="24"/>
        </w:rPr>
        <w:t>.</w:t>
      </w:r>
      <w:r>
        <w:rPr>
          <w:szCs w:val="24"/>
        </w:rPr>
        <w:t xml:space="preserve"> This summary is </w:t>
      </w:r>
      <w:r>
        <w:rPr>
          <w:rStyle w:val="highlightany"/>
          <w:b/>
          <w:bCs/>
          <w:szCs w:val="24"/>
        </w:rPr>
        <w:t xml:space="preserve">mandatory </w:t>
      </w:r>
      <w:r>
        <w:rPr>
          <w:szCs w:val="24"/>
        </w:rPr>
        <w:t xml:space="preserve">for the Grants.gov submittal for each proposal. The same format, with ALL information as </w:t>
      </w:r>
      <w:r>
        <w:rPr>
          <w:rStyle w:val="highlightany"/>
          <w:b/>
          <w:bCs/>
          <w:szCs w:val="24"/>
        </w:rPr>
        <w:t>shown in Attach</w:t>
      </w:r>
      <w:r>
        <w:rPr>
          <w:rStyle w:val="highlightany"/>
          <w:b/>
          <w:bCs/>
          <w:szCs w:val="24"/>
        </w:rPr>
        <w:t>ment C</w:t>
      </w:r>
      <w:r>
        <w:rPr>
          <w:szCs w:val="24"/>
        </w:rPr>
        <w:t xml:space="preserve"> shall be included in each applicant’s Grants.gov submittal. The two- or three-letter panel designation (also known as Regional or Topical Area), found in Section E2 and Attachment A, shall be indicated in Item 1 of Attachment C. Only </w:t>
      </w:r>
      <w:r>
        <w:rPr>
          <w:rStyle w:val="highlightany"/>
          <w:b/>
          <w:bCs/>
          <w:szCs w:val="24"/>
          <w:u w:val="single"/>
        </w:rPr>
        <w:t>ONE</w:t>
      </w:r>
      <w:r>
        <w:rPr>
          <w:szCs w:val="24"/>
        </w:rPr>
        <w:t xml:space="preserve"> panel desig</w:t>
      </w:r>
      <w:r>
        <w:rPr>
          <w:szCs w:val="24"/>
        </w:rPr>
        <w:t xml:space="preserve">nation may be chosen per proposal.  </w:t>
      </w:r>
      <w:r>
        <w:rPr>
          <w:rStyle w:val="highlightany"/>
          <w:b/>
          <w:bCs/>
          <w:szCs w:val="24"/>
          <w:u w:val="single"/>
        </w:rPr>
        <w:t>If you do not submit this page, your proposal will be rejected</w:t>
      </w:r>
      <w:r>
        <w:rPr>
          <w:rStyle w:val="highlightany"/>
          <w:szCs w:val="24"/>
          <w:u w:val="single"/>
        </w:rPr>
        <w:t>.</w:t>
      </w:r>
    </w:p>
    <w:p w14:paraId="72BB36C8" w14:textId="77777777" w:rsidR="00957E69" w:rsidRDefault="001B034F" w:rsidP="00470374">
      <w:pPr>
        <w:pStyle w:val="highlightanyParagraph"/>
        <w:numPr>
          <w:ilvl w:val="0"/>
          <w:numId w:val="31"/>
        </w:numPr>
        <w:spacing w:before="20" w:after="150"/>
        <w:rPr>
          <w:szCs w:val="24"/>
        </w:rPr>
      </w:pPr>
      <w:r>
        <w:rPr>
          <w:rStyle w:val="highlightany"/>
          <w:b/>
          <w:bCs/>
          <w:szCs w:val="24"/>
          <w:u w:val="single"/>
        </w:rPr>
        <w:t>Project Abstract Summary</w:t>
      </w:r>
      <w:r>
        <w:rPr>
          <w:szCs w:val="24"/>
        </w:rPr>
        <w:t>. The abstract shall be no longer than one single-spaced page. The Project Abstract Summary for all financial assistance awards is </w:t>
      </w:r>
      <w:r>
        <w:rPr>
          <w:rStyle w:val="highlightany"/>
          <w:b/>
          <w:bCs/>
          <w:szCs w:val="24"/>
        </w:rPr>
        <w:t>r</w:t>
      </w:r>
      <w:r>
        <w:rPr>
          <w:rStyle w:val="highlightany"/>
          <w:b/>
          <w:bCs/>
          <w:szCs w:val="24"/>
        </w:rPr>
        <w:t>equired</w:t>
      </w:r>
      <w:r>
        <w:rPr>
          <w:szCs w:val="24"/>
        </w:rPr>
        <w:t xml:space="preserve"> to </w:t>
      </w:r>
      <w:r>
        <w:rPr>
          <w:szCs w:val="24"/>
        </w:rPr>
        <w:lastRenderedPageBreak/>
        <w:t>include the following information: </w:t>
      </w:r>
      <w:r>
        <w:rPr>
          <w:szCs w:val="24"/>
        </w:rPr>
        <w:br/>
        <w:t>• Include a plain language description Award purpose (avoid acronyms or Federal or agency-specific terminology);  </w:t>
      </w:r>
      <w:r>
        <w:rPr>
          <w:szCs w:val="24"/>
        </w:rPr>
        <w:br/>
        <w:t>• Activities to be performed;  </w:t>
      </w:r>
      <w:r>
        <w:rPr>
          <w:szCs w:val="24"/>
        </w:rPr>
        <w:br/>
        <w:t>• Deliverables and Expected Outcomes;  </w:t>
      </w:r>
      <w:r>
        <w:rPr>
          <w:szCs w:val="24"/>
        </w:rPr>
        <w:br/>
        <w:t>• Intended beneficiary</w:t>
      </w:r>
      <w:r>
        <w:rPr>
          <w:szCs w:val="24"/>
        </w:rPr>
        <w:t>(ies) as well as </w:t>
      </w:r>
      <w:r>
        <w:rPr>
          <w:szCs w:val="24"/>
        </w:rPr>
        <w:br/>
        <w:t xml:space="preserve">• Subrecipient activities, if known or specified at the time of award.                                                                                                                                                                        </w:t>
      </w:r>
      <w:r>
        <w:rPr>
          <w:szCs w:val="24"/>
        </w:rPr>
        <w:t>             </w:t>
      </w:r>
    </w:p>
    <w:p w14:paraId="1331840E" w14:textId="77777777" w:rsidR="00957E69" w:rsidRDefault="001B034F" w:rsidP="00470374">
      <w:pPr>
        <w:pStyle w:val="highlightanyParagraph"/>
        <w:spacing w:after="140"/>
        <w:ind w:left="1125"/>
        <w:rPr>
          <w:szCs w:val="24"/>
        </w:rPr>
      </w:pPr>
      <w:r>
        <w:rPr>
          <w:rStyle w:val="highlightany"/>
          <w:b/>
          <w:bCs/>
          <w:szCs w:val="24"/>
        </w:rPr>
        <w:t>NOTE: Upon issuance of the grant, this Project Abstract Summary will be publicly available at USAspending.gov.</w:t>
      </w:r>
    </w:p>
    <w:p w14:paraId="6DA3C80D" w14:textId="77777777" w:rsidR="00957E69" w:rsidRDefault="001B034F" w:rsidP="00470374">
      <w:pPr>
        <w:pStyle w:val="highlightanyParagraph"/>
        <w:spacing w:after="140"/>
        <w:rPr>
          <w:szCs w:val="24"/>
        </w:rPr>
      </w:pPr>
      <w:r>
        <w:rPr>
          <w:szCs w:val="24"/>
        </w:rPr>
        <w:t>B.</w:t>
      </w:r>
    </w:p>
    <w:p w14:paraId="3F3E990D" w14:textId="77777777" w:rsidR="00957E69" w:rsidRDefault="001B034F" w:rsidP="00470374">
      <w:pPr>
        <w:pStyle w:val="highlightanyParagraph"/>
        <w:numPr>
          <w:ilvl w:val="0"/>
          <w:numId w:val="32"/>
        </w:numPr>
        <w:spacing w:after="20"/>
        <w:rPr>
          <w:szCs w:val="24"/>
        </w:rPr>
      </w:pPr>
      <w:r>
        <w:rPr>
          <w:rStyle w:val="highlightany"/>
          <w:b/>
          <w:bCs/>
          <w:szCs w:val="24"/>
          <w:u w:val="single"/>
        </w:rPr>
        <w:t>Table of Contents</w:t>
      </w:r>
      <w:r>
        <w:rPr>
          <w:szCs w:val="24"/>
        </w:rPr>
        <w:t>.</w:t>
      </w:r>
    </w:p>
    <w:p w14:paraId="5F826B27" w14:textId="77777777" w:rsidR="00957E69" w:rsidRDefault="001B034F" w:rsidP="00470374">
      <w:pPr>
        <w:pStyle w:val="highlightanyParagraph"/>
        <w:numPr>
          <w:ilvl w:val="0"/>
          <w:numId w:val="32"/>
        </w:numPr>
        <w:spacing w:before="20" w:after="20"/>
        <w:rPr>
          <w:szCs w:val="24"/>
        </w:rPr>
      </w:pPr>
      <w:r>
        <w:rPr>
          <w:rStyle w:val="highlightany"/>
          <w:b/>
          <w:bCs/>
          <w:szCs w:val="24"/>
          <w:u w:val="single"/>
        </w:rPr>
        <w:t>Budget Summary</w:t>
      </w:r>
      <w:r>
        <w:rPr>
          <w:rStyle w:val="highlightany"/>
          <w:b/>
          <w:bCs/>
          <w:szCs w:val="24"/>
        </w:rPr>
        <w:t>.</w:t>
      </w:r>
      <w:r>
        <w:rPr>
          <w:szCs w:val="24"/>
        </w:rPr>
        <w:t xml:space="preserve"> The proposed budget shall be presented in two parts: a one-page summary, which shall be in the format shown in Attachment D. The detailed budget is described below.</w:t>
      </w:r>
    </w:p>
    <w:p w14:paraId="2955926F" w14:textId="77777777" w:rsidR="00957E69" w:rsidRDefault="001B034F" w:rsidP="00470374">
      <w:pPr>
        <w:pStyle w:val="highlightanyParagraph"/>
        <w:numPr>
          <w:ilvl w:val="0"/>
          <w:numId w:val="32"/>
        </w:numPr>
        <w:spacing w:before="20" w:after="150"/>
        <w:rPr>
          <w:szCs w:val="24"/>
        </w:rPr>
      </w:pPr>
      <w:r>
        <w:rPr>
          <w:rStyle w:val="highlightany"/>
          <w:b/>
          <w:bCs/>
          <w:szCs w:val="24"/>
          <w:u w:val="single"/>
        </w:rPr>
        <w:t>Detailed Budget</w:t>
      </w:r>
      <w:r>
        <w:rPr>
          <w:szCs w:val="24"/>
        </w:rPr>
        <w:t>. The detailed proposed budget shall be keyed to the Budget Summary. Non-fe</w:t>
      </w:r>
      <w:r>
        <w:rPr>
          <w:szCs w:val="24"/>
        </w:rPr>
        <w:t>deral funds available to support the project may be reflected in the detailed budget or the SF 424, as appropriate.</w:t>
      </w:r>
    </w:p>
    <w:p w14:paraId="52DF68F1" w14:textId="77777777" w:rsidR="00957E69" w:rsidRDefault="001B034F" w:rsidP="00470374">
      <w:pPr>
        <w:pStyle w:val="highlightanyParagraph"/>
        <w:spacing w:after="140"/>
        <w:rPr>
          <w:szCs w:val="24"/>
        </w:rPr>
      </w:pPr>
      <w:r>
        <w:rPr>
          <w:szCs w:val="24"/>
        </w:rPr>
        <w:t>For </w:t>
      </w:r>
      <w:r>
        <w:rPr>
          <w:rStyle w:val="highlightany"/>
          <w:b/>
          <w:bCs/>
          <w:szCs w:val="24"/>
        </w:rPr>
        <w:t>two-year projects</w:t>
      </w:r>
      <w:r>
        <w:rPr>
          <w:szCs w:val="24"/>
        </w:rPr>
        <w:t xml:space="preserve">: The Applicant shall provide summary information (see Attachment D) as well as a detailed budget for the second year. </w:t>
      </w:r>
      <w:r>
        <w:rPr>
          <w:szCs w:val="24"/>
        </w:rPr>
        <w:t>The SF 424 shall reflect both years.</w:t>
      </w:r>
      <w:r>
        <w:rPr>
          <w:szCs w:val="24"/>
        </w:rPr>
        <w:br/>
      </w:r>
      <w:r>
        <w:rPr>
          <w:szCs w:val="24"/>
        </w:rPr>
        <w:br/>
        <w:t>The detailed budget </w:t>
      </w:r>
      <w:r>
        <w:rPr>
          <w:rStyle w:val="highlightany"/>
          <w:b/>
          <w:bCs/>
          <w:szCs w:val="24"/>
        </w:rPr>
        <w:t xml:space="preserve">must </w:t>
      </w:r>
      <w:r>
        <w:rPr>
          <w:szCs w:val="24"/>
        </w:rPr>
        <w:t>include the amount proposed for each of the following items in this order:</w:t>
      </w:r>
    </w:p>
    <w:p w14:paraId="5FC9BD5D" w14:textId="77777777" w:rsidR="00957E69" w:rsidRDefault="001B034F" w:rsidP="00470374">
      <w:pPr>
        <w:pStyle w:val="highlightanyParagraph"/>
        <w:spacing w:after="140"/>
        <w:ind w:left="1500"/>
        <w:rPr>
          <w:szCs w:val="24"/>
        </w:rPr>
      </w:pPr>
      <w:r>
        <w:rPr>
          <w:szCs w:val="24"/>
        </w:rPr>
        <w:t xml:space="preserve">1. </w:t>
      </w:r>
      <w:r>
        <w:rPr>
          <w:rStyle w:val="highlightany"/>
          <w:szCs w:val="24"/>
          <w:u w:val="single"/>
        </w:rPr>
        <w:t>Salaries and wages.</w:t>
      </w:r>
      <w:r>
        <w:rPr>
          <w:szCs w:val="24"/>
        </w:rPr>
        <w:t xml:space="preserve"> Identify individuals by name and position, estimated hours or percent of time, and the rate of </w:t>
      </w:r>
      <w:r>
        <w:rPr>
          <w:szCs w:val="24"/>
        </w:rPr>
        <w:t>compensation proposed. Include an explanation of the amounts included for projected increases if the rate of pay shown is higher than the current rate of pay. Identify each person with an objective in the project. </w:t>
      </w:r>
      <w:r>
        <w:rPr>
          <w:rStyle w:val="highlightany"/>
          <w:b/>
          <w:bCs/>
          <w:szCs w:val="24"/>
          <w:u w:val="single"/>
        </w:rPr>
        <w:t>Principal Investigator and senior staff ti</w:t>
      </w:r>
      <w:r>
        <w:rPr>
          <w:rStyle w:val="highlightany"/>
          <w:b/>
          <w:bCs/>
          <w:szCs w:val="24"/>
          <w:u w:val="single"/>
        </w:rPr>
        <w:t>me should be limited with the majority of salary for students and junior staff.</w:t>
      </w:r>
      <w:r>
        <w:rPr>
          <w:szCs w:val="24"/>
        </w:rPr>
        <w:t> Tuition</w:t>
      </w:r>
      <w:r>
        <w:rPr>
          <w:rStyle w:val="highlightany"/>
          <w:b/>
          <w:bCs/>
          <w:szCs w:val="24"/>
        </w:rPr>
        <w:t xml:space="preserve"> </w:t>
      </w:r>
      <w:r>
        <w:rPr>
          <w:szCs w:val="24"/>
        </w:rPr>
        <w:t xml:space="preserve">remission and other forms of compensation paid as, or in lieu of, wages to students performing necessary work are allowable provided that the tuition or other payments </w:t>
      </w:r>
      <w:r>
        <w:rPr>
          <w:szCs w:val="24"/>
        </w:rPr>
        <w:t>are reasonable compensation for the work performed and are conditioned explicitly upon the performance of the work. Tuition and/or tuition remission should be identified in this section of the budget.</w:t>
      </w:r>
    </w:p>
    <w:p w14:paraId="5972947E" w14:textId="77777777" w:rsidR="00957E69" w:rsidRDefault="001B034F" w:rsidP="00470374">
      <w:pPr>
        <w:pStyle w:val="highlightanyParagraph"/>
        <w:spacing w:after="140"/>
        <w:ind w:left="1500"/>
        <w:rPr>
          <w:szCs w:val="24"/>
        </w:rPr>
      </w:pPr>
      <w:r>
        <w:rPr>
          <w:szCs w:val="24"/>
        </w:rPr>
        <w:t xml:space="preserve">2. </w:t>
      </w:r>
      <w:r>
        <w:rPr>
          <w:rStyle w:val="highlightany"/>
          <w:szCs w:val="24"/>
          <w:u w:val="single"/>
        </w:rPr>
        <w:t>Fringe benefits/labor overhead</w:t>
      </w:r>
      <w:r>
        <w:rPr>
          <w:szCs w:val="24"/>
        </w:rPr>
        <w:t>. Indicate the rates/a</w:t>
      </w:r>
      <w:r>
        <w:rPr>
          <w:szCs w:val="24"/>
        </w:rPr>
        <w:t xml:space="preserve">mounts in conformance with normal accounting procedures. Explain what costs are covered in this category and the basis of the rate computations. Indicate whether rates are used for proposal purposes only or whether they are also fixed or provisional rates </w:t>
      </w:r>
      <w:r>
        <w:rPr>
          <w:szCs w:val="24"/>
        </w:rPr>
        <w:t>for billing purposes.</w:t>
      </w:r>
    </w:p>
    <w:p w14:paraId="1BB77B58" w14:textId="77777777" w:rsidR="00957E69" w:rsidRDefault="001B034F" w:rsidP="00470374">
      <w:pPr>
        <w:pStyle w:val="highlightanyParagraph"/>
        <w:spacing w:after="140"/>
        <w:ind w:left="1500"/>
        <w:rPr>
          <w:szCs w:val="24"/>
        </w:rPr>
      </w:pPr>
      <w:r>
        <w:rPr>
          <w:szCs w:val="24"/>
        </w:rPr>
        <w:t xml:space="preserve">3. </w:t>
      </w:r>
      <w:r>
        <w:rPr>
          <w:rStyle w:val="highlightany"/>
          <w:szCs w:val="24"/>
          <w:u w:val="single"/>
        </w:rPr>
        <w:t>Equipment</w:t>
      </w:r>
      <w:r>
        <w:rPr>
          <w:szCs w:val="24"/>
        </w:rPr>
        <w:t xml:space="preserve">. Show the cost of all special-purpose equipment necessary for achieving the objectives of the project. "Special-purpose equipment" means scientific equipment having a useful life of more than 1 year and having an </w:t>
      </w:r>
      <w:r>
        <w:rPr>
          <w:szCs w:val="24"/>
        </w:rPr>
        <w:lastRenderedPageBreak/>
        <w:t>acquisit</w:t>
      </w:r>
      <w:r>
        <w:rPr>
          <w:szCs w:val="24"/>
        </w:rPr>
        <w:t>ion cost of $5,000 or more per item. Each item should be itemized and include a full justification and a dealer or manufacturer quote, if available. General-purpose equipment must be purchased from the applicant's operating funds. Title to non-expendable p</w:t>
      </w:r>
      <w:r>
        <w:rPr>
          <w:szCs w:val="24"/>
        </w:rPr>
        <w:t>ersonal property shall be vested solely with the Recipient. Under </w:t>
      </w:r>
      <w:r>
        <w:rPr>
          <w:rStyle w:val="highlightany"/>
          <w:b/>
          <w:bCs/>
          <w:szCs w:val="24"/>
        </w:rPr>
        <w:t xml:space="preserve">no </w:t>
      </w:r>
      <w:r>
        <w:rPr>
          <w:szCs w:val="24"/>
        </w:rPr>
        <w:t>circumstances shall property title be vested in a sub-tier recipient.</w:t>
      </w:r>
    </w:p>
    <w:p w14:paraId="6903A314" w14:textId="77777777" w:rsidR="00957E69" w:rsidRDefault="001B034F" w:rsidP="00470374">
      <w:pPr>
        <w:pStyle w:val="highlightanyParagraph"/>
        <w:spacing w:after="140"/>
        <w:ind w:left="1500"/>
        <w:rPr>
          <w:szCs w:val="24"/>
        </w:rPr>
      </w:pPr>
      <w:r>
        <w:rPr>
          <w:rFonts w:ascii="Arial Unicode MS" w:eastAsia="Arial Unicode MS" w:hAnsi="Arial Unicode MS" w:cs="Arial Unicode MS"/>
          <w:szCs w:val="24"/>
        </w:rPr>
        <w:t>​</w:t>
      </w:r>
      <w:r>
        <w:rPr>
          <w:szCs w:val="24"/>
        </w:rPr>
        <w:t xml:space="preserve">4. </w:t>
      </w:r>
      <w:r>
        <w:rPr>
          <w:rStyle w:val="highlightany"/>
          <w:szCs w:val="24"/>
          <w:u w:val="single"/>
        </w:rPr>
        <w:t>Supplies.</w:t>
      </w:r>
      <w:r>
        <w:rPr>
          <w:szCs w:val="24"/>
        </w:rPr>
        <w:t xml:space="preserve"> Enter the cost for all tangible property. Include the cost of office, laboratory, computing, and field </w:t>
      </w:r>
      <w:r>
        <w:rPr>
          <w:szCs w:val="24"/>
        </w:rPr>
        <w:t>supplies separately. Provide detail on any specific item, which represents a significant portion of the proposed amount. If fabrication of equipment is proposed, list parts and materials required for each and show costs separately from the other items.</w:t>
      </w:r>
    </w:p>
    <w:p w14:paraId="4B941460" w14:textId="77777777" w:rsidR="00957E69" w:rsidRDefault="001B034F" w:rsidP="00470374">
      <w:pPr>
        <w:pStyle w:val="highlightanyParagraph"/>
        <w:spacing w:after="140"/>
        <w:ind w:left="1500"/>
        <w:rPr>
          <w:szCs w:val="24"/>
        </w:rPr>
      </w:pPr>
      <w:r>
        <w:rPr>
          <w:szCs w:val="24"/>
        </w:rPr>
        <w:t>5.</w:t>
      </w:r>
      <w:r>
        <w:rPr>
          <w:rStyle w:val="highlightany"/>
          <w:szCs w:val="24"/>
          <w:u w:val="single"/>
        </w:rPr>
        <w:t>S</w:t>
      </w:r>
      <w:r>
        <w:rPr>
          <w:rStyle w:val="highlightany"/>
          <w:szCs w:val="24"/>
          <w:u w:val="single"/>
        </w:rPr>
        <w:t>ervices or consultants.</w:t>
      </w:r>
      <w:r>
        <w:rPr>
          <w:szCs w:val="24"/>
        </w:rPr>
        <w:t xml:space="preserve"> Identify the objectives or problems for which such services would be used. List the contemplated sub-recipients by name (including consultants), the estimated amount of time required, and the quoted rate per day or hour. If known, s</w:t>
      </w:r>
      <w:r>
        <w:rPr>
          <w:szCs w:val="24"/>
        </w:rPr>
        <w:t>tate whether the consultant's rate is the same as she/he has received for similar services or under Government contracts or assistance awards. Note the restriction on sub-recipients efforts indicated in section 4. Application Requirements.</w:t>
      </w:r>
    </w:p>
    <w:p w14:paraId="0ADE861D" w14:textId="77777777" w:rsidR="00957E69" w:rsidRDefault="001B034F" w:rsidP="00470374">
      <w:pPr>
        <w:pStyle w:val="highlightanyParagraph"/>
        <w:spacing w:after="140"/>
        <w:ind w:left="1500"/>
        <w:rPr>
          <w:szCs w:val="24"/>
        </w:rPr>
      </w:pPr>
      <w:r>
        <w:rPr>
          <w:szCs w:val="24"/>
        </w:rPr>
        <w:t xml:space="preserve">6. </w:t>
      </w:r>
      <w:r>
        <w:rPr>
          <w:rStyle w:val="highlightany"/>
          <w:szCs w:val="24"/>
          <w:u w:val="single"/>
        </w:rPr>
        <w:t xml:space="preserve">Radiocarbon </w:t>
      </w:r>
      <w:r>
        <w:rPr>
          <w:rStyle w:val="highlightany"/>
          <w:szCs w:val="24"/>
          <w:u w:val="single"/>
        </w:rPr>
        <w:t>or other dating.</w:t>
      </w:r>
      <w:r>
        <w:rPr>
          <w:szCs w:val="24"/>
        </w:rPr>
        <w:t xml:space="preserve"> Include the </w:t>
      </w:r>
      <w:r>
        <w:rPr>
          <w:rStyle w:val="highlightany"/>
          <w:b/>
          <w:bCs/>
          <w:szCs w:val="24"/>
        </w:rPr>
        <w:t xml:space="preserve">type of analyses, number of samples, cost per sample, and facility </w:t>
      </w:r>
      <w:r>
        <w:rPr>
          <w:szCs w:val="24"/>
        </w:rPr>
        <w:t xml:space="preserve">likely to perform the analyses.  </w:t>
      </w:r>
      <w:r>
        <w:rPr>
          <w:rStyle w:val="highlightany"/>
          <w:b/>
          <w:bCs/>
          <w:szCs w:val="24"/>
          <w:u w:val="single"/>
        </w:rPr>
        <w:t>IMPORTANT:</w:t>
      </w:r>
      <w:r>
        <w:rPr>
          <w:rStyle w:val="highlightany"/>
          <w:b/>
          <w:bCs/>
          <w:szCs w:val="24"/>
        </w:rPr>
        <w:t xml:space="preserve"> If the dating is to be done at a national lab, include the full contact information for the contact at the lab.; a s</w:t>
      </w:r>
      <w:r>
        <w:rPr>
          <w:rStyle w:val="highlightany"/>
          <w:b/>
          <w:bCs/>
          <w:szCs w:val="24"/>
        </w:rPr>
        <w:t>eparate award will be made to the national lab, however, include the national lab costs within the grant application budget.</w:t>
      </w:r>
      <w:r>
        <w:rPr>
          <w:rStyle w:val="highlightany"/>
          <w:b/>
          <w:bCs/>
          <w:szCs w:val="24"/>
        </w:rPr>
        <w:br/>
      </w:r>
      <w:r>
        <w:rPr>
          <w:rStyle w:val="highlightany"/>
          <w:b/>
          <w:bCs/>
          <w:szCs w:val="24"/>
        </w:rPr>
        <w:br/>
      </w:r>
      <w:r>
        <w:rPr>
          <w:szCs w:val="24"/>
        </w:rPr>
        <w:t xml:space="preserve">7.  </w:t>
      </w:r>
      <w:r>
        <w:rPr>
          <w:rStyle w:val="highlightany"/>
          <w:szCs w:val="24"/>
          <w:u w:val="single"/>
        </w:rPr>
        <w:t>Travel</w:t>
      </w:r>
      <w:r>
        <w:rPr>
          <w:szCs w:val="24"/>
        </w:rPr>
        <w:t>.</w:t>
      </w:r>
      <w:r>
        <w:rPr>
          <w:rStyle w:val="highlightany"/>
          <w:b/>
          <w:bCs/>
          <w:szCs w:val="24"/>
        </w:rPr>
        <w:t xml:space="preserve">  </w:t>
      </w:r>
      <w:r>
        <w:rPr>
          <w:szCs w:val="24"/>
        </w:rPr>
        <w:t>State the purpose of the trip and itemize the estimate travel costs to show the number of trips required, the destina</w:t>
      </w:r>
      <w:r>
        <w:rPr>
          <w:szCs w:val="24"/>
        </w:rPr>
        <w:t xml:space="preserve">tions, the number of people traveling, the per diem rates, the cost of transportation, and any miscellaneous expenses for each trip. For travel requested to meetings or conferences, include a description of the benefit to the proposed project.  Failure to </w:t>
      </w:r>
      <w:r>
        <w:rPr>
          <w:szCs w:val="24"/>
        </w:rPr>
        <w:t>provide this information may result in a determination of the cost as unallowable.  Calculations of other special transportation costs (such as charges for use of applicant-owned vehicles or vehicle rental costs) should also be shown.</w:t>
      </w:r>
    </w:p>
    <w:p w14:paraId="15CBB4D8" w14:textId="77777777" w:rsidR="00957E69" w:rsidRDefault="001B034F" w:rsidP="00470374">
      <w:pPr>
        <w:pStyle w:val="highlightanyParagraph"/>
        <w:spacing w:after="140"/>
        <w:ind w:left="1500"/>
        <w:rPr>
          <w:szCs w:val="24"/>
        </w:rPr>
      </w:pPr>
      <w:r>
        <w:rPr>
          <w:szCs w:val="24"/>
        </w:rPr>
        <w:t xml:space="preserve">8. </w:t>
      </w:r>
      <w:r>
        <w:rPr>
          <w:rStyle w:val="highlightany"/>
          <w:szCs w:val="24"/>
          <w:u w:val="single"/>
        </w:rPr>
        <w:t>Publication costs</w:t>
      </w:r>
      <w:r>
        <w:rPr>
          <w:szCs w:val="24"/>
        </w:rPr>
        <w:t>.</w:t>
      </w:r>
      <w:r>
        <w:rPr>
          <w:szCs w:val="24"/>
        </w:rPr>
        <w:t xml:space="preserve"> Show the estimated cost of publishing the results of the research. Include costs of drafting or graphics, reproduction, page or illustration charges.</w:t>
      </w:r>
    </w:p>
    <w:p w14:paraId="42E57FAF" w14:textId="77777777" w:rsidR="00957E69" w:rsidRDefault="001B034F" w:rsidP="00470374">
      <w:pPr>
        <w:pStyle w:val="highlightanyParagraph"/>
        <w:spacing w:after="140"/>
        <w:ind w:left="1500"/>
        <w:rPr>
          <w:szCs w:val="24"/>
        </w:rPr>
      </w:pPr>
      <w:r>
        <w:rPr>
          <w:szCs w:val="24"/>
        </w:rPr>
        <w:t xml:space="preserve">9. </w:t>
      </w:r>
      <w:r>
        <w:rPr>
          <w:rStyle w:val="highlightany"/>
          <w:szCs w:val="24"/>
          <w:u w:val="single"/>
        </w:rPr>
        <w:t>Other direct costs</w:t>
      </w:r>
      <w:r>
        <w:rPr>
          <w:szCs w:val="24"/>
        </w:rPr>
        <w:t>. Itemize the different types of costs not included elsewhere; such as, shipping, te</w:t>
      </w:r>
      <w:r>
        <w:rPr>
          <w:szCs w:val="24"/>
        </w:rPr>
        <w:t xml:space="preserve">lemetry, computing, and equipment-use charges, not specifically identified for other budget sections, above. Provide breakdowns showing how the cost was estimated; for example, computer time should show the type of computer, estimated time of use, and the </w:t>
      </w:r>
      <w:r>
        <w:rPr>
          <w:szCs w:val="24"/>
        </w:rPr>
        <w:t>established rates.</w:t>
      </w:r>
    </w:p>
    <w:p w14:paraId="796045C5" w14:textId="77777777" w:rsidR="00957E69" w:rsidRDefault="001B034F" w:rsidP="00470374">
      <w:pPr>
        <w:pStyle w:val="highlightanyParagraph"/>
        <w:spacing w:after="140"/>
        <w:ind w:left="1500"/>
        <w:rPr>
          <w:szCs w:val="24"/>
        </w:rPr>
      </w:pPr>
      <w:r>
        <w:rPr>
          <w:szCs w:val="24"/>
        </w:rPr>
        <w:t xml:space="preserve">10. </w:t>
      </w:r>
      <w:r>
        <w:rPr>
          <w:rStyle w:val="highlightany"/>
          <w:szCs w:val="24"/>
          <w:u w:val="single"/>
        </w:rPr>
        <w:t>Total direct costs</w:t>
      </w:r>
      <w:r>
        <w:rPr>
          <w:szCs w:val="24"/>
        </w:rPr>
        <w:t>. Total items 1 through 9.</w:t>
      </w:r>
    </w:p>
    <w:p w14:paraId="7D6197AA" w14:textId="77777777" w:rsidR="00957E69" w:rsidRDefault="001B034F" w:rsidP="00470374">
      <w:pPr>
        <w:pStyle w:val="highlightanyParagraph"/>
        <w:spacing w:after="140"/>
        <w:ind w:left="1500"/>
        <w:rPr>
          <w:szCs w:val="24"/>
        </w:rPr>
      </w:pPr>
      <w:r>
        <w:rPr>
          <w:szCs w:val="24"/>
        </w:rPr>
        <w:lastRenderedPageBreak/>
        <w:t xml:space="preserve">11. </w:t>
      </w:r>
      <w:r>
        <w:rPr>
          <w:rStyle w:val="highlightany"/>
          <w:szCs w:val="24"/>
          <w:u w:val="single"/>
        </w:rPr>
        <w:t>Indirect cost/general and administrative (G&amp;A) cost</w:t>
      </w:r>
      <w:r>
        <w:rPr>
          <w:szCs w:val="24"/>
        </w:rPr>
        <w:t xml:space="preserve">. Show the proposed rate, cost base, and proposed amount for allowable indirect costs based on the cost principles applicable to the </w:t>
      </w:r>
      <w:r>
        <w:rPr>
          <w:szCs w:val="24"/>
        </w:rPr>
        <w:t xml:space="preserve">Applicant's organization. G&amp;A should not be calculated for any tuition remission. If the Applicant has separate rates for recovery of labor overhead and G&amp;A costs, each charge should be shown. Explain the distinction between items included in the two cost </w:t>
      </w:r>
      <w:r>
        <w:rPr>
          <w:szCs w:val="24"/>
        </w:rPr>
        <w:t>pools. The Applicant should propose rates for evaluation purposes, which they are also willing to establish as fixed or ceiling rates in any resulting award. NOTE: A copy of the indirect negotiated cost agreement with the Federal Government will be request</w:t>
      </w:r>
      <w:r>
        <w:rPr>
          <w:szCs w:val="24"/>
        </w:rPr>
        <w:t>ed from all applicants recommended for an award. This request will be made at the time of recommendation notification. </w:t>
      </w:r>
      <w:r>
        <w:rPr>
          <w:rStyle w:val="highlightany"/>
          <w:b/>
          <w:bCs/>
          <w:szCs w:val="24"/>
        </w:rPr>
        <w:t>Please note that in the absence of a negotiated cost agreement, the maximum indirect rate that may be charged is 10% (see Section 200.414</w:t>
      </w:r>
      <w:r>
        <w:rPr>
          <w:rStyle w:val="highlightany"/>
          <w:b/>
          <w:bCs/>
          <w:szCs w:val="24"/>
        </w:rPr>
        <w:t>(f) of the Uniform Administrative Requirements, Cost Principles, and Audit Requirements for Federal Awards). This requirement applies to ALL applicants including nonprofits, small businesses, and individuals.</w:t>
      </w:r>
    </w:p>
    <w:p w14:paraId="240453C3" w14:textId="77777777" w:rsidR="00957E69" w:rsidRDefault="001B034F" w:rsidP="00470374">
      <w:pPr>
        <w:pStyle w:val="highlightanyParagraph"/>
        <w:spacing w:after="140"/>
        <w:ind w:left="1500"/>
        <w:rPr>
          <w:szCs w:val="24"/>
        </w:rPr>
      </w:pPr>
      <w:r>
        <w:rPr>
          <w:szCs w:val="24"/>
        </w:rPr>
        <w:t xml:space="preserve">12. </w:t>
      </w:r>
      <w:r>
        <w:rPr>
          <w:rStyle w:val="highlightany"/>
          <w:szCs w:val="24"/>
          <w:u w:val="single"/>
        </w:rPr>
        <w:t>Amount proposed</w:t>
      </w:r>
      <w:r>
        <w:rPr>
          <w:szCs w:val="24"/>
        </w:rPr>
        <w:t>. Total items 10 and 11.</w:t>
      </w:r>
    </w:p>
    <w:p w14:paraId="550E352F" w14:textId="77777777" w:rsidR="00957E69" w:rsidRDefault="001B034F" w:rsidP="00470374">
      <w:pPr>
        <w:pStyle w:val="highlightanyParagraph"/>
        <w:spacing w:after="140"/>
        <w:ind w:left="1500"/>
        <w:rPr>
          <w:szCs w:val="24"/>
        </w:rPr>
      </w:pPr>
      <w:r>
        <w:rPr>
          <w:szCs w:val="24"/>
        </w:rPr>
        <w:t>13.</w:t>
      </w:r>
      <w:r>
        <w:rPr>
          <w:szCs w:val="24"/>
        </w:rPr>
        <w:t> </w:t>
      </w:r>
      <w:r>
        <w:rPr>
          <w:rStyle w:val="highlightany"/>
          <w:szCs w:val="24"/>
          <w:u w:val="single"/>
        </w:rPr>
        <w:t>Applicant’s contribution to Project Cost</w:t>
      </w:r>
      <w:r>
        <w:rPr>
          <w:szCs w:val="24"/>
        </w:rPr>
        <w:t> </w:t>
      </w:r>
    </w:p>
    <w:p w14:paraId="1D1B21A5" w14:textId="77777777" w:rsidR="00957E69" w:rsidRDefault="001B034F" w:rsidP="00470374">
      <w:pPr>
        <w:pStyle w:val="highlightanyParagraph"/>
        <w:spacing w:after="140"/>
        <w:ind w:left="1500"/>
        <w:rPr>
          <w:szCs w:val="24"/>
        </w:rPr>
      </w:pPr>
      <w:r>
        <w:rPr>
          <w:szCs w:val="24"/>
        </w:rPr>
        <w:t xml:space="preserve">14. </w:t>
      </w:r>
      <w:r>
        <w:rPr>
          <w:rStyle w:val="highlightany"/>
          <w:szCs w:val="24"/>
          <w:u w:val="single"/>
        </w:rPr>
        <w:t>Total Project Cost</w:t>
      </w:r>
      <w:r>
        <w:rPr>
          <w:szCs w:val="24"/>
        </w:rPr>
        <w:t>. Total Federal and non-Federal amounts, if any.</w:t>
      </w:r>
    </w:p>
    <w:p w14:paraId="34E67B0D" w14:textId="77777777" w:rsidR="00957E69" w:rsidRDefault="001B034F" w:rsidP="00470374">
      <w:pPr>
        <w:pStyle w:val="highlightanyParagraph"/>
        <w:spacing w:after="140"/>
        <w:ind w:left="375"/>
        <w:rPr>
          <w:szCs w:val="24"/>
        </w:rPr>
      </w:pPr>
      <w:r>
        <w:rPr>
          <w:rStyle w:val="highlightany"/>
          <w:b/>
          <w:bCs/>
          <w:szCs w:val="24"/>
        </w:rPr>
        <w:t>4. </w:t>
      </w:r>
      <w:r>
        <w:rPr>
          <w:rStyle w:val="highlightany"/>
          <w:b/>
          <w:bCs/>
          <w:szCs w:val="24"/>
          <w:u w:val="single"/>
        </w:rPr>
        <w:t>Proposal:</w:t>
      </w:r>
      <w:r>
        <w:rPr>
          <w:szCs w:val="24"/>
        </w:rPr>
        <w:t xml:space="preserve"> The description of the proposed research shall consist of the following parts:</w:t>
      </w:r>
    </w:p>
    <w:p w14:paraId="090B7FD6" w14:textId="77777777" w:rsidR="00957E69" w:rsidRDefault="001B034F" w:rsidP="00470374">
      <w:pPr>
        <w:pStyle w:val="highlightanyParagraph"/>
        <w:spacing w:after="140"/>
        <w:ind w:left="1500"/>
        <w:rPr>
          <w:szCs w:val="24"/>
        </w:rPr>
      </w:pPr>
      <w:r>
        <w:rPr>
          <w:szCs w:val="24"/>
        </w:rPr>
        <w:t xml:space="preserve">1. </w:t>
      </w:r>
      <w:r>
        <w:rPr>
          <w:rStyle w:val="highlightany"/>
          <w:szCs w:val="24"/>
          <w:u w:val="single"/>
        </w:rPr>
        <w:t>Significance of the Project</w:t>
      </w:r>
      <w:r>
        <w:rPr>
          <w:szCs w:val="24"/>
        </w:rPr>
        <w:t>. In a separate para</w:t>
      </w:r>
      <w:r>
        <w:rPr>
          <w:szCs w:val="24"/>
        </w:rPr>
        <w:t>graph of the proposal, discuss the specific problem addressed and its importance. </w:t>
      </w:r>
      <w:r>
        <w:rPr>
          <w:rStyle w:val="highlightany"/>
          <w:b/>
          <w:bCs/>
          <w:szCs w:val="24"/>
        </w:rPr>
        <w:t xml:space="preserve">Describe the significant contribution the project will make to one or more of the Priority Topics under the 10 Research Areas in Attachment A. </w:t>
      </w:r>
      <w:r>
        <w:rPr>
          <w:rStyle w:val="highlightany"/>
          <w:b/>
          <w:bCs/>
          <w:szCs w:val="24"/>
          <w:u w:val="single"/>
        </w:rPr>
        <w:t>This description is required.</w:t>
      </w:r>
    </w:p>
    <w:p w14:paraId="1933ED9E" w14:textId="77777777" w:rsidR="00957E69" w:rsidRDefault="001B034F" w:rsidP="00470374">
      <w:pPr>
        <w:pStyle w:val="highlightanyParagraph"/>
        <w:spacing w:after="140"/>
        <w:ind w:left="1500"/>
        <w:rPr>
          <w:szCs w:val="24"/>
        </w:rPr>
      </w:pPr>
      <w:r>
        <w:rPr>
          <w:szCs w:val="24"/>
        </w:rPr>
        <w:t>2. </w:t>
      </w:r>
      <w:r>
        <w:rPr>
          <w:rStyle w:val="highlightany"/>
          <w:szCs w:val="24"/>
          <w:u w:val="single"/>
        </w:rPr>
        <w:t>Project Plan</w:t>
      </w:r>
      <w:r>
        <w:rPr>
          <w:szCs w:val="24"/>
        </w:rPr>
        <w:t xml:space="preserve">. Discuss the specific hypotheses or research questions, the conceptual framework or model to be used, as well as the data collection and analysis plans, and relationship with past studies. Plans should also include procedures to be used to </w:t>
      </w:r>
      <w:r>
        <w:rPr>
          <w:szCs w:val="24"/>
        </w:rPr>
        <w:t xml:space="preserve">insure objectivity and balance in the project. Include project milestones and related due dates for the proposed work and required reports (See Attachment E, Sections 3 and 4). Time allocations, responsibilities for the project staff members, and level of </w:t>
      </w:r>
      <w:r>
        <w:rPr>
          <w:szCs w:val="24"/>
        </w:rPr>
        <w:t>effort for personnel </w:t>
      </w:r>
      <w:r>
        <w:rPr>
          <w:rStyle w:val="highlightany"/>
          <w:b/>
          <w:bCs/>
          <w:szCs w:val="24"/>
        </w:rPr>
        <w:t xml:space="preserve">must </w:t>
      </w:r>
      <w:r>
        <w:rPr>
          <w:szCs w:val="24"/>
        </w:rPr>
        <w:t>also be described separately for each year of the proposal; this is critical for two-year proposals.</w:t>
      </w:r>
    </w:p>
    <w:p w14:paraId="782F74B3" w14:textId="77777777" w:rsidR="00957E69" w:rsidRDefault="001B034F" w:rsidP="00470374">
      <w:pPr>
        <w:pStyle w:val="highlightanyParagraph"/>
        <w:spacing w:after="140"/>
        <w:ind w:left="1500"/>
        <w:rPr>
          <w:szCs w:val="24"/>
        </w:rPr>
      </w:pPr>
      <w:r>
        <w:rPr>
          <w:szCs w:val="24"/>
        </w:rPr>
        <w:t xml:space="preserve">3. </w:t>
      </w:r>
      <w:r>
        <w:rPr>
          <w:rStyle w:val="highlightany"/>
          <w:szCs w:val="24"/>
          <w:u w:val="single"/>
        </w:rPr>
        <w:t>Final Technical Report and Dissemination</w:t>
      </w:r>
      <w:r>
        <w:rPr>
          <w:szCs w:val="24"/>
        </w:rPr>
        <w:t xml:space="preserve">. The USGS considers dissemination of research data and results to potential </w:t>
      </w:r>
      <w:r>
        <w:rPr>
          <w:szCs w:val="24"/>
        </w:rPr>
        <w:t>users of those results to be an integral and crucial aspect of projects it funds. See Attachment E, Section 3: “Dissemination of Results and Reporting Requirements”.</w:t>
      </w:r>
    </w:p>
    <w:p w14:paraId="4F9D00F8" w14:textId="77777777" w:rsidR="00957E69" w:rsidRDefault="001B034F" w:rsidP="00470374">
      <w:pPr>
        <w:pStyle w:val="highlightanyParagraph"/>
        <w:spacing w:after="140"/>
        <w:ind w:left="1500"/>
        <w:rPr>
          <w:szCs w:val="24"/>
        </w:rPr>
      </w:pPr>
      <w:r>
        <w:rPr>
          <w:szCs w:val="24"/>
        </w:rPr>
        <w:t xml:space="preserve">4. </w:t>
      </w:r>
      <w:r>
        <w:rPr>
          <w:rStyle w:val="highlightany"/>
          <w:szCs w:val="24"/>
          <w:u w:val="single"/>
        </w:rPr>
        <w:t>Related Efforts.</w:t>
      </w:r>
      <w:r>
        <w:rPr>
          <w:szCs w:val="24"/>
        </w:rPr>
        <w:t xml:space="preserve"> Describe significant, related studies conducted by members of the rese</w:t>
      </w:r>
      <w:r>
        <w:rPr>
          <w:szCs w:val="24"/>
        </w:rPr>
        <w:t xml:space="preserve">arch team and discuss any planned coordination with other workers in the field. Include descriptions of current and recent USGS/EHP External Research Support grants or cooperative agreements, the relationship of those to this </w:t>
      </w:r>
      <w:r>
        <w:rPr>
          <w:szCs w:val="24"/>
        </w:rPr>
        <w:lastRenderedPageBreak/>
        <w:t>proposal (if any), and relevan</w:t>
      </w:r>
      <w:r>
        <w:rPr>
          <w:szCs w:val="24"/>
        </w:rPr>
        <w:t>t results from previous grants or cooperative agreements.</w:t>
      </w:r>
    </w:p>
    <w:p w14:paraId="553B135E" w14:textId="77777777" w:rsidR="00957E69" w:rsidRDefault="001B034F" w:rsidP="00470374">
      <w:pPr>
        <w:pStyle w:val="highlightanyParagraph"/>
        <w:spacing w:after="140"/>
        <w:ind w:left="1500"/>
        <w:rPr>
          <w:szCs w:val="24"/>
        </w:rPr>
      </w:pPr>
      <w:r>
        <w:rPr>
          <w:szCs w:val="24"/>
        </w:rPr>
        <w:t xml:space="preserve">5. </w:t>
      </w:r>
      <w:r>
        <w:rPr>
          <w:rStyle w:val="highlightany"/>
          <w:szCs w:val="24"/>
          <w:u w:val="single"/>
        </w:rPr>
        <w:t>Broader Impacts (Optional).</w:t>
      </w:r>
      <w:r>
        <w:rPr>
          <w:szCs w:val="24"/>
        </w:rPr>
        <w:t> It is strongly encouraged to include a statement that articulates the PI’s plan for addressing diversity, equity, and inclusion (DEI) in specific aspects of the projec</w:t>
      </w:r>
      <w:r>
        <w:rPr>
          <w:szCs w:val="24"/>
        </w:rPr>
        <w:t>t.</w:t>
      </w:r>
    </w:p>
    <w:p w14:paraId="5662DEDB" w14:textId="77777777" w:rsidR="00957E69" w:rsidRDefault="001B034F" w:rsidP="00470374">
      <w:pPr>
        <w:pStyle w:val="highlightanyParagraph"/>
        <w:spacing w:after="140"/>
        <w:ind w:left="1500"/>
        <w:rPr>
          <w:szCs w:val="24"/>
        </w:rPr>
      </w:pPr>
      <w:r>
        <w:rPr>
          <w:szCs w:val="24"/>
        </w:rPr>
        <w:t>6.</w:t>
      </w:r>
      <w:r>
        <w:rPr>
          <w:rStyle w:val="highlightany"/>
          <w:szCs w:val="24"/>
          <w:u w:val="single"/>
        </w:rPr>
        <w:t xml:space="preserve"> Institutional Qualifications</w:t>
      </w:r>
      <w:r>
        <w:rPr>
          <w:szCs w:val="24"/>
        </w:rPr>
        <w:t>. State the resources available at, and the relevant experience of, the institution. Resources include personnel, computer and library facilities, and ties to both sources of data and potential users of the results.</w:t>
      </w:r>
    </w:p>
    <w:p w14:paraId="2A0C4C01" w14:textId="77777777" w:rsidR="00957E69" w:rsidRDefault="001B034F" w:rsidP="00470374">
      <w:pPr>
        <w:pStyle w:val="highlightanyParagraph"/>
        <w:spacing w:after="140"/>
        <w:ind w:left="1500"/>
        <w:rPr>
          <w:szCs w:val="24"/>
        </w:rPr>
      </w:pPr>
      <w:r>
        <w:rPr>
          <w:szCs w:val="24"/>
        </w:rPr>
        <w:t xml:space="preserve">7. </w:t>
      </w:r>
      <w:r>
        <w:rPr>
          <w:rStyle w:val="highlightany"/>
          <w:szCs w:val="24"/>
          <w:u w:val="single"/>
        </w:rPr>
        <w:t>Cur</w:t>
      </w:r>
      <w:r>
        <w:rPr>
          <w:rStyle w:val="highlightany"/>
          <w:szCs w:val="24"/>
          <w:u w:val="single"/>
        </w:rPr>
        <w:t>rent Support and Pending Applications</w:t>
      </w:r>
      <w:r>
        <w:rPr>
          <w:szCs w:val="24"/>
        </w:rPr>
        <w:t>. List all sources of support (in addition to the proposed effort) to which the senior research members have committed a portion of their time for the period covered by the proposal. The information should account for 1</w:t>
      </w:r>
      <w:r>
        <w:rPr>
          <w:szCs w:val="24"/>
        </w:rPr>
        <w:t>00 percent of the work time of each investigator and include titles, annual budget levels, period of the awards, and the person-months committed in each case. This section must also list research being considered by, or that will be submitted to, other pos</w:t>
      </w:r>
      <w:r>
        <w:rPr>
          <w:szCs w:val="24"/>
        </w:rPr>
        <w:t>sible sponsors. </w:t>
      </w:r>
      <w:r>
        <w:rPr>
          <w:rStyle w:val="highlightany"/>
          <w:b/>
          <w:bCs/>
          <w:szCs w:val="24"/>
        </w:rPr>
        <w:t>If identical or similar work is also proposed to another institution (e.g., National Science Foundation), an explanation of the relationship of such work to this proposal should be provided.</w:t>
      </w:r>
    </w:p>
    <w:p w14:paraId="34CC910A" w14:textId="77777777" w:rsidR="00957E69" w:rsidRDefault="001B034F" w:rsidP="00470374">
      <w:pPr>
        <w:pStyle w:val="highlightanyParagraph"/>
        <w:spacing w:after="140"/>
        <w:ind w:left="1500"/>
        <w:rPr>
          <w:szCs w:val="24"/>
        </w:rPr>
      </w:pPr>
      <w:r>
        <w:rPr>
          <w:szCs w:val="24"/>
        </w:rPr>
        <w:t xml:space="preserve">8. </w:t>
      </w:r>
      <w:r>
        <w:rPr>
          <w:rStyle w:val="highlightany"/>
          <w:szCs w:val="24"/>
          <w:u w:val="single"/>
        </w:rPr>
        <w:t>Current or Past IPA Appointments</w:t>
      </w:r>
      <w:r>
        <w:rPr>
          <w:szCs w:val="24"/>
        </w:rPr>
        <w:t>. List any Int</w:t>
      </w:r>
      <w:r>
        <w:rPr>
          <w:szCs w:val="24"/>
        </w:rPr>
        <w:t>ergovernmental Personnel Act Appointments you or your co-Is or anyone on your Research Team has had or currently has with the USGS in the last 5 years. Include a description of the work completed during the appointment.</w:t>
      </w:r>
    </w:p>
    <w:p w14:paraId="26E4FBD5" w14:textId="77777777" w:rsidR="00957E69" w:rsidRDefault="001B034F" w:rsidP="00470374">
      <w:pPr>
        <w:pStyle w:val="highlightanyParagraph"/>
        <w:spacing w:after="140"/>
        <w:ind w:left="1500"/>
        <w:rPr>
          <w:szCs w:val="24"/>
        </w:rPr>
      </w:pPr>
      <w:r>
        <w:rPr>
          <w:szCs w:val="24"/>
        </w:rPr>
        <w:t xml:space="preserve">9. </w:t>
      </w:r>
      <w:r>
        <w:rPr>
          <w:rStyle w:val="highlightany"/>
          <w:szCs w:val="24"/>
          <w:u w:val="single"/>
        </w:rPr>
        <w:t>Past USGS-Supported Projects.</w:t>
      </w:r>
      <w:r>
        <w:rPr>
          <w:szCs w:val="24"/>
        </w:rPr>
        <w:t xml:space="preserve"> Lis</w:t>
      </w:r>
      <w:r>
        <w:rPr>
          <w:szCs w:val="24"/>
        </w:rPr>
        <w:t>t the total amount of funding per year for which support was provided by the USGS for previous work related to the proposed research effort, as well as the duration of each award (including no-cost extensions) and the total number of person-months committe</w:t>
      </w:r>
      <w:r>
        <w:rPr>
          <w:szCs w:val="24"/>
        </w:rPr>
        <w:t>d by each Principal Investigator each year.</w:t>
      </w:r>
    </w:p>
    <w:p w14:paraId="399DF3FE" w14:textId="77777777" w:rsidR="00957E69" w:rsidRDefault="001B034F" w:rsidP="00470374">
      <w:pPr>
        <w:pStyle w:val="highlightanyParagraph"/>
        <w:spacing w:after="140"/>
        <w:ind w:left="1500"/>
        <w:rPr>
          <w:szCs w:val="24"/>
        </w:rPr>
      </w:pPr>
      <w:r>
        <w:rPr>
          <w:rStyle w:val="highlightany"/>
          <w:b/>
          <w:bCs/>
          <w:szCs w:val="24"/>
        </w:rPr>
        <w:t>NOTE: Items 10-13 below do not count toward the 15-page limit.</w:t>
      </w:r>
    </w:p>
    <w:p w14:paraId="7BA63A66" w14:textId="77777777" w:rsidR="00957E69" w:rsidRDefault="001B034F" w:rsidP="00470374">
      <w:pPr>
        <w:pStyle w:val="highlightanyParagraph"/>
        <w:spacing w:after="140"/>
        <w:ind w:left="1500"/>
        <w:rPr>
          <w:szCs w:val="24"/>
        </w:rPr>
      </w:pPr>
      <w:r>
        <w:rPr>
          <w:szCs w:val="24"/>
        </w:rPr>
        <w:t>10.</w:t>
      </w:r>
      <w:r>
        <w:rPr>
          <w:rStyle w:val="highlightany"/>
          <w:szCs w:val="24"/>
          <w:u w:val="single"/>
        </w:rPr>
        <w:t>Data Management Plan (DMP)</w:t>
      </w:r>
      <w:r>
        <w:rPr>
          <w:szCs w:val="24"/>
        </w:rPr>
        <w:t>. </w:t>
      </w:r>
      <w:r>
        <w:rPr>
          <w:rStyle w:val="highlightany"/>
          <w:b/>
          <w:bCs/>
          <w:szCs w:val="24"/>
        </w:rPr>
        <w:t>A DMP is required</w:t>
      </w:r>
      <w:r>
        <w:rPr>
          <w:szCs w:val="24"/>
        </w:rPr>
        <w:t>. Instructions for writing an acceptable DMP are found in this Section under "Data Management Plan Re</w:t>
      </w:r>
      <w:r>
        <w:rPr>
          <w:szCs w:val="24"/>
        </w:rPr>
        <w:t xml:space="preserve">quirements". </w:t>
      </w:r>
      <w:r>
        <w:rPr>
          <w:rStyle w:val="highlightany"/>
          <w:b/>
          <w:bCs/>
          <w:szCs w:val="24"/>
        </w:rPr>
        <w:t>The DMP does not count toward the 15-page limit.</w:t>
      </w:r>
    </w:p>
    <w:p w14:paraId="331B672C" w14:textId="77777777" w:rsidR="00957E69" w:rsidRDefault="001B034F" w:rsidP="00470374">
      <w:pPr>
        <w:pStyle w:val="highlightanyParagraph"/>
        <w:spacing w:after="140"/>
        <w:ind w:left="1500"/>
        <w:rPr>
          <w:szCs w:val="24"/>
        </w:rPr>
      </w:pPr>
      <w:r>
        <w:rPr>
          <w:szCs w:val="24"/>
        </w:rPr>
        <w:t xml:space="preserve">11. </w:t>
      </w:r>
      <w:r>
        <w:rPr>
          <w:rStyle w:val="highlightany"/>
          <w:szCs w:val="24"/>
          <w:u w:val="single"/>
        </w:rPr>
        <w:t>References/Works Cited</w:t>
      </w:r>
      <w:r>
        <w:rPr>
          <w:szCs w:val="24"/>
        </w:rPr>
        <w:t xml:space="preserve">. The list of references/works cited </w:t>
      </w:r>
      <w:r>
        <w:rPr>
          <w:rStyle w:val="highlightany"/>
          <w:b/>
          <w:bCs/>
          <w:szCs w:val="24"/>
        </w:rPr>
        <w:t>does not count toward the 15-page limit.</w:t>
      </w:r>
    </w:p>
    <w:p w14:paraId="3D51D03C" w14:textId="77777777" w:rsidR="00957E69" w:rsidRDefault="001B034F" w:rsidP="00470374">
      <w:pPr>
        <w:pStyle w:val="highlightanyParagraph"/>
        <w:spacing w:after="140"/>
        <w:ind w:left="1500"/>
        <w:rPr>
          <w:szCs w:val="24"/>
        </w:rPr>
      </w:pPr>
      <w:r>
        <w:rPr>
          <w:szCs w:val="24"/>
        </w:rPr>
        <w:t xml:space="preserve">12. </w:t>
      </w:r>
      <w:r>
        <w:rPr>
          <w:rStyle w:val="highlightany"/>
          <w:szCs w:val="24"/>
          <w:u w:val="single"/>
        </w:rPr>
        <w:t>Project Personnel and Bibliography of Directly Related Work.</w:t>
      </w:r>
      <w:r>
        <w:rPr>
          <w:szCs w:val="24"/>
        </w:rPr>
        <w:t xml:space="preserve"> Provide curriculum vitae </w:t>
      </w:r>
      <w:r>
        <w:rPr>
          <w:szCs w:val="24"/>
        </w:rPr>
        <w:t>for all professional staff, summarizing education, experience, and the last five years’ bibliographic information related to the proposed work; a length of one-page is recommended. Curriculum vitae for non-PI researchers who contribute significantly to the</w:t>
      </w:r>
      <w:r>
        <w:rPr>
          <w:szCs w:val="24"/>
        </w:rPr>
        <w:t xml:space="preserve"> project </w:t>
      </w:r>
      <w:r>
        <w:rPr>
          <w:rStyle w:val="highlightany"/>
          <w:b/>
          <w:bCs/>
          <w:szCs w:val="24"/>
        </w:rPr>
        <w:t xml:space="preserve">must </w:t>
      </w:r>
      <w:r>
        <w:rPr>
          <w:szCs w:val="24"/>
        </w:rPr>
        <w:t xml:space="preserve">also be included. </w:t>
      </w:r>
      <w:r>
        <w:rPr>
          <w:rStyle w:val="highlightany"/>
          <w:b/>
          <w:bCs/>
          <w:szCs w:val="24"/>
        </w:rPr>
        <w:t>Curriculum vitae will not count toward the 15-page limit.</w:t>
      </w:r>
    </w:p>
    <w:p w14:paraId="06AE720E" w14:textId="77777777" w:rsidR="00957E69" w:rsidRDefault="001B034F" w:rsidP="00470374">
      <w:pPr>
        <w:pStyle w:val="highlightanyParagraph"/>
        <w:spacing w:after="140"/>
        <w:ind w:left="1500"/>
        <w:rPr>
          <w:szCs w:val="24"/>
        </w:rPr>
      </w:pPr>
      <w:r>
        <w:rPr>
          <w:szCs w:val="24"/>
        </w:rPr>
        <w:t xml:space="preserve">13. </w:t>
      </w:r>
      <w:r>
        <w:rPr>
          <w:rStyle w:val="highlightany"/>
          <w:szCs w:val="24"/>
          <w:u w:val="single"/>
        </w:rPr>
        <w:t>Letters of Support/USGS Scientist Signed Statement of Collaboration/Commitment.</w:t>
      </w:r>
      <w:r>
        <w:rPr>
          <w:szCs w:val="24"/>
        </w:rPr>
        <w:t xml:space="preserve"> Letters of Support are useful for all proposals that </w:t>
      </w:r>
      <w:r>
        <w:rPr>
          <w:szCs w:val="24"/>
        </w:rPr>
        <w:lastRenderedPageBreak/>
        <w:t xml:space="preserve">include coordination with or </w:t>
      </w:r>
      <w:r>
        <w:rPr>
          <w:szCs w:val="24"/>
        </w:rPr>
        <w:t xml:space="preserve">participation by researchers at institutions other than those submitting the proposal or from a USGS employee. </w:t>
      </w:r>
      <w:r>
        <w:rPr>
          <w:rStyle w:val="highlightany"/>
          <w:b/>
          <w:bCs/>
          <w:szCs w:val="24"/>
        </w:rPr>
        <w:t>These letters do not count toward the 15-page limit.</w:t>
      </w:r>
      <w:r>
        <w:rPr>
          <w:szCs w:val="24"/>
        </w:rPr>
        <w:t xml:space="preserve"> Such letters are </w:t>
      </w:r>
      <w:r>
        <w:rPr>
          <w:rStyle w:val="highlightany"/>
          <w:b/>
          <w:bCs/>
          <w:szCs w:val="24"/>
        </w:rPr>
        <w:t xml:space="preserve">NOT </w:t>
      </w:r>
      <w:r>
        <w:rPr>
          <w:szCs w:val="24"/>
        </w:rPr>
        <w:t>acceptable from USGS scientists and </w:t>
      </w:r>
      <w:r>
        <w:rPr>
          <w:rStyle w:val="highlightany"/>
          <w:b/>
          <w:bCs/>
          <w:szCs w:val="24"/>
        </w:rPr>
        <w:t>if included, WILL BE REMOVED from c</w:t>
      </w:r>
      <w:r>
        <w:rPr>
          <w:rStyle w:val="highlightany"/>
          <w:b/>
          <w:bCs/>
          <w:szCs w:val="24"/>
        </w:rPr>
        <w:t xml:space="preserve">onsideration prior to proposal review and your proposal will be at risk for rejection. </w:t>
      </w:r>
      <w:r>
        <w:rPr>
          <w:szCs w:val="24"/>
        </w:rPr>
        <w:t>Instead, </w:t>
      </w:r>
      <w:r>
        <w:rPr>
          <w:rStyle w:val="highlightany"/>
          <w:b/>
          <w:bCs/>
          <w:szCs w:val="24"/>
        </w:rPr>
        <w:t>a signed "USGS Scientist Collaboration/Commitment Statement Form" </w:t>
      </w:r>
      <w:r>
        <w:rPr>
          <w:szCs w:val="24"/>
        </w:rPr>
        <w:t>is </w:t>
      </w:r>
      <w:r>
        <w:rPr>
          <w:rStyle w:val="highlightany"/>
          <w:b/>
          <w:bCs/>
          <w:szCs w:val="24"/>
        </w:rPr>
        <w:t>REQUIRED and MUST be included if a USGS scientist intends to collaborate with or commit res</w:t>
      </w:r>
      <w:r>
        <w:rPr>
          <w:rStyle w:val="highlightany"/>
          <w:b/>
          <w:bCs/>
          <w:szCs w:val="24"/>
        </w:rPr>
        <w:t>ources to the proposal Applicant. </w:t>
      </w:r>
      <w:r>
        <w:rPr>
          <w:rStyle w:val="highlightany"/>
          <w:szCs w:val="24"/>
          <w:u w:val="single"/>
        </w:rPr>
        <w:t xml:space="preserve">The USGS Scientist Collaboration/Commitment Statement Form is included in this Announcement as </w:t>
      </w:r>
      <w:r>
        <w:rPr>
          <w:rStyle w:val="highlightany"/>
          <w:b/>
          <w:bCs/>
          <w:szCs w:val="24"/>
          <w:u w:val="single"/>
        </w:rPr>
        <w:t>Attachment B</w:t>
      </w:r>
      <w:r>
        <w:rPr>
          <w:rStyle w:val="highlightany"/>
          <w:szCs w:val="24"/>
          <w:u w:val="single"/>
        </w:rPr>
        <w:t>.</w:t>
      </w:r>
      <w:r>
        <w:rPr>
          <w:szCs w:val="24"/>
        </w:rPr>
        <w:t xml:space="preserve"> The Applicant is responsible for providing the form to the USGS scientist to fill out and sign along with the USGS scientist's direct supervisor.</w:t>
      </w:r>
      <w:r>
        <w:rPr>
          <w:szCs w:val="24"/>
        </w:rPr>
        <w:br/>
        <w:t> </w:t>
      </w:r>
    </w:p>
    <w:p w14:paraId="6D5A37E8" w14:textId="77777777" w:rsidR="00957E69" w:rsidRDefault="001B034F" w:rsidP="00470374">
      <w:pPr>
        <w:spacing w:before="20" w:after="20"/>
        <w:rPr>
          <w:vanish/>
        </w:rPr>
      </w:pPr>
      <w:r>
        <w:rPr>
          <w:vanish/>
          <w:color w:val="009745"/>
        </w:rPr>
        <w:t>The following header will display if this checkbox is selected: </w:t>
      </w:r>
      <w:r>
        <w:rPr>
          <w:b/>
          <w:bCs/>
          <w:vanish/>
          <w:color w:val="009745"/>
        </w:rPr>
        <w:t>SF 424A, Budget Information for Non-Constru</w:t>
      </w:r>
      <w:r>
        <w:rPr>
          <w:b/>
          <w:bCs/>
          <w:vanish/>
          <w:color w:val="009745"/>
        </w:rPr>
        <w:t xml:space="preserve">ction Programs </w:t>
      </w:r>
    </w:p>
    <w:p w14:paraId="391FC1A8" w14:textId="77777777" w:rsidR="00957E69" w:rsidRDefault="001B034F"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Applicants must submit the appropriate SF-424 Budget Information form and Budget Narrative.  For non-construction programs or projects, applicants must complete and submit the SF-424A, “Budget Information for Non-Construction Programs” form</w:t>
      </w:r>
      <w:r>
        <w:rPr>
          <w:rFonts w:ascii="Times New Roman" w:eastAsia="Times New Roman" w:hAnsi="Times New Roman" w:cs="Times New Roman"/>
          <w:color w:val="606060"/>
          <w:sz w:val="24"/>
          <w:szCs w:val="24"/>
          <w:u w:val="single"/>
        </w:rPr>
        <w:t>.  All of the required application forms are available with this announcement on Grants.gov. Federal award recipients and subrecipients are subject to Federal award cost principles in 2 CFR 200.</w:t>
      </w:r>
    </w:p>
    <w:p w14:paraId="125525F9" w14:textId="77777777" w:rsidR="00957E69" w:rsidRDefault="001B034F" w:rsidP="00470374">
      <w:pPr>
        <w:spacing w:before="20" w:after="20"/>
        <w:rPr>
          <w:vanish/>
        </w:rPr>
      </w:pPr>
      <w:r>
        <w:rPr>
          <w:vanish/>
          <w:color w:val="009745"/>
        </w:rPr>
        <w:t>The following header will display if this checkbox is selecte</w:t>
      </w:r>
      <w:r>
        <w:rPr>
          <w:vanish/>
          <w:color w:val="009745"/>
        </w:rPr>
        <w:t>d: </w:t>
      </w:r>
      <w:r>
        <w:rPr>
          <w:b/>
          <w:bCs/>
          <w:vanish/>
          <w:color w:val="009745"/>
        </w:rPr>
        <w:t>SF-424C, Budget Information for Construction Programs</w:t>
      </w:r>
    </w:p>
    <w:p w14:paraId="679E700F" w14:textId="77777777" w:rsidR="00957E69" w:rsidRDefault="001B034F" w:rsidP="00470374">
      <w:pPr>
        <w:pStyle w:val="Label"/>
        <w:spacing w:before="60" w:after="20"/>
      </w:pPr>
      <w:r>
        <w:t>Detailed Budget Narrative</w:t>
      </w:r>
    </w:p>
    <w:p w14:paraId="443DEEE7" w14:textId="77777777" w:rsidR="00957E69" w:rsidRDefault="001B034F" w:rsidP="00470374">
      <w:pPr>
        <w:spacing w:before="60" w:after="20"/>
        <w:rPr>
          <w:vanish/>
        </w:rPr>
      </w:pPr>
      <w:r>
        <w:rPr>
          <w:vanish/>
          <w:color w:val="009745"/>
        </w:rPr>
        <w:t>In addition to the following standard statement, provide any additional program specific budget narrative instructions in the text field after the standard statement. To ass</w:t>
      </w:r>
      <w:r>
        <w:rPr>
          <w:vanish/>
          <w:color w:val="009745"/>
        </w:rPr>
        <w:t>ist applicants with a detailed a budget, a sample detailed budget worksheet may be attached and referenced within the below text field.</w:t>
      </w:r>
    </w:p>
    <w:p w14:paraId="1702ECA3"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project budget shall include detailed information on all cost categories and must clearly identify all </w:t>
      </w:r>
      <w:r>
        <w:rPr>
          <w:rFonts w:ascii="Times New Roman" w:eastAsia="Times New Roman" w:hAnsi="Times New Roman" w:cs="Times New Roman"/>
          <w:sz w:val="24"/>
          <w:szCs w:val="24"/>
        </w:rPr>
        <w:t>estimated project costs. Unit costs shall be provided for all budget items including the cost of work to be provided by contractors or sub-recipients. In addition, applicants shall include a narrative description of the items included in the project budget</w:t>
      </w:r>
      <w:r>
        <w:rPr>
          <w:rFonts w:ascii="Times New Roman" w:eastAsia="Times New Roman" w:hAnsi="Times New Roman" w:cs="Times New Roman"/>
          <w:sz w:val="24"/>
          <w:szCs w:val="24"/>
        </w:rPr>
        <w:t xml:space="preserve">, including the value of in-kind contributions of goods and services provided to complete the project when cost share is identified to be included (reference section C of this announcement). Cost categories can include, but are not limited to, those costs </w:t>
      </w:r>
      <w:r>
        <w:rPr>
          <w:rFonts w:ascii="Times New Roman" w:eastAsia="Times New Roman" w:hAnsi="Times New Roman" w:cs="Times New Roman"/>
          <w:sz w:val="24"/>
          <w:szCs w:val="24"/>
        </w:rPr>
        <w:t>items included on the SF424A or SF424C.</w:t>
      </w:r>
    </w:p>
    <w:p w14:paraId="663CDF16"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Attachment D., Budget Summary Template.</w:t>
      </w:r>
    </w:p>
    <w:p w14:paraId="48473FD6"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Data Management Plan Requirements </w:t>
      </w:r>
    </w:p>
    <w:p w14:paraId="7068BD5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submitted to USGS must include a supplementary document of no more than four pages labeled "Data Management Plan" (DMP). This s</w:t>
      </w:r>
      <w:r>
        <w:rPr>
          <w:rFonts w:ascii="Times New Roman" w:eastAsia="Times New Roman" w:hAnsi="Times New Roman" w:cs="Times New Roman"/>
          <w:sz w:val="24"/>
          <w:szCs w:val="24"/>
        </w:rPr>
        <w:t>upplementary document should describe how the proposal will conform to USGS policy on the dissemination and sharing of research results and associated data.  A valid DMP may include only the statement that no detailed plan is needed (e.g. “No data are expe</w:t>
      </w:r>
      <w:r>
        <w:rPr>
          <w:rFonts w:ascii="Times New Roman" w:eastAsia="Times New Roman" w:hAnsi="Times New Roman" w:cs="Times New Roman"/>
          <w:sz w:val="24"/>
          <w:szCs w:val="24"/>
        </w:rPr>
        <w:t>cted to be produced from this project”), as long as the statement is accompanied by a clear justification.  This supplementary document may include:</w:t>
      </w:r>
    </w:p>
    <w:p w14:paraId="7D34D98B" w14:textId="77777777" w:rsidR="00957E69" w:rsidRDefault="001B034F" w:rsidP="00470374">
      <w:pPr>
        <w:pStyle w:val="Normal0"/>
        <w:numPr>
          <w:ilvl w:val="2"/>
          <w:numId w:val="3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types of data, samples, physical collections, software, curriculum materials, and other </w:t>
      </w:r>
      <w:r>
        <w:rPr>
          <w:rFonts w:ascii="Times New Roman" w:eastAsia="Times New Roman" w:hAnsi="Times New Roman" w:cs="Times New Roman"/>
          <w:sz w:val="24"/>
          <w:szCs w:val="24"/>
        </w:rPr>
        <w:t>materials to be produced in the course of the project;</w:t>
      </w:r>
    </w:p>
    <w:p w14:paraId="6F8A9E02" w14:textId="77777777" w:rsidR="00957E69" w:rsidRDefault="001B034F" w:rsidP="00470374">
      <w:pPr>
        <w:pStyle w:val="Normal0"/>
        <w:numPr>
          <w:ilvl w:val="2"/>
          <w:numId w:val="3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33DC9DF3" w14:textId="77777777" w:rsidR="00957E69" w:rsidRDefault="001B034F" w:rsidP="00470374">
      <w:pPr>
        <w:pStyle w:val="Normal0"/>
        <w:numPr>
          <w:ilvl w:val="2"/>
          <w:numId w:val="3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po</w:t>
      </w:r>
      <w:r>
        <w:rPr>
          <w:rFonts w:ascii="Times New Roman" w:eastAsia="Times New Roman" w:hAnsi="Times New Roman" w:cs="Times New Roman"/>
          <w:sz w:val="24"/>
          <w:szCs w:val="24"/>
        </w:rPr>
        <w:t>licies for access and sharing including provisions for appropriate protection of privacy, confidentiality, security, intellectual property, or other rights or requirements;</w:t>
      </w:r>
    </w:p>
    <w:p w14:paraId="31A44A6C" w14:textId="77777777" w:rsidR="00957E69" w:rsidRDefault="001B034F" w:rsidP="00470374">
      <w:pPr>
        <w:pStyle w:val="Normal0"/>
        <w:numPr>
          <w:ilvl w:val="2"/>
          <w:numId w:val="33"/>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provisions for re-use, re-distribution, and the production of derivatives; and</w:t>
      </w:r>
    </w:p>
    <w:p w14:paraId="06C7CE3B" w14:textId="77777777" w:rsidR="00957E69" w:rsidRDefault="001B034F" w:rsidP="00470374">
      <w:pPr>
        <w:pStyle w:val="Normal0"/>
        <w:numPr>
          <w:ilvl w:val="2"/>
          <w:numId w:val="3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plan</w:t>
      </w:r>
      <w:r>
        <w:rPr>
          <w:rFonts w:ascii="Times New Roman" w:eastAsia="Times New Roman" w:hAnsi="Times New Roman" w:cs="Times New Roman"/>
          <w:sz w:val="24"/>
          <w:szCs w:val="24"/>
        </w:rPr>
        <w:t>s for archiving data, samples, and other research products, and for preservation of free public access to them.</w:t>
      </w:r>
    </w:p>
    <w:p w14:paraId="3A3F5B5E"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guidance on data management plans is available from the USGS Data Management web site here: </w:t>
      </w:r>
      <w:hyperlink r:id="rId35" w:history="1">
        <w:r>
          <w:rPr>
            <w:rStyle w:val="a"/>
            <w:rFonts w:ascii="Times New Roman" w:eastAsia="Times New Roman" w:hAnsi="Times New Roman" w:cs="Times New Roman"/>
            <w:sz w:val="24"/>
            <w:szCs w:val="24"/>
            <w:u w:val="single" w:color="0000FF"/>
          </w:rPr>
          <w:t>https://www.usgs.gov/products/data-and-tools/data-management/data-management-plans</w:t>
        </w:r>
      </w:hyperlink>
      <w:r>
        <w:rPr>
          <w:rFonts w:ascii="Times New Roman" w:eastAsia="Times New Roman" w:hAnsi="Times New Roman" w:cs="Times New Roman"/>
          <w:sz w:val="24"/>
          <w:szCs w:val="24"/>
        </w:rPr>
        <w:t>Simultaneously submitted collaborative proposals and proposals that include subawards are a single unified project a</w:t>
      </w:r>
      <w:r>
        <w:rPr>
          <w:rFonts w:ascii="Times New Roman" w:eastAsia="Times New Roman" w:hAnsi="Times New Roman" w:cs="Times New Roman"/>
          <w:sz w:val="24"/>
          <w:szCs w:val="24"/>
        </w:rPr>
        <w:t>nd should include only one supplemental combined DMP by the lead PI that also addresses all subaward data management needs, regardless of the number of non-lead collaborative proposals or subawards included. </w:t>
      </w:r>
    </w:p>
    <w:p w14:paraId="2BA0E5E3" w14:textId="77777777" w:rsidR="00957E69" w:rsidRDefault="001B034F" w:rsidP="00470374">
      <w:pPr>
        <w:pStyle w:val="highlightanyParagraph"/>
        <w:spacing w:after="140"/>
        <w:rPr>
          <w:szCs w:val="24"/>
        </w:rPr>
      </w:pPr>
      <w:r>
        <w:rPr>
          <w:szCs w:val="24"/>
        </w:rPr>
        <w:t>It is the expectation of the USGS that Principa</w:t>
      </w:r>
      <w:r>
        <w:rPr>
          <w:szCs w:val="24"/>
        </w:rPr>
        <w:t xml:space="preserve">l Investigators </w:t>
      </w:r>
      <w:r>
        <w:rPr>
          <w:rStyle w:val="highlightany"/>
          <w:b/>
          <w:bCs/>
          <w:szCs w:val="24"/>
        </w:rPr>
        <w:t xml:space="preserve">will publish the results </w:t>
      </w:r>
      <w:r>
        <w:rPr>
          <w:szCs w:val="24"/>
        </w:rPr>
        <w:t>of funded research in peer- reviewed scientific or technical journals. Scientific or technical journals are NOT acceptable to satisfy the requirements of a Data Management Plan. The DMP must be written to follow the</w:t>
      </w:r>
      <w:r>
        <w:rPr>
          <w:szCs w:val="24"/>
        </w:rPr>
        <w:t xml:space="preserve"> guidance above. In addition, all source data and data products and computer codes </w:t>
      </w:r>
      <w:r>
        <w:rPr>
          <w:rStyle w:val="highlightany"/>
          <w:b/>
          <w:bCs/>
          <w:szCs w:val="24"/>
        </w:rPr>
        <w:t xml:space="preserve">must be made readily available </w:t>
      </w:r>
      <w:r>
        <w:rPr>
          <w:szCs w:val="24"/>
        </w:rPr>
        <w:t xml:space="preserve">within the public domain upon completion of the project. </w:t>
      </w:r>
      <w:r>
        <w:rPr>
          <w:rStyle w:val="highlightany"/>
          <w:b/>
          <w:bCs/>
          <w:szCs w:val="24"/>
          <w:u w:val="single"/>
        </w:rPr>
        <w:t xml:space="preserve">If you do not include a data management plan or a statement with </w:t>
      </w:r>
      <w:r>
        <w:rPr>
          <w:rStyle w:val="highlightany"/>
          <w:b/>
          <w:bCs/>
          <w:szCs w:val="24"/>
          <w:u w:val="single"/>
        </w:rPr>
        <w:t>justification that no plan is needed, your proposal will be rejected.</w:t>
      </w:r>
      <w:r>
        <w:rPr>
          <w:szCs w:val="24"/>
        </w:rPr>
        <w:t xml:space="preserve"> </w:t>
      </w:r>
      <w:r>
        <w:rPr>
          <w:rStyle w:val="highlightany"/>
          <w:b/>
          <w:bCs/>
          <w:szCs w:val="24"/>
        </w:rPr>
        <w:t>The Data Management Plan will not count toward the 15-page limit.</w:t>
      </w:r>
    </w:p>
    <w:p w14:paraId="56A00CE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Financial Assistance Interior Regulation (FAIR), </w:t>
      </w:r>
      <w:hyperlink r:id="rId36"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551BF925"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2D31EA9E"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This section intends to ensure that non-Federal entities and their employees take appropriate steps to avoid conflicts of interest in their responsibilities under or with respect to Federal financial assistance agreements.</w:t>
      </w:r>
    </w:p>
    <w:p w14:paraId="6F0271A2"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w:t>
      </w:r>
      <w:r>
        <w:rPr>
          <w:rFonts w:ascii="Times New Roman" w:eastAsia="Times New Roman" w:hAnsi="Times New Roman" w:cs="Times New Roman"/>
          <w:sz w:val="24"/>
          <w:szCs w:val="24"/>
        </w:rPr>
        <w:t>s, equipment, construction, and services by recipients and by subrecipients, the conflict of interest provisions in 2 CFR 200.318 apply.</w:t>
      </w:r>
    </w:p>
    <w:p w14:paraId="4BCE4392"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43030B49"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w:t>
      </w:r>
      <w:r>
        <w:rPr>
          <w:rFonts w:ascii="Times New Roman" w:eastAsia="Times New Roman" w:hAnsi="Times New Roman" w:cs="Times New Roman"/>
          <w:sz w:val="24"/>
          <w:szCs w:val="24"/>
        </w:rPr>
        <w:t>ting any conflict of interest to the DOI awarding agency or pass-through entity in accordance with 2 CFR 200.112.</w:t>
      </w:r>
    </w:p>
    <w:p w14:paraId="66D4C1CA"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w:t>
      </w:r>
      <w:r>
        <w:rPr>
          <w:rFonts w:ascii="Times New Roman" w:eastAsia="Times New Roman" w:hAnsi="Times New Roman" w:cs="Times New Roman"/>
          <w:sz w:val="24"/>
          <w:szCs w:val="24"/>
        </w:rPr>
        <w:t xml:space="preserve">fied conflicts of interest.  The recipient is responsible for </w:t>
      </w:r>
      <w:r>
        <w:rPr>
          <w:rFonts w:ascii="Times New Roman" w:eastAsia="Times New Roman" w:hAnsi="Times New Roman" w:cs="Times New Roman"/>
          <w:sz w:val="24"/>
          <w:szCs w:val="24"/>
        </w:rPr>
        <w:lastRenderedPageBreak/>
        <w:t>notifying the Financial Assistance Officer in writing of any conflicts of interest that may arise during the life of the award, including those that have been reported by subrecipients.</w:t>
      </w:r>
    </w:p>
    <w:p w14:paraId="0B1B4D29"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iCs/>
          <w:sz w:val="24"/>
          <w:szCs w:val="24"/>
        </w:rPr>
        <w:t>Res</w:t>
      </w:r>
      <w:r>
        <w:rPr>
          <w:rFonts w:ascii="Times New Roman" w:eastAsia="Times New Roman" w:hAnsi="Times New Roman" w:cs="Times New Roman"/>
          <w:i/>
          <w:iCs/>
          <w:sz w:val="24"/>
          <w:szCs w:val="24"/>
        </w:rPr>
        <w:t>trictions on lobbying</w:t>
      </w:r>
      <w:r>
        <w:rPr>
          <w:rFonts w:ascii="Times New Roman" w:eastAsia="Times New Roman" w:hAnsi="Times New Roman" w:cs="Times New Roman"/>
          <w:sz w:val="24"/>
          <w:szCs w:val="24"/>
        </w:rPr>
        <w:t>.  Non-Federal entities are strictly prohibited from using funds under a grant or cooperative agreement for lobbying activities and must provide the required certifications and disclosures pursuant to 43 CFR part 18 and 31 U.S.C. 1352.</w:t>
      </w:r>
    </w:p>
    <w:p w14:paraId="316BCB2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w:t>
      </w:r>
      <w:r>
        <w:rPr>
          <w:rFonts w:ascii="Times New Roman" w:eastAsia="Times New Roman" w:hAnsi="Times New Roman" w:cs="Times New Roman"/>
          <w:sz w:val="24"/>
          <w:szCs w:val="24"/>
        </w:rPr>
        <w:t>ial conflict exists and, if it does, develop an appropriate means for resolving it.</w:t>
      </w:r>
    </w:p>
    <w:p w14:paraId="0F5D65EC"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w:t>
      </w:r>
      <w:r>
        <w:rPr>
          <w:rFonts w:ascii="Times New Roman" w:eastAsia="Times New Roman" w:hAnsi="Times New Roman" w:cs="Times New Roman"/>
          <w:sz w:val="24"/>
          <w:szCs w:val="24"/>
        </w:rPr>
        <w:t>closures may result in any of the remedies described in 2 CFR 200.338, Remedies for noncompliance, including suspension or debarment (see also 2 CFR part 180).</w:t>
      </w:r>
    </w:p>
    <w:p w14:paraId="0D1BBE8B"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U.S. states, local governments, federally recognized Indian</w:t>
      </w:r>
      <w:r>
        <w:rPr>
          <w:rFonts w:ascii="Times New Roman" w:eastAsia="Times New Roman" w:hAnsi="Times New Roman" w:cs="Times New Roman"/>
          <w:sz w:val="24"/>
          <w:szCs w:val="24"/>
        </w:rPr>
        <w:t xml:space="preserve"> tribal governments, and non- profit organizations expending $750,000 USD or more in Federal award funds in the applicant’s fiscal year must submit a Single Audit report for that year through the </w:t>
      </w:r>
      <w:hyperlink r:id="rId37"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38"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xml:space="preserve">. U.S. state, local government, federally recognized Indian tribal government, and non-profit applicants must state </w:t>
      </w:r>
      <w:r>
        <w:rPr>
          <w:rFonts w:ascii="Times New Roman" w:eastAsia="Times New Roman" w:hAnsi="Times New Roman" w:cs="Times New Roman"/>
          <w:sz w:val="24"/>
          <w:szCs w:val="24"/>
        </w:rPr>
        <w:t>if your organization was or was not required to submit a Single Audit report for the most recently closed fiscal year. If your organization was required to submit a Single Audit report for the most recently closed fiscal year, provide the EIN associated wi</w:t>
      </w:r>
      <w:r>
        <w:rPr>
          <w:rFonts w:ascii="Times New Roman" w:eastAsia="Times New Roman" w:hAnsi="Times New Roman" w:cs="Times New Roman"/>
          <w:sz w:val="24"/>
          <w:szCs w:val="24"/>
        </w:rPr>
        <w:t xml:space="preserve">th that report and state if it is available through the </w:t>
      </w:r>
      <w:hyperlink r:id="rId39"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40"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7C69899F"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41" w:history="1">
        <w:r>
          <w:rPr>
            <w:rStyle w:val="a"/>
            <w:rFonts w:ascii="Times New Roman" w:eastAsia="Times New Roman" w:hAnsi="Times New Roman" w:cs="Times New Roman"/>
            <w:sz w:val="24"/>
            <w:szCs w:val="24"/>
            <w:u w:val="single" w:color="0000FF"/>
          </w:rPr>
          <w:t xml:space="preserve">43 CFR Part 18, Appendix </w:t>
        </w:r>
        <w:r>
          <w:rPr>
            <w:rStyle w:val="a"/>
            <w:rFonts w:ascii="Times New Roman" w:eastAsia="Times New Roman" w:hAnsi="Times New Roman" w:cs="Times New Roman"/>
            <w:sz w:val="24"/>
            <w:szCs w:val="24"/>
            <w:u w:val="single" w:color="0000FF"/>
          </w:rPr>
          <w:t>A-Certification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w:t>
      </w:r>
      <w:r>
        <w:rPr>
          <w:rFonts w:ascii="Times New Roman" w:eastAsia="Times New Roman" w:hAnsi="Times New Roman" w:cs="Times New Roman"/>
          <w:sz w:val="24"/>
          <w:szCs w:val="24"/>
        </w:rPr>
        <w:t>tatements in 43 CFR Part 18, Appendix A.</w:t>
      </w:r>
    </w:p>
    <w:p w14:paraId="77D1A2A0" w14:textId="77777777" w:rsidR="00957E69" w:rsidRDefault="001B034F" w:rsidP="00470374">
      <w:pPr>
        <w:pStyle w:val="Label"/>
        <w:spacing w:before="60" w:after="20"/>
      </w:pPr>
      <w:r>
        <w:t xml:space="preserve"> Disclosure of Lobbying Activities</w:t>
      </w:r>
    </w:p>
    <w:p w14:paraId="4058DCB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and recipients must not use any federally appropriated funds (annually appropriated or continuing appropriations) or matching funds under a Federal award to pay any pers</w:t>
      </w:r>
      <w:r>
        <w:rPr>
          <w:rFonts w:ascii="Times New Roman" w:eastAsia="Times New Roman" w:hAnsi="Times New Roman" w:cs="Times New Roman"/>
          <w:sz w:val="24"/>
          <w:szCs w:val="24"/>
        </w:rPr>
        <w:t xml:space="preserve">on for lobbying in connection with the award.  Lobbying is influencing or attempting to influence an officer or employee of any U.S. agency, a Member of the U.S. Congress, an officer or employee of the U.S. Congress, or an employee of a Member of the U.S. </w:t>
      </w:r>
      <w:r>
        <w:rPr>
          <w:rFonts w:ascii="Times New Roman" w:eastAsia="Times New Roman" w:hAnsi="Times New Roman" w:cs="Times New Roman"/>
          <w:sz w:val="24"/>
          <w:szCs w:val="24"/>
        </w:rPr>
        <w:t xml:space="preserve">Congress connection with the award.  Applicants and recipients must complete and submit the </w:t>
      </w:r>
      <w:hyperlink r:id="rId42" w:history="1">
        <w:r>
          <w:rPr>
            <w:rStyle w:val="a"/>
            <w:rFonts w:ascii="Times New Roman" w:eastAsia="Times New Roman" w:hAnsi="Times New Roman" w:cs="Times New Roman"/>
            <w:sz w:val="24"/>
            <w:szCs w:val="24"/>
            <w:u w:val="single" w:color="0000FF"/>
          </w:rPr>
          <w:t>SF-LLL, “Disclosure of Lobbying Activities”</w:t>
        </w:r>
      </w:hyperlink>
      <w:r>
        <w:rPr>
          <w:rFonts w:ascii="Times New Roman" w:eastAsia="Times New Roman" w:hAnsi="Times New Roman" w:cs="Times New Roman"/>
          <w:sz w:val="24"/>
          <w:szCs w:val="24"/>
        </w:rPr>
        <w:t xml:space="preserve"> form if the Federal share of the</w:t>
      </w:r>
      <w:r>
        <w:rPr>
          <w:rFonts w:ascii="Times New Roman" w:eastAsia="Times New Roman" w:hAnsi="Times New Roman" w:cs="Times New Roman"/>
          <w:sz w:val="24"/>
          <w:szCs w:val="24"/>
        </w:rPr>
        <w:t xml:space="preserve"> proposal or award is more than $100,000 and the applicant or recipient has made or has agreed to make any payment using non-appropriated funds for lobbying in connection with the application or award.  The SF-LLL form is available with this Funding Opport</w:t>
      </w:r>
      <w:r>
        <w:rPr>
          <w:rFonts w:ascii="Times New Roman" w:eastAsia="Times New Roman" w:hAnsi="Times New Roman" w:cs="Times New Roman"/>
          <w:sz w:val="24"/>
          <w:szCs w:val="24"/>
        </w:rPr>
        <w:t>unity on Grants.gov. See 43 CFR, Subpart 18.100 and 31 USC 1352 for more information on when additional submission of this form is required.</w:t>
      </w:r>
    </w:p>
    <w:p w14:paraId="2C185DC8"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14:paraId="3DD27A74"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Applicants must provide a statement indicating if there is any overlap b</w:t>
      </w:r>
      <w:r>
        <w:rPr>
          <w:rFonts w:ascii="Times New Roman" w:eastAsia="Times New Roman" w:hAnsi="Times New Roman" w:cs="Times New Roman"/>
          <w:sz w:val="24"/>
          <w:szCs w:val="24"/>
        </w:rPr>
        <w:t>etween this Federal application and any other Federal application, or funded project, in regards to activities, costs, or time commitment of key personnel.  If no such overlap or duplication exists, state, “There are no overlaps or duplication between this</w:t>
      </w:r>
      <w:r>
        <w:rPr>
          <w:rFonts w:ascii="Times New Roman" w:eastAsia="Times New Roman" w:hAnsi="Times New Roman" w:cs="Times New Roman"/>
          <w:sz w:val="24"/>
          <w:szCs w:val="24"/>
        </w:rPr>
        <w:t xml:space="preserve"> application and any of our other Federal applications or funded projects, including in regards to activities, costs, or time commitment of key personnel”. If any such overlap exists, provide a complete description of overlaps or duplications between this </w:t>
      </w:r>
      <w:r>
        <w:rPr>
          <w:rFonts w:ascii="Times New Roman" w:eastAsia="Times New Roman" w:hAnsi="Times New Roman" w:cs="Times New Roman"/>
          <w:sz w:val="24"/>
          <w:szCs w:val="24"/>
        </w:rPr>
        <w:t xml:space="preserve">proposal and any other federally funded project or application in regards to activities, costs, and time commitment of key personnel, as applicable.  Provide a copy of any overlapping or duplicative proposal submitted to any other potential funding entity </w:t>
      </w:r>
      <w:r>
        <w:rPr>
          <w:rFonts w:ascii="Times New Roman" w:eastAsia="Times New Roman" w:hAnsi="Times New Roman" w:cs="Times New Roman"/>
          <w:sz w:val="24"/>
          <w:szCs w:val="24"/>
        </w:rPr>
        <w:t>and identify when that proposal was submitted, to whom (entity name and program), and when you anticipate being notified of their funding decision.  The statement and the description of overlap or duplication, when applicable, may be provided within the pr</w:t>
      </w:r>
      <w:r>
        <w:rPr>
          <w:rFonts w:ascii="Times New Roman" w:eastAsia="Times New Roman" w:hAnsi="Times New Roman" w:cs="Times New Roman"/>
          <w:sz w:val="24"/>
          <w:szCs w:val="24"/>
        </w:rPr>
        <w:t>oposal or as a separate attachment to the application. If at any time a proposal is awarded funds that would be overlapping or duplicative of the funding requested from USGS, the applicant must immediately notify the USGS point of contact. Any overlap or d</w:t>
      </w:r>
      <w:r>
        <w:rPr>
          <w:rFonts w:ascii="Times New Roman" w:eastAsia="Times New Roman" w:hAnsi="Times New Roman" w:cs="Times New Roman"/>
          <w:sz w:val="24"/>
          <w:szCs w:val="24"/>
        </w:rPr>
        <w:t>uplication of funding between the proposed project and other active or anticipated projects may impact selection and/or funding amount.</w:t>
      </w:r>
    </w:p>
    <w:p w14:paraId="4EB081D7"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6471FCCE" w14:textId="77777777" w:rsidR="00957E69" w:rsidRDefault="001B034F">
      <w:pPr>
        <w:pStyle w:val="h2Heading2"/>
        <w:keepNext w:val="0"/>
        <w:spacing w:before="199" w:after="199"/>
        <w:ind w:left="45" w:right="45"/>
        <w:outlineLvl w:val="9"/>
      </w:pPr>
      <w:bookmarkStart w:id="16" w:name="_Toc256000016"/>
      <w:r>
        <w:rPr>
          <w:iCs w:val="0"/>
          <w:color w:val="000000"/>
          <w:shd w:val="clear" w:color="auto" w:fill="auto"/>
        </w:rPr>
        <w:t>D3. Unique Entity Identifier and System for Award Management (SAM)</w:t>
      </w:r>
      <w:bookmarkEnd w:id="16"/>
    </w:p>
    <w:p w14:paraId="03FC53AA"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Identifier and System for Award </w:t>
      </w:r>
      <w:r>
        <w:rPr>
          <w:rFonts w:ascii="Times New Roman" w:eastAsia="Times New Roman" w:hAnsi="Times New Roman" w:cs="Times New Roman"/>
          <w:b/>
          <w:bCs/>
          <w:sz w:val="24"/>
          <w:szCs w:val="24"/>
        </w:rPr>
        <w:t>Management (SAM.gov) Registration:</w:t>
      </w:r>
      <w:r>
        <w:rPr>
          <w:rFonts w:ascii="Times New Roman" w:eastAsia="Times New Roman" w:hAnsi="Times New Roman" w:cs="Times New Roman"/>
          <w:sz w:val="24"/>
          <w:szCs w:val="24"/>
        </w:rPr>
        <w:t xml:space="preserve"> This requirement does not apply to individuals applying for funds as an individual (i.e., unrelated to any business or nonprofit organization you may own, operate, or work within), or any entity with an exception to bypas</w:t>
      </w:r>
      <w:r>
        <w:rPr>
          <w:rFonts w:ascii="Times New Roman" w:eastAsia="Times New Roman" w:hAnsi="Times New Roman" w:cs="Times New Roman"/>
          <w:sz w:val="24"/>
          <w:szCs w:val="24"/>
        </w:rPr>
        <w:t xml:space="preserve">s SAM.gov registration with prior approval from the funding bureau or office in accordance with bureau or office policy. All other applicants are required to register in SAM.gov prior to submitting a Federal award application and obtain a </w:t>
      </w:r>
      <w:hyperlink r:id="rId43" w:history="1">
        <w:r>
          <w:rPr>
            <w:rStyle w:val="a"/>
            <w:rFonts w:ascii="Times New Roman" w:eastAsia="Times New Roman" w:hAnsi="Times New Roman" w:cs="Times New Roman"/>
            <w:sz w:val="24"/>
            <w:szCs w:val="24"/>
            <w:u w:val="single" w:color="0000FF"/>
          </w:rPr>
          <w:t>Unique Entity Identifier (UEI)</w:t>
        </w:r>
      </w:hyperlink>
      <w:r>
        <w:rPr>
          <w:rFonts w:ascii="Times New Roman" w:eastAsia="Times New Roman" w:hAnsi="Times New Roman" w:cs="Times New Roman"/>
          <w:sz w:val="24"/>
          <w:szCs w:val="24"/>
        </w:rPr>
        <w:t xml:space="preserve"> which replaces the Data Universal </w:t>
      </w:r>
      <w:r>
        <w:rPr>
          <w:rFonts w:ascii="Times New Roman" w:eastAsia="Times New Roman" w:hAnsi="Times New Roman" w:cs="Times New Roman"/>
          <w:sz w:val="24"/>
          <w:szCs w:val="24"/>
        </w:rPr>
        <w:t>Numbering System (DUNS) number from Dun &amp; Bradstreet in April 2022.  A Federal award may not be made to an applicant that has not completed the SAM.gov registration. If an applicant selected for funding has not completed their SAM.gov registration by the t</w:t>
      </w:r>
      <w:r>
        <w:rPr>
          <w:rFonts w:ascii="Times New Roman" w:eastAsia="Times New Roman" w:hAnsi="Times New Roman" w:cs="Times New Roman"/>
          <w:sz w:val="24"/>
          <w:szCs w:val="24"/>
        </w:rPr>
        <w:t>ime the program is ready to make an award, the program may determine the applicant is not qualified to receive an award. Federal award recipients must also continue to maintain an active SAM.gov registration with current information through the life of the</w:t>
      </w:r>
      <w:r>
        <w:rPr>
          <w:rFonts w:ascii="Times New Roman" w:eastAsia="Times New Roman" w:hAnsi="Times New Roman" w:cs="Times New Roman"/>
          <w:sz w:val="24"/>
          <w:szCs w:val="24"/>
        </w:rPr>
        <w:t>ir Federal award(s).</w:t>
      </w:r>
    </w:p>
    <w:p w14:paraId="022258A9"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Register with the System for Award Management (SAM)</w:t>
      </w:r>
    </w:p>
    <w:p w14:paraId="7AAFEBD6"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register on the </w:t>
      </w:r>
      <w:hyperlink r:id="rId44" w:history="1">
        <w:r>
          <w:rPr>
            <w:rStyle w:val="a"/>
            <w:rFonts w:ascii="Times New Roman" w:eastAsia="Times New Roman" w:hAnsi="Times New Roman" w:cs="Times New Roman"/>
            <w:sz w:val="24"/>
            <w:szCs w:val="24"/>
            <w:u w:val="single" w:color="0000FF"/>
          </w:rPr>
          <w:t>SAM.gov</w:t>
        </w:r>
      </w:hyperlink>
      <w:r>
        <w:rPr>
          <w:rFonts w:ascii="Times New Roman" w:eastAsia="Times New Roman" w:hAnsi="Times New Roman" w:cs="Times New Roman"/>
          <w:sz w:val="24"/>
          <w:szCs w:val="24"/>
        </w:rPr>
        <w:t xml:space="preserve"> website. The “Help” tab on the website contains User Guides and other information to assist you with registration. The Grants.gov “</w:t>
      </w:r>
      <w:hyperlink r:id="rId45" w:history="1">
        <w:r>
          <w:rPr>
            <w:rStyle w:val="a"/>
            <w:rFonts w:ascii="Times New Roman" w:eastAsia="Times New Roman" w:hAnsi="Times New Roman" w:cs="Times New Roman"/>
            <w:sz w:val="24"/>
            <w:szCs w:val="24"/>
            <w:u w:val="single" w:color="0000FF"/>
          </w:rPr>
          <w:t>Register with SAM</w:t>
        </w:r>
      </w:hyperlink>
      <w:r>
        <w:rPr>
          <w:rFonts w:ascii="Times New Roman" w:eastAsia="Times New Roman" w:hAnsi="Times New Roman" w:cs="Times New Roman"/>
          <w:sz w:val="24"/>
          <w:szCs w:val="24"/>
        </w:rPr>
        <w:t>” page also provides det</w:t>
      </w:r>
      <w:r>
        <w:rPr>
          <w:rFonts w:ascii="Times New Roman" w:eastAsia="Times New Roman" w:hAnsi="Times New Roman" w:cs="Times New Roman"/>
          <w:sz w:val="24"/>
          <w:szCs w:val="24"/>
        </w:rPr>
        <w:t>ailed instructions. Applicants can contact the supporting Federal Service Desk for help registering in SAM. Once registered in SAM, entities will be assigned a Unique Entity Identifier (UEI). Entities must renew and revalidate their SAM registration at lea</w:t>
      </w:r>
      <w:r>
        <w:rPr>
          <w:rFonts w:ascii="Times New Roman" w:eastAsia="Times New Roman" w:hAnsi="Times New Roman" w:cs="Times New Roman"/>
          <w:sz w:val="24"/>
          <w:szCs w:val="24"/>
        </w:rPr>
        <w:t>st once every 12 months from the date previously registered. Entities are strongly encouraged to revalidate their registration as often as needed to ensure their information is up to date and reflects changes that may have been made to the entity’s IRS inf</w:t>
      </w:r>
      <w:r>
        <w:rPr>
          <w:rFonts w:ascii="Times New Roman" w:eastAsia="Times New Roman" w:hAnsi="Times New Roman" w:cs="Times New Roman"/>
          <w:sz w:val="24"/>
          <w:szCs w:val="24"/>
        </w:rPr>
        <w:t xml:space="preserve">ormation.  There is no cost to register with SAM.gov. There are third-party vendors who will charge a fee in exchange for registering entities with SAM.gov; please be aware you can register and request help for free.  If </w:t>
      </w:r>
      <w:r>
        <w:rPr>
          <w:rFonts w:ascii="Times New Roman" w:eastAsia="Times New Roman" w:hAnsi="Times New Roman" w:cs="Times New Roman"/>
          <w:sz w:val="24"/>
          <w:szCs w:val="24"/>
        </w:rPr>
        <w:lastRenderedPageBreak/>
        <w:t>applicable, foreign entities who wa</w:t>
      </w:r>
      <w:r>
        <w:rPr>
          <w:rFonts w:ascii="Times New Roman" w:eastAsia="Times New Roman" w:hAnsi="Times New Roman" w:cs="Times New Roman"/>
          <w:sz w:val="24"/>
          <w:szCs w:val="24"/>
        </w:rPr>
        <w:t>nt to receive payment directly to a U.S. bank account must enter and maintain valid, current banking information in SAM.</w:t>
      </w:r>
    </w:p>
    <w:p w14:paraId="49F76389" w14:textId="77777777" w:rsidR="00957E69" w:rsidRDefault="001B034F" w:rsidP="00470374">
      <w:pPr>
        <w:spacing w:before="20" w:after="20"/>
        <w:rPr>
          <w:vanish/>
        </w:rPr>
      </w:pPr>
      <w:r>
        <w:rPr>
          <w:vanish/>
          <w:color w:val="009745"/>
        </w:rPr>
        <w:t>Enter any program specific language regarding SAM.</w:t>
      </w:r>
    </w:p>
    <w:p w14:paraId="32B253D0"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E46329E" w14:textId="77777777" w:rsidR="00957E69" w:rsidRDefault="001B034F">
      <w:pPr>
        <w:pStyle w:val="h2Heading2"/>
        <w:keepNext w:val="0"/>
        <w:spacing w:before="199" w:after="199"/>
        <w:ind w:left="45" w:right="45"/>
        <w:outlineLvl w:val="9"/>
      </w:pPr>
      <w:bookmarkStart w:id="17" w:name="_Toc256000017"/>
      <w:r>
        <w:rPr>
          <w:iCs w:val="0"/>
          <w:color w:val="000000"/>
          <w:shd w:val="clear" w:color="auto" w:fill="auto"/>
        </w:rPr>
        <w:t>D4. Submission Dates and Times</w:t>
      </w:r>
      <w:bookmarkEnd w:id="17"/>
    </w:p>
    <w:p w14:paraId="6610D25B" w14:textId="77777777" w:rsidR="00957E69" w:rsidRDefault="001B034F" w:rsidP="00470374">
      <w:pPr>
        <w:spacing w:before="20" w:after="20"/>
        <w:rPr>
          <w:vanish/>
        </w:rPr>
      </w:pPr>
      <w:r>
        <w:rPr>
          <w:vanish/>
          <w:color w:val="009745"/>
        </w:rPr>
        <w:t>Funding Opportunities must identify due dates and t</w:t>
      </w:r>
      <w:r>
        <w:rPr>
          <w:vanish/>
          <w:color w:val="009745"/>
        </w:rPr>
        <w:t xml:space="preserve">imes for all submissions in accordance with </w:t>
      </w:r>
      <w:hyperlink r:id="rId46" w:anchor="ap2.1.200_1521.i" w:history="1">
        <w:r>
          <w:rPr>
            <w:rStyle w:val="a"/>
            <w:vanish/>
            <w:u w:val="single" w:color="0000FF"/>
          </w:rPr>
          <w:t>2 CFR 200, Appendix I, section D (4)</w:t>
        </w:r>
      </w:hyperlink>
      <w:r>
        <w:rPr>
          <w:vanish/>
          <w:color w:val="009745"/>
        </w:rPr>
        <w:t>.  Review and address all of th</w:t>
      </w:r>
      <w:r>
        <w:rPr>
          <w:vanish/>
          <w:color w:val="009745"/>
        </w:rPr>
        <w:t xml:space="preserve">e 2 CFR 200-Appendix I requirements in the following text field.  Clearly state deadlines in terms of date and local time (Please Note: Grants.gov uses Eastern Time); what the deadline means and if submission method affects it; and the effect of missing a </w:t>
      </w:r>
      <w:r>
        <w:rPr>
          <w:vanish/>
          <w:color w:val="009745"/>
        </w:rPr>
        <w:t>deadline.  If the funding opportunity is a rolling announcement that is open for a period of time with no specific due dates for applications, this section should say so. Format the information in this section so that it is easy to understand and use.  A t</w:t>
      </w:r>
      <w:r>
        <w:rPr>
          <w:vanish/>
          <w:color w:val="009745"/>
        </w:rPr>
        <w:t>abular format or checklist may be more helpful than narrative paragraphs.</w:t>
      </w:r>
      <w:r>
        <w:rPr>
          <w:vanish/>
          <w:color w:val="009745"/>
        </w:rPr>
        <w:br/>
      </w:r>
      <w:r>
        <w:rPr>
          <w:vanish/>
          <w:color w:val="009745"/>
        </w:rPr>
        <w:br/>
        <w:t>This includes not only submission dates and times for full applications but also any preliminary submission requirements (e.g., letters of intent, white papers, or pre-applications)</w:t>
      </w:r>
      <w:r>
        <w:rPr>
          <w:vanish/>
          <w:color w:val="009745"/>
        </w:rPr>
        <w:t>.  Describe any other submissions of information before Federal award that are separate from the full application.</w:t>
      </w:r>
    </w:p>
    <w:p w14:paraId="2E62C9BF" w14:textId="77777777" w:rsidR="00957E69" w:rsidRDefault="001B034F" w:rsidP="00470374">
      <w:pPr>
        <w:pStyle w:val="Label"/>
        <w:spacing w:before="60" w:after="20"/>
      </w:pPr>
      <w:r>
        <w:t>Due Date for Applications</w:t>
      </w:r>
    </w:p>
    <w:p w14:paraId="1EE27251" w14:textId="77777777" w:rsidR="00957E69" w:rsidRDefault="001B034F" w:rsidP="00470374">
      <w:pPr>
        <w:pStyle w:val="div"/>
        <w:spacing w:before="20" w:after="20"/>
      </w:pPr>
      <w:r>
        <w:t>May 24, 2023</w:t>
      </w:r>
    </w:p>
    <w:p w14:paraId="70483D4D" w14:textId="77777777" w:rsidR="00957E69" w:rsidRDefault="001B034F" w:rsidP="00470374">
      <w:pPr>
        <w:pStyle w:val="Label"/>
        <w:spacing w:before="60" w:after="20"/>
      </w:pPr>
      <w:r>
        <w:t>Application Due Date Explanation</w:t>
      </w:r>
    </w:p>
    <w:p w14:paraId="1E64B5CD" w14:textId="77777777" w:rsidR="00957E69" w:rsidRDefault="001B034F" w:rsidP="00470374">
      <w:pPr>
        <w:pStyle w:val="highlightanyParagraph"/>
        <w:spacing w:after="140"/>
        <w:rPr>
          <w:szCs w:val="24"/>
        </w:rPr>
      </w:pPr>
      <w:r>
        <w:rPr>
          <w:szCs w:val="24"/>
        </w:rPr>
        <w:t xml:space="preserve">Electronically submitted applications must be submitted via </w:t>
      </w:r>
      <w:r>
        <w:rPr>
          <w:szCs w:val="24"/>
        </w:rPr>
        <w:t>grants.gov no later than 6:00 p.m., EDT, on the listed application due date.</w:t>
      </w:r>
    </w:p>
    <w:p w14:paraId="189F32A5"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2E66AE1F" w14:textId="77777777" w:rsidR="00957E69" w:rsidRDefault="001B034F">
      <w:pPr>
        <w:pStyle w:val="h2Heading2"/>
        <w:keepNext w:val="0"/>
        <w:spacing w:before="199" w:after="199"/>
        <w:ind w:left="45" w:right="45"/>
        <w:outlineLvl w:val="9"/>
      </w:pPr>
      <w:bookmarkStart w:id="18" w:name="_Toc256000018"/>
      <w:r>
        <w:rPr>
          <w:iCs w:val="0"/>
          <w:color w:val="000000"/>
          <w:shd w:val="clear" w:color="auto" w:fill="auto"/>
        </w:rPr>
        <w:t>D5. Intergovernmental Review</w:t>
      </w:r>
      <w:bookmarkEnd w:id="18"/>
    </w:p>
    <w:p w14:paraId="3432AE5C"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47" w:history="1">
        <w:r>
          <w:rPr>
            <w:rStyle w:val="a"/>
            <w:rFonts w:ascii="Times New Roman" w:eastAsia="Times New Roman" w:hAnsi="Times New Roman" w:cs="Times New Roman"/>
            <w:sz w:val="24"/>
            <w:szCs w:val="24"/>
            <w:u w:val="single" w:color="0000FF"/>
          </w:rPr>
          <w:t xml:space="preserve">OMB Office of Federal Financial Management website </w:t>
        </w:r>
      </w:hyperlink>
      <w:r>
        <w:rPr>
          <w:rFonts w:ascii="Times New Roman" w:eastAsia="Times New Roman" w:hAnsi="Times New Roman" w:cs="Times New Roman"/>
          <w:sz w:val="24"/>
          <w:szCs w:val="24"/>
        </w:rPr>
        <w:t>and view the “State Point of Contact (SPOC) List” to determine whether their application is subject to the state intergovernmental review process under Executive Ord</w:t>
      </w:r>
      <w:r>
        <w:rPr>
          <w:rFonts w:ascii="Times New Roman" w:eastAsia="Times New Roman" w:hAnsi="Times New Roman" w:cs="Times New Roman"/>
          <w:sz w:val="24"/>
          <w:szCs w:val="24"/>
        </w:rPr>
        <w:t>er (E.O.) 12372 “Intergovernmental Review of Federal Programs.” States not on the list do not participate in the intergovernmental review process, and therefore do not have a SPOC. If you are located within a State that does not have a SPOC, you may send a</w:t>
      </w:r>
      <w:r>
        <w:rPr>
          <w:rFonts w:ascii="Times New Roman" w:eastAsia="Times New Roman" w:hAnsi="Times New Roman" w:cs="Times New Roman"/>
          <w:sz w:val="24"/>
          <w:szCs w:val="24"/>
        </w:rPr>
        <w:t>pplication materials directly to a Federal awarding agency. If your state is on the list, contact the designated entity for more information on the state’s prior review requirements for Federal assistance applications.</w:t>
      </w:r>
    </w:p>
    <w:p w14:paraId="1757C3C2"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1CFDB621" w14:textId="77777777" w:rsidR="00957E69" w:rsidRDefault="001B034F">
      <w:pPr>
        <w:pStyle w:val="h2Heading2"/>
        <w:keepNext w:val="0"/>
        <w:spacing w:before="199" w:after="199"/>
        <w:ind w:left="45" w:right="45"/>
        <w:outlineLvl w:val="9"/>
      </w:pPr>
      <w:bookmarkStart w:id="19" w:name="_Toc256000019"/>
      <w:r>
        <w:rPr>
          <w:iCs w:val="0"/>
          <w:color w:val="000000"/>
          <w:shd w:val="clear" w:color="auto" w:fill="auto"/>
        </w:rPr>
        <w:t>D6. Funding Restrictions</w:t>
      </w:r>
      <w:bookmarkEnd w:id="19"/>
    </w:p>
    <w:p w14:paraId="4C40E2DC" w14:textId="77777777" w:rsidR="00957E69" w:rsidRDefault="001B034F" w:rsidP="00470374">
      <w:pPr>
        <w:spacing w:before="20" w:after="20"/>
        <w:rPr>
          <w:vanish/>
        </w:rPr>
      </w:pPr>
      <w:r>
        <w:rPr>
          <w:vanish/>
          <w:color w:val="009745"/>
        </w:rPr>
        <w:t>You must i</w:t>
      </w:r>
      <w:r>
        <w:rPr>
          <w:vanish/>
          <w:color w:val="009745"/>
        </w:rPr>
        <w:t>nclude information on funding restrictions in order to allow an applicant to develop an application and budget consistent with program requirements.  Examples are whether construction is an allowable activity, if there are any limitations on direct costs s</w:t>
      </w:r>
      <w:r>
        <w:rPr>
          <w:vanish/>
          <w:color w:val="009745"/>
        </w:rPr>
        <w:t xml:space="preserve">uch as foreign travel or equipment purchases, and if there are any legislatively authorized limits on indirect </w:t>
      </w:r>
      <w:r>
        <w:rPr>
          <w:vanish/>
          <w:color w:val="009745"/>
        </w:rPr>
        <w:lastRenderedPageBreak/>
        <w:t>costs (or facilities and administrative costs).  There may also be funding restrictions listed in the program’s SAM.gov Assistance Listing (CFDA)</w:t>
      </w:r>
      <w:r>
        <w:rPr>
          <w:vanish/>
          <w:color w:val="009745"/>
        </w:rPr>
        <w:t xml:space="preserve"> profile.  You must also state if the award will or will not allow reimbursement of pre-Federal award costs.  Any program that anticipates issuing cooperative agreements to Cooperative Ecosystem Studies Units (CESU) Network partners that will qualify as CE</w:t>
      </w:r>
      <w:r>
        <w:rPr>
          <w:vanish/>
          <w:color w:val="009745"/>
        </w:rPr>
        <w:t>SU projects and therefore will be subject to the CESU indirect cost rate cap (currently 17.5%), MUST clearly state so in the Funding Opportunity.  Programs cannot cap indirect costs to successful CESU partner university applicants if the Funding Opportunit</w:t>
      </w:r>
      <w:r>
        <w:rPr>
          <w:vanish/>
          <w:color w:val="009745"/>
        </w:rPr>
        <w:t>y does not explicitly state that awards to such universities will be subject to the CESU indirect cost rate 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w:t>
      </w:r>
    </w:p>
    <w:p w14:paraId="704BE7B6" w14:textId="77777777" w:rsidR="00957E69" w:rsidRDefault="001B034F" w:rsidP="00470374">
      <w:pPr>
        <w:spacing w:before="20" w:after="20"/>
        <w:rPr>
          <w:vanish/>
        </w:rPr>
      </w:pPr>
      <w:r>
        <w:rPr>
          <w:vanish/>
          <w:color w:val="009745"/>
        </w:rPr>
        <w:t xml:space="preserve">The </w:t>
      </w:r>
      <w:r>
        <w:rPr>
          <w:vanish/>
          <w:color w:val="009745"/>
        </w:rPr>
        <w:t>following header will display if this checkbox is selected: </w:t>
      </w:r>
      <w:r>
        <w:rPr>
          <w:b/>
          <w:bCs/>
          <w:vanish/>
          <w:color w:val="009745"/>
        </w:rPr>
        <w:t>Indirect Costs: Individuals </w:t>
      </w:r>
    </w:p>
    <w:p w14:paraId="2B05307F" w14:textId="77777777" w:rsidR="00957E69" w:rsidRDefault="001B034F" w:rsidP="00470374">
      <w:pPr>
        <w:spacing w:before="20" w:after="20"/>
        <w:rPr>
          <w:vanish/>
        </w:rPr>
      </w:pPr>
      <w:r>
        <w:rPr>
          <w:vanish/>
          <w:color w:val="009745"/>
        </w:rPr>
        <w:t>The following header will display if this checkbox is selected: </w:t>
      </w:r>
      <w:r>
        <w:rPr>
          <w:b/>
          <w:bCs/>
          <w:vanish/>
          <w:color w:val="009745"/>
        </w:rPr>
        <w:t>Indirect Costs: Organizations</w:t>
      </w:r>
    </w:p>
    <w:p w14:paraId="012249E3"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Required Indirect Cost Statement to be 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w:t>
      </w:r>
      <w:r>
        <w:rPr>
          <w:rFonts w:ascii="Times New Roman" w:eastAsia="Times New Roman" w:hAnsi="Times New Roman" w:cs="Times New Roman"/>
          <w:sz w:val="24"/>
          <w:szCs w:val="24"/>
        </w:rPr>
        <w:t>anizations must include the applicable statement from the following list in their application, and attach to their application any documentation identified in the applicable statement:</w:t>
      </w:r>
    </w:p>
    <w:p w14:paraId="1B794376"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We are:</w:t>
      </w:r>
    </w:p>
    <w:p w14:paraId="161DCFFA" w14:textId="77777777" w:rsidR="00957E69" w:rsidRDefault="001B034F" w:rsidP="00470374">
      <w:pPr>
        <w:pStyle w:val="Normal0"/>
        <w:numPr>
          <w:ilvl w:val="0"/>
          <w:numId w:val="3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U.S. state or local government entity receiving more than </w:t>
      </w:r>
      <w:r>
        <w:rPr>
          <w:rFonts w:ascii="Times New Roman" w:eastAsia="Times New Roman" w:hAnsi="Times New Roman" w:cs="Times New Roman"/>
          <w:sz w:val="24"/>
          <w:szCs w:val="24"/>
        </w:rPr>
        <w:t>$35 million in direct Federal funding each year with an indirect cost rate of [insert rate].  We submit our indirect cost rate proposals to our cognizant agency.  Attached is a copy of our most recently approved rate agreement/certification.</w:t>
      </w:r>
    </w:p>
    <w:p w14:paraId="10C05B17" w14:textId="77777777" w:rsidR="00957E69" w:rsidRDefault="001B034F"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w:t>
      </w:r>
      <w:r>
        <w:rPr>
          <w:rFonts w:ascii="Times New Roman" w:eastAsia="Times New Roman" w:hAnsi="Times New Roman" w:cs="Times New Roman"/>
          <w:sz w:val="24"/>
          <w:szCs w:val="24"/>
        </w:rPr>
        <w:t>r local government entity receiving less than $35 million in direct Federal funding with an indirect cost rate of [insert rate].  We have prepared and will retain for audit an indirect cost rate proposal and related documentation.</w:t>
      </w:r>
    </w:p>
    <w:p w14:paraId="3E733219" w14:textId="77777777" w:rsidR="00957E69" w:rsidRDefault="001B034F"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w:t>
      </w:r>
      <w:r>
        <w:rPr>
          <w:rFonts w:ascii="Times New Roman" w:eastAsia="Times New Roman" w:hAnsi="Times New Roman" w:cs="Times New Roman"/>
          <w:sz w:val="24"/>
          <w:szCs w:val="24"/>
        </w:rPr>
        <w:t xml:space="preserve">on type; U.S. states and local governments, do not use this statement] that has previously negotiated or currently has an approved indirect cost rate with our cognizant agency.  Our indirect cost rate is [insert rate].  [Insert either: “Attached is a copy </w:t>
      </w:r>
      <w:r>
        <w:rPr>
          <w:rFonts w:ascii="Times New Roman" w:eastAsia="Times New Roman" w:hAnsi="Times New Roman" w:cs="Times New Roman"/>
          <w:sz w:val="24"/>
          <w:szCs w:val="24"/>
        </w:rPr>
        <w:t xml:space="preserve">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“Attached is a copy of our current negotiat</w:t>
      </w:r>
      <w:r>
        <w:rPr>
          <w:rFonts w:ascii="Times New Roman" w:eastAsia="Times New Roman" w:hAnsi="Times New Roman" w:cs="Times New Roman"/>
          <w:sz w:val="24"/>
          <w:szCs w:val="24"/>
        </w:rPr>
        <w:t>ed indirect cost rate agreement.”]</w:t>
      </w:r>
    </w:p>
    <w:p w14:paraId="6455B5C5" w14:textId="77777777" w:rsidR="00957E69" w:rsidRDefault="001B034F"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has never submitted an indirect cost rate proposal to our cognizant agency.  Our indirect cost rate is [insert rate].  If we receive an award, we will submit an indirect cost rate pr</w:t>
      </w:r>
      <w:r>
        <w:rPr>
          <w:rFonts w:ascii="Times New Roman" w:eastAsia="Times New Roman" w:hAnsi="Times New Roman" w:cs="Times New Roman"/>
          <w:sz w:val="24"/>
          <w:szCs w:val="24"/>
        </w:rPr>
        <w:t>oposal to our cognizant agency within 90 calendar days after the award date.</w:t>
      </w:r>
    </w:p>
    <w:p w14:paraId="472B3011" w14:textId="77777777" w:rsidR="00957E69" w:rsidRDefault="001B034F"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has never submitted an indirect cost rate proposal to our cognizant agency and has an indirect cost rate that is lower than 10%.  Our indire</w:t>
      </w:r>
      <w:r>
        <w:rPr>
          <w:rFonts w:ascii="Times New Roman" w:eastAsia="Times New Roman" w:hAnsi="Times New Roman" w:cs="Times New Roman"/>
          <w:sz w:val="24"/>
          <w:szCs w:val="24"/>
        </w:rPr>
        <w:t>ct cost rate is [insert rate; must be lower than 10%].  However, if we receive an award we will not be able to meet the requirement to submit an indirect cost rate proposal to our cognizant agency within 90 calendar days after award.  We request as a condi</w:t>
      </w:r>
      <w:r>
        <w:rPr>
          <w:rFonts w:ascii="Times New Roman" w:eastAsia="Times New Roman" w:hAnsi="Times New Roman" w:cs="Times New Roman"/>
          <w:sz w:val="24"/>
          <w:szCs w:val="24"/>
        </w:rPr>
        <w:t xml:space="preserve">tion of award to charge a flat indirect cost rate of [insert rate; must be lower than 10%] against [insert a clear description of the direct cost base against which your rate is charged (e.g., </w:t>
      </w:r>
      <w:r>
        <w:rPr>
          <w:rFonts w:ascii="Times New Roman" w:eastAsia="Times New Roman" w:hAnsi="Times New Roman" w:cs="Times New Roman"/>
          <w:sz w:val="24"/>
          <w:szCs w:val="24"/>
        </w:rPr>
        <w:lastRenderedPageBreak/>
        <w:t>salaries; salaries and fringe benefits; or modified total direc</w:t>
      </w:r>
      <w:r>
        <w:rPr>
          <w:rFonts w:ascii="Times New Roman" w:eastAsia="Times New Roman" w:hAnsi="Times New Roman" w:cs="Times New Roman"/>
          <w:sz w:val="24"/>
          <w:szCs w:val="24"/>
        </w:rPr>
        <w:t>t costs). However, please note that your organization cannot charge indirect costs in excess of the indirect costs that would be recovered if applied against modified total direct costs as defined in §</w:t>
      </w:r>
      <w:hyperlink r:id="rId48" w:anchor="se2.1.200_168"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We understand that we must notify USGS in writing if we establish an approved rate with our cognizant agency at any point during the award period.</w:t>
      </w:r>
    </w:p>
    <w:p w14:paraId="5EDFCC6C" w14:textId="77777777" w:rsidR="00957E69" w:rsidRDefault="001B034F"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has never submitted an indirect cost rate proposal to our cognizant agency and has an indirect cost rate that is 10% or higher.  Our indirect cost rate is [insert your organization’s indirect rate; must be 10% or high</w:t>
      </w:r>
      <w:r>
        <w:rPr>
          <w:rFonts w:ascii="Times New Roman" w:eastAsia="Times New Roman" w:hAnsi="Times New Roman" w:cs="Times New Roman"/>
          <w:sz w:val="24"/>
          <w:szCs w:val="24"/>
        </w:rPr>
        <w:t xml:space="preserve">er].  However, if we receive an award we will not be able to meet the requirement to submit an indirect cost rate proposal to our cognizant agency within 90 calendar days after award.  We request as a condition of award to charge a flat </w:t>
      </w:r>
      <w:r>
        <w:rPr>
          <w:rFonts w:ascii="Times New Roman" w:eastAsia="Times New Roman" w:hAnsi="Times New Roman" w:cs="Times New Roman"/>
          <w:i/>
          <w:iCs/>
          <w:sz w:val="24"/>
          <w:szCs w:val="24"/>
        </w:rPr>
        <w:t>de minimis</w:t>
      </w:r>
      <w:r>
        <w:rPr>
          <w:rFonts w:ascii="Times New Roman" w:eastAsia="Times New Roman" w:hAnsi="Times New Roman" w:cs="Times New Roman"/>
          <w:sz w:val="24"/>
          <w:szCs w:val="24"/>
        </w:rPr>
        <w:t xml:space="preserve"> indirect</w:t>
      </w:r>
      <w:r>
        <w:rPr>
          <w:rFonts w:ascii="Times New Roman" w:eastAsia="Times New Roman" w:hAnsi="Times New Roman" w:cs="Times New Roman"/>
          <w:sz w:val="24"/>
          <w:szCs w:val="24"/>
        </w:rPr>
        <w:t xml:space="preserve"> cost rate of 10% to be charged against modified total direct project costs as defined in </w:t>
      </w:r>
      <w:hyperlink r:id="rId49" w:anchor="se2.1.200_168"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rPr>
        <w:t>.  We under</w:t>
      </w:r>
      <w:r>
        <w:rPr>
          <w:rFonts w:ascii="Times New Roman" w:eastAsia="Times New Roman" w:hAnsi="Times New Roman" w:cs="Times New Roman"/>
          <w:sz w:val="24"/>
          <w:szCs w:val="24"/>
        </w:rPr>
        <w:t>stand that we must notify USGS in writing if we establish a negotiated rate with our cognizant agency at any point during the award period.  We understand that additional Federal funds may not be available to support an unexpected increase in indirect cost</w:t>
      </w:r>
      <w:r>
        <w:rPr>
          <w:rFonts w:ascii="Times New Roman" w:eastAsia="Times New Roman" w:hAnsi="Times New Roman" w:cs="Times New Roman"/>
          <w:sz w:val="24"/>
          <w:szCs w:val="24"/>
        </w:rPr>
        <w:t>s during the project period and that such changes are subject to review, negotiation, and prior approval by USGS.</w:t>
      </w:r>
    </w:p>
    <w:p w14:paraId="4AB239AE" w14:textId="77777777" w:rsidR="00957E69" w:rsidRDefault="001B034F" w:rsidP="00470374">
      <w:pPr>
        <w:pStyle w:val="Normal0"/>
        <w:numPr>
          <w:ilvl w:val="0"/>
          <w:numId w:val="3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is submitting this proposal for consideration under the “Cooperative Ecosystem Studies Unit Network”,  </w:t>
      </w:r>
      <w:r>
        <w:rPr>
          <w:rFonts w:ascii="Times New Roman" w:eastAsia="Times New Roman" w:hAnsi="Times New Roman" w:cs="Times New Roman"/>
          <w:sz w:val="24"/>
          <w:szCs w:val="24"/>
        </w:rPr>
        <w:t>which has a Department of the Interior-approved indirect cost rate cap of 17.5%.  If we have an approved indirect cost rate with our cognizant agency, we understand that we must apply this reduced rate against the same direct cost base as identified in our</w:t>
      </w:r>
      <w:r>
        <w:rPr>
          <w:rFonts w:ascii="Times New Roman" w:eastAsia="Times New Roman" w:hAnsi="Times New Roman" w:cs="Times New Roman"/>
          <w:sz w:val="24"/>
          <w:szCs w:val="24"/>
        </w:rPr>
        <w:t xml:space="preserve"> approved indirect cost rate agreement per </w:t>
      </w:r>
      <w:hyperlink r:id="rId50"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 xml:space="preserve">. If we do not have an approved indirect cost rate with our cognizant agency, we </w:t>
      </w:r>
      <w:r>
        <w:rPr>
          <w:rFonts w:ascii="Times New Roman" w:eastAsia="Times New Roman" w:hAnsi="Times New Roman" w:cs="Times New Roman"/>
          <w:sz w:val="24"/>
          <w:szCs w:val="24"/>
        </w:rPr>
        <w:t>understand that we must charge indirect costs against the modified total direct cost base defined in 2 CFR §200.68 “Modified Total Direct Cost (MTDC)”.  We understand that we must request prior approval from USGS to use the 2 CFR 200 MTDC base instead of t</w:t>
      </w:r>
      <w:r>
        <w:rPr>
          <w:rFonts w:ascii="Times New Roman" w:eastAsia="Times New Roman" w:hAnsi="Times New Roman" w:cs="Times New Roman"/>
          <w:sz w:val="24"/>
          <w:szCs w:val="24"/>
        </w:rPr>
        <w:t>he base identified in our approved indirect cost rate agreement.  We understand that USGS approval of such a request will be based on: 1) a determination that our approved base is only a subset of the MTDC (such as salaries and wages); and 2) that use of t</w:t>
      </w:r>
      <w:r>
        <w:rPr>
          <w:rFonts w:ascii="Times New Roman" w:eastAsia="Times New Roman" w:hAnsi="Times New Roman" w:cs="Times New Roman"/>
          <w:sz w:val="24"/>
          <w:szCs w:val="24"/>
        </w:rPr>
        <w:t xml:space="preserve">he MTDC base will still result in a reduction of the total indirect costs to be charged to the award.  In accordance with 2 CFR §200.405, we understand that indirect costs not recovered due to a voluntary reduction to our federally negotiated rate are not </w:t>
      </w:r>
      <w:r>
        <w:rPr>
          <w:rFonts w:ascii="Times New Roman" w:eastAsia="Times New Roman" w:hAnsi="Times New Roman" w:cs="Times New Roman"/>
          <w:sz w:val="24"/>
          <w:szCs w:val="24"/>
        </w:rPr>
        <w:t>allowable for recovery via any other means.</w:t>
      </w:r>
    </w:p>
    <w:p w14:paraId="325B9803" w14:textId="77777777" w:rsidR="00957E69" w:rsidRDefault="001B034F" w:rsidP="00470374">
      <w:pPr>
        <w:pStyle w:val="Normal0"/>
        <w:numPr>
          <w:ilvl w:val="0"/>
          <w:numId w:val="3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7EE36FB8"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641F4BB" w14:textId="77777777" w:rsidR="00957E69" w:rsidRDefault="001B034F">
      <w:pPr>
        <w:pStyle w:val="h2Heading2"/>
        <w:keepNext w:val="0"/>
        <w:spacing w:before="199" w:after="199"/>
        <w:ind w:left="45" w:right="45"/>
        <w:outlineLvl w:val="9"/>
      </w:pPr>
      <w:bookmarkStart w:id="20" w:name="_Toc256000020"/>
      <w:r>
        <w:rPr>
          <w:iCs w:val="0"/>
          <w:color w:val="000000"/>
          <w:shd w:val="clear" w:color="auto" w:fill="auto"/>
        </w:rPr>
        <w:t>D7. Other Submission Requirements</w:t>
      </w:r>
      <w:bookmarkEnd w:id="20"/>
    </w:p>
    <w:p w14:paraId="5B5692C2" w14:textId="77777777" w:rsidR="00957E69" w:rsidRDefault="001B034F" w:rsidP="00470374">
      <w:pPr>
        <w:spacing w:before="20" w:after="20"/>
        <w:rPr>
          <w:vanish/>
        </w:rPr>
      </w:pPr>
      <w:r>
        <w:rPr>
          <w:vanish/>
          <w:color w:val="009745"/>
        </w:rPr>
        <w:t>You must provide detailed submission instructions, including the format of submission (i.e., paper or ele</w:t>
      </w:r>
      <w:r>
        <w:rPr>
          <w:vanish/>
          <w:color w:val="009745"/>
        </w:rPr>
        <w:t>ctronic), for each type of required submission.  Do not require applicants to submit in more than one format.  Indicate if applicants have more than one choice for how to submit an application and provide detailed instructions for each option, including wh</w:t>
      </w:r>
      <w:r>
        <w:rPr>
          <w:vanish/>
          <w:color w:val="009745"/>
        </w:rPr>
        <w:t>ere to send the application.  For postal mail submissions, provide a complete mailing address.  For electronic submissions, include the website URL or email address and detail if a password is required, if particular software or other capabilities are requ</w:t>
      </w:r>
      <w:r>
        <w:rPr>
          <w:vanish/>
          <w:color w:val="009745"/>
        </w:rPr>
        <w:t xml:space="preserve">ired, what to do in the event of system problems, and a point of contact in the event of technical difficulties.  Describe how the receiving program </w:t>
      </w:r>
      <w:r>
        <w:rPr>
          <w:vanish/>
          <w:color w:val="009745"/>
        </w:rPr>
        <w:lastRenderedPageBreak/>
        <w:t>determines timely submission, and whether, when, and in what form applications will be sent acknowledgement</w:t>
      </w:r>
      <w:r>
        <w:rPr>
          <w:vanish/>
          <w:color w:val="009745"/>
        </w:rPr>
        <w:t xml:space="preserve"> of receipt.  State if you are requiring the use of Grants.gov or GrantSolutions for submission of applications.</w:t>
      </w:r>
    </w:p>
    <w:p w14:paraId="2348FAD0" w14:textId="77777777" w:rsidR="00957E69" w:rsidRDefault="001B034F" w:rsidP="00470374">
      <w:pPr>
        <w:pStyle w:val="highlightanyParagraph"/>
        <w:spacing w:after="140"/>
        <w:rPr>
          <w:szCs w:val="24"/>
        </w:rPr>
      </w:pPr>
      <w:r>
        <w:rPr>
          <w:rStyle w:val="highlightany"/>
          <w:b/>
          <w:bCs/>
          <w:szCs w:val="24"/>
          <w:u w:val="single"/>
        </w:rPr>
        <w:t>Award Terms and Conditions:</w:t>
      </w:r>
      <w:r>
        <w:rPr>
          <w:rStyle w:val="highlightany"/>
          <w:b/>
          <w:bCs/>
          <w:szCs w:val="24"/>
          <w:u w:val="single"/>
        </w:rPr>
        <w:br/>
      </w:r>
      <w:r>
        <w:rPr>
          <w:szCs w:val="24"/>
        </w:rPr>
        <w:t xml:space="preserve">Award Recipients must comply with grant award Special Terms and Conditions (Attachment E). Submittal of an </w:t>
      </w:r>
      <w:r>
        <w:rPr>
          <w:szCs w:val="24"/>
        </w:rPr>
        <w:t>application constitutes the applicant’s acceptance of these terms and conditions for inclusion in any award resulting from their application. Any concerns with the requirements of the Special Terms and Conditions shall be presented to the Contracting Offic</w:t>
      </w:r>
      <w:r>
        <w:rPr>
          <w:szCs w:val="24"/>
        </w:rPr>
        <w:t>er at least three days prior to the closing date of the Announcement. Please be aware of the following are additional conditions:</w:t>
      </w:r>
    </w:p>
    <w:p w14:paraId="41CACB57" w14:textId="77777777" w:rsidR="00957E69" w:rsidRDefault="001B034F" w:rsidP="00470374">
      <w:pPr>
        <w:pStyle w:val="highlightanyParagraph"/>
        <w:numPr>
          <w:ilvl w:val="0"/>
          <w:numId w:val="35"/>
        </w:numPr>
        <w:spacing w:after="20"/>
        <w:rPr>
          <w:szCs w:val="24"/>
        </w:rPr>
      </w:pPr>
      <w:r>
        <w:rPr>
          <w:rStyle w:val="highlightany"/>
          <w:szCs w:val="24"/>
          <w:u w:val="single"/>
        </w:rPr>
        <w:t>No pre-award costs are authorized</w:t>
      </w:r>
      <w:r>
        <w:rPr>
          <w:szCs w:val="24"/>
        </w:rPr>
        <w:t>.</w:t>
      </w:r>
    </w:p>
    <w:p w14:paraId="1BE790EA" w14:textId="77777777" w:rsidR="00957E69" w:rsidRDefault="001B034F" w:rsidP="00470374">
      <w:pPr>
        <w:pStyle w:val="highlightanyParagraph"/>
        <w:numPr>
          <w:ilvl w:val="0"/>
          <w:numId w:val="35"/>
        </w:numPr>
        <w:spacing w:before="20" w:after="20"/>
        <w:rPr>
          <w:szCs w:val="24"/>
        </w:rPr>
      </w:pPr>
      <w:r>
        <w:rPr>
          <w:rStyle w:val="highlightany"/>
          <w:szCs w:val="24"/>
          <w:u w:val="single"/>
        </w:rPr>
        <w:t>No-Cost Extensions to the Project Period</w:t>
      </w:r>
      <w:r>
        <w:rPr>
          <w:szCs w:val="24"/>
        </w:rPr>
        <w:t xml:space="preserve">: No-cost extensions are discouraged. The USGS/EHP </w:t>
      </w:r>
      <w:r>
        <w:rPr>
          <w:szCs w:val="24"/>
        </w:rPr>
        <w:t xml:space="preserve">awards grants and cooperative agreements for research that extends or supplements the ongoing research within the USGS. The timely conduct of funded projects is of great importance to the achievement of the goals of the program. Applicants should consider </w:t>
      </w:r>
      <w:r>
        <w:rPr>
          <w:szCs w:val="24"/>
        </w:rPr>
        <w:t xml:space="preserve">their time commitments at the time of applying for a grant. Requests for no-cost extensions will be considered on a case-by-case basis. Applicants should supply documentation supporting their request for an extension, as described in Attachment E, Section </w:t>
      </w:r>
      <w:r>
        <w:rPr>
          <w:szCs w:val="24"/>
        </w:rPr>
        <w:t>5.</w:t>
      </w:r>
    </w:p>
    <w:p w14:paraId="1DAF1F5A" w14:textId="77777777" w:rsidR="00957E69" w:rsidRDefault="001B034F" w:rsidP="00470374">
      <w:pPr>
        <w:pStyle w:val="highlightanyParagraph"/>
        <w:numPr>
          <w:ilvl w:val="0"/>
          <w:numId w:val="35"/>
        </w:numPr>
        <w:spacing w:before="20" w:after="20"/>
        <w:rPr>
          <w:szCs w:val="24"/>
        </w:rPr>
      </w:pPr>
      <w:r>
        <w:rPr>
          <w:rStyle w:val="highlightany"/>
          <w:szCs w:val="24"/>
          <w:u w:val="single"/>
        </w:rPr>
        <w:t>Supplemental Funds</w:t>
      </w:r>
      <w:r>
        <w:rPr>
          <w:szCs w:val="24"/>
        </w:rPr>
        <w:t>: Increases in funds beyond the amount awarded are also discouraged. The peer review panels recommend funding at a rate commensurate with their judgment of the scientific merit of a proposal and their expert knowledge of the expenses l</w:t>
      </w:r>
      <w:r>
        <w:rPr>
          <w:szCs w:val="24"/>
        </w:rPr>
        <w:t>ikely to be incurred in the conduct of the research. The USGS is aware that the course of any research cannot always be predicted. However, the bulk of the funds available for grants and cooperative agreements are expended early in the fiscal year and litt</w:t>
      </w:r>
      <w:r>
        <w:rPr>
          <w:szCs w:val="24"/>
        </w:rPr>
        <w:t>le is retained for expenses beyond emergencies or special opportunities for the program. Requests for increased funding will be considered on a case-by-case basis. Applicants should supply documentation supporting their request for increased funding.</w:t>
      </w:r>
    </w:p>
    <w:p w14:paraId="625277F7" w14:textId="77777777" w:rsidR="00957E69" w:rsidRDefault="001B034F" w:rsidP="00470374">
      <w:pPr>
        <w:pStyle w:val="highlightanyParagraph"/>
        <w:numPr>
          <w:ilvl w:val="0"/>
          <w:numId w:val="35"/>
        </w:numPr>
        <w:spacing w:before="20" w:after="150"/>
        <w:rPr>
          <w:szCs w:val="24"/>
        </w:rPr>
      </w:pPr>
      <w:r>
        <w:rPr>
          <w:rStyle w:val="highlightany"/>
          <w:szCs w:val="24"/>
          <w:u w:val="single"/>
        </w:rPr>
        <w:t>Dissemination of Results</w:t>
      </w:r>
      <w:r>
        <w:rPr>
          <w:szCs w:val="24"/>
        </w:rPr>
        <w:t>: When award recipients have completed their studies, a Final Technical Report must be submitted within 90 days; these reports will be posted at </w:t>
      </w:r>
      <w:r>
        <w:rPr>
          <w:rStyle w:val="highlightany"/>
          <w:szCs w:val="24"/>
          <w:u w:val="single"/>
        </w:rPr>
        <w:t>https://earthquake.usgs.gov/cfusion/external_grants/research.cfm</w:t>
      </w:r>
      <w:r>
        <w:rPr>
          <w:szCs w:val="24"/>
        </w:rPr>
        <w:t>. It is the expectation</w:t>
      </w:r>
      <w:r>
        <w:rPr>
          <w:szCs w:val="24"/>
        </w:rPr>
        <w:t xml:space="preserve"> of the USGS that Principal Investigators will publish the results of funded research in peer-reviewed scientific or technical journals. However, scientific or technical journals are NOT acceptable to satisfy the requirements of a Data Management Plan. </w:t>
      </w:r>
      <w:r>
        <w:rPr>
          <w:rStyle w:val="highlightany"/>
          <w:b/>
          <w:bCs/>
          <w:szCs w:val="24"/>
          <w:u w:val="single"/>
        </w:rPr>
        <w:t xml:space="preserve">In </w:t>
      </w:r>
      <w:r>
        <w:rPr>
          <w:rStyle w:val="highlightany"/>
          <w:b/>
          <w:bCs/>
          <w:szCs w:val="24"/>
          <w:u w:val="single"/>
        </w:rPr>
        <w:t>addition, all data products and computer codes must be made readily available within the</w:t>
      </w:r>
      <w:r>
        <w:rPr>
          <w:rStyle w:val="highlightany"/>
          <w:szCs w:val="24"/>
          <w:u w:val="single"/>
        </w:rPr>
        <w:t> </w:t>
      </w:r>
      <w:r>
        <w:rPr>
          <w:rStyle w:val="highlightany"/>
          <w:b/>
          <w:bCs/>
          <w:szCs w:val="24"/>
          <w:u w:val="single"/>
        </w:rPr>
        <w:t>public domain and the recipients’ data management plan to ensure public data accessibility should be</w:t>
      </w:r>
      <w:r>
        <w:rPr>
          <w:rStyle w:val="highlightany"/>
          <w:b/>
          <w:bCs/>
          <w:szCs w:val="24"/>
        </w:rPr>
        <w:t xml:space="preserve"> </w:t>
      </w:r>
      <w:r>
        <w:rPr>
          <w:rStyle w:val="highlightany"/>
          <w:b/>
          <w:bCs/>
          <w:szCs w:val="24"/>
          <w:u w:val="single"/>
        </w:rPr>
        <w:t>included in the Final Technical Report.</w:t>
      </w:r>
      <w:r>
        <w:rPr>
          <w:rStyle w:val="highlightany"/>
          <w:b/>
          <w:bCs/>
          <w:szCs w:val="24"/>
        </w:rPr>
        <w:t xml:space="preserve"> </w:t>
      </w:r>
      <w:r>
        <w:rPr>
          <w:szCs w:val="24"/>
        </w:rPr>
        <w:t xml:space="preserve">See Attachment E, Section </w:t>
      </w:r>
      <w:r>
        <w:rPr>
          <w:szCs w:val="24"/>
        </w:rPr>
        <w:t>3 and Section D, "Data Management Plan Requirements" for details on Data Management Planning.</w:t>
      </w:r>
    </w:p>
    <w:p w14:paraId="10D12862"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4306EF6C" w14:textId="77777777" w:rsidR="00957E69" w:rsidRDefault="001B034F">
      <w:pPr>
        <w:pStyle w:val="h1Heading1"/>
        <w:widowControl/>
        <w:spacing w:before="161" w:after="161"/>
        <w:ind w:left="45" w:right="45"/>
        <w:outlineLvl w:val="9"/>
      </w:pPr>
      <w:bookmarkStart w:id="21" w:name="_Toc256000021"/>
      <w:r>
        <w:rPr>
          <w:color w:val="000000"/>
          <w:kern w:val="0"/>
          <w:shd w:val="clear" w:color="auto" w:fill="auto"/>
        </w:rPr>
        <w:t>E. Application Review Information</w:t>
      </w:r>
      <w:bookmarkEnd w:id="21"/>
    </w:p>
    <w:p w14:paraId="7C1BE86F" w14:textId="77777777" w:rsidR="00957E69" w:rsidRDefault="001B034F" w:rsidP="00470374">
      <w:pPr>
        <w:spacing w:before="120" w:after="60"/>
        <w:rPr>
          <w:vanish/>
        </w:rPr>
      </w:pPr>
      <w:r>
        <w:rPr>
          <w:vanish/>
          <w:color w:val="009745"/>
        </w:rPr>
        <w:t xml:space="preserve">This section must address the criteria that the Federal awarding agency will use to evaluate </w:t>
      </w:r>
      <w:r>
        <w:rPr>
          <w:vanish/>
          <w:color w:val="009745"/>
        </w:rPr>
        <w:t xml:space="preserve">applications. This includes the merit and other review criteria that evaluators will use to judge </w:t>
      </w:r>
      <w:r>
        <w:rPr>
          <w:vanish/>
          <w:color w:val="009745"/>
        </w:rPr>
        <w:lastRenderedPageBreak/>
        <w:t xml:space="preserve">applications, including any statutory, regulatory, or other preferences (e.g., minority status or Native American tribal preferences) that will be applied in </w:t>
      </w:r>
      <w:r>
        <w:rPr>
          <w:vanish/>
          <w:color w:val="009745"/>
        </w:rPr>
        <w:t>the review process.</w:t>
      </w:r>
    </w:p>
    <w:p w14:paraId="55B0E13C"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DBD9ED3" w14:textId="77777777" w:rsidR="00957E69" w:rsidRDefault="001B034F">
      <w:pPr>
        <w:pStyle w:val="h2Heading2"/>
        <w:keepNext w:val="0"/>
        <w:spacing w:before="199" w:after="199"/>
        <w:ind w:left="45" w:right="45"/>
        <w:outlineLvl w:val="9"/>
      </w:pPr>
      <w:bookmarkStart w:id="22" w:name="_Toc256000022"/>
      <w:r>
        <w:rPr>
          <w:iCs w:val="0"/>
          <w:color w:val="000000"/>
          <w:shd w:val="clear" w:color="auto" w:fill="auto"/>
        </w:rPr>
        <w:t>E1. Criteria</w:t>
      </w:r>
      <w:bookmarkEnd w:id="22"/>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957E69" w14:paraId="4DE9D62D" w14:textId="77777777">
        <w:trPr>
          <w:tblCellSpacing w:w="0" w:type="dxa"/>
        </w:trPr>
        <w:tc>
          <w:tcPr>
            <w:tcW w:w="3250" w:type="pct"/>
            <w:shd w:val="clear" w:color="auto" w:fill="FFF7D5"/>
            <w:tcMar>
              <w:top w:w="15" w:type="dxa"/>
              <w:left w:w="15" w:type="dxa"/>
              <w:bottom w:w="15" w:type="dxa"/>
              <w:right w:w="15" w:type="dxa"/>
            </w:tcMar>
            <w:vAlign w:val="center"/>
            <w:hideMark/>
          </w:tcPr>
          <w:p w14:paraId="6E82F14C" w14:textId="77777777" w:rsidR="00957E69" w:rsidRDefault="001B034F" w:rsidP="00470374">
            <w:pPr>
              <w:spacing w:before="20" w:after="20"/>
              <w:rPr>
                <w:b/>
                <w:bCs/>
                <w:szCs w:val="24"/>
              </w:rPr>
            </w:pPr>
            <w:r>
              <w:rPr>
                <w:b/>
                <w:bCs/>
                <w:szCs w:val="24"/>
              </w:rPr>
              <w:t xml:space="preserve">Criterion 1 </w:t>
            </w:r>
          </w:p>
        </w:tc>
        <w:tc>
          <w:tcPr>
            <w:tcW w:w="1750" w:type="pct"/>
            <w:shd w:val="clear" w:color="auto" w:fill="FFF7D5"/>
            <w:tcMar>
              <w:top w:w="15" w:type="dxa"/>
              <w:left w:w="15" w:type="dxa"/>
              <w:bottom w:w="15" w:type="dxa"/>
              <w:right w:w="15" w:type="dxa"/>
            </w:tcMar>
            <w:vAlign w:val="center"/>
            <w:hideMark/>
          </w:tcPr>
          <w:p w14:paraId="306FD923" w14:textId="77777777" w:rsidR="00957E69" w:rsidRDefault="001B034F"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
                <w:szCs w:val="24"/>
              </w:rPr>
              <w:t xml:space="preserve"> </w:t>
            </w:r>
          </w:p>
        </w:tc>
      </w:tr>
      <w:tr w:rsidR="00957E69" w14:paraId="65BEE9CE" w14:textId="77777777">
        <w:trPr>
          <w:tblCellSpacing w:w="0" w:type="dxa"/>
        </w:trPr>
        <w:tc>
          <w:tcPr>
            <w:tcW w:w="0" w:type="auto"/>
            <w:gridSpan w:val="2"/>
            <w:shd w:val="clear" w:color="auto" w:fill="FFF7D5"/>
            <w:tcMar>
              <w:top w:w="0" w:type="dxa"/>
              <w:left w:w="0" w:type="dxa"/>
              <w:bottom w:w="0" w:type="dxa"/>
              <w:right w:w="0" w:type="dxa"/>
            </w:tcMar>
            <w:vAlign w:val="center"/>
            <w:hideMark/>
          </w:tcPr>
          <w:tbl>
            <w:tblPr>
              <w:tblStyle w:val="tabletable"/>
              <w:tblW w:w="5000" w:type="pct"/>
              <w:tblBorders>
                <w:top w:val="single" w:sz="8" w:space="0" w:color="000000"/>
                <w:left w:val="single" w:sz="8" w:space="0" w:color="000000"/>
                <w:bottom w:val="single" w:sz="8" w:space="0" w:color="000000"/>
                <w:right w:val="single" w:sz="8" w:space="0" w:color="000000"/>
              </w:tblBorders>
              <w:shd w:val="clear" w:color="auto" w:fill="FFF7D5"/>
              <w:tblCellMar>
                <w:top w:w="15" w:type="dxa"/>
                <w:left w:w="15" w:type="dxa"/>
                <w:bottom w:w="15" w:type="dxa"/>
                <w:right w:w="15" w:type="dxa"/>
              </w:tblCellMar>
              <w:tblLook w:val="05E0" w:firstRow="1" w:lastRow="1" w:firstColumn="1" w:lastColumn="1" w:noHBand="0" w:noVBand="1"/>
            </w:tblPr>
            <w:tblGrid>
              <w:gridCol w:w="3435"/>
              <w:gridCol w:w="5905"/>
            </w:tblGrid>
            <w:tr w:rsidR="00957E69" w14:paraId="0C5E101D" w14:textId="77777777">
              <w:tc>
                <w:tcPr>
                  <w:tcW w:w="2896" w:type="dxa"/>
                  <w:tcBorders>
                    <w:top w:val="single" w:sz="8" w:space="0" w:color="000000"/>
                    <w:left w:val="single" w:sz="8" w:space="0" w:color="000000"/>
                    <w:bottom w:val="single" w:sz="8" w:space="0" w:color="000000"/>
                  </w:tcBorders>
                  <w:shd w:val="clear" w:color="auto" w:fill="FFF7D5"/>
                  <w:tcMar>
                    <w:top w:w="10" w:type="dxa"/>
                    <w:left w:w="118" w:type="dxa"/>
                    <w:bottom w:w="10" w:type="dxa"/>
                    <w:right w:w="113" w:type="dxa"/>
                  </w:tcMar>
                  <w:hideMark/>
                </w:tcPr>
                <w:p w14:paraId="1ECA5A9C" w14:textId="77777777" w:rsidR="00957E69" w:rsidRDefault="001B034F" w:rsidP="00470374">
                  <w:pPr>
                    <w:spacing w:before="20" w:after="20"/>
                    <w:rPr>
                      <w:szCs w:val="24"/>
                    </w:rPr>
                  </w:pPr>
                  <w:r>
                    <w:rPr>
                      <w:szCs w:val="24"/>
                    </w:rPr>
                    <w:t>Description</w:t>
                  </w:r>
                </w:p>
              </w:tc>
              <w:tc>
                <w:tcPr>
                  <w:tcW w:w="4996" w:type="dxa"/>
                  <w:tcBorders>
                    <w:top w:val="single" w:sz="8" w:space="0" w:color="000000"/>
                    <w:bottom w:val="single" w:sz="8" w:space="0" w:color="000000"/>
                    <w:right w:val="single" w:sz="8" w:space="0" w:color="000000"/>
                  </w:tcBorders>
                  <w:shd w:val="clear" w:color="auto" w:fill="FFF7D5"/>
                  <w:tcMar>
                    <w:top w:w="10" w:type="dxa"/>
                    <w:left w:w="113" w:type="dxa"/>
                    <w:bottom w:w="10" w:type="dxa"/>
                    <w:right w:w="118" w:type="dxa"/>
                  </w:tcMar>
                  <w:hideMark/>
                </w:tcPr>
                <w:p w14:paraId="5402D97A" w14:textId="77777777" w:rsidR="00957E69" w:rsidRDefault="001B034F" w:rsidP="00470374">
                  <w:pPr>
                    <w:spacing w:before="20" w:after="20"/>
                    <w:rPr>
                      <w:szCs w:val="24"/>
                    </w:rPr>
                  </w:pPr>
                  <w:r>
                    <w:rPr>
                      <w:szCs w:val="24"/>
                    </w:rPr>
                    <w:t>Weight 20%</w:t>
                  </w:r>
                </w:p>
              </w:tc>
            </w:tr>
            <w:tr w:rsidR="00957E69" w14:paraId="6A2A6AEB" w14:textId="77777777">
              <w:tc>
                <w:tcPr>
                  <w:tcW w:w="2906" w:type="dxa"/>
                  <w:tcBorders>
                    <w:left w:val="single" w:sz="8" w:space="0" w:color="000000"/>
                    <w:bottom w:val="single" w:sz="8" w:space="0" w:color="000000"/>
                    <w:right w:val="single" w:sz="8" w:space="0" w:color="000000"/>
                  </w:tcBorders>
                  <w:shd w:val="clear" w:color="auto" w:fill="FFF7D5"/>
                  <w:tcMar>
                    <w:top w:w="5" w:type="dxa"/>
                    <w:left w:w="118" w:type="dxa"/>
                    <w:bottom w:w="10" w:type="dxa"/>
                    <w:right w:w="118" w:type="dxa"/>
                  </w:tcMar>
                  <w:hideMark/>
                </w:tcPr>
                <w:p w14:paraId="0F9CE681" w14:textId="77777777" w:rsidR="00957E69" w:rsidRDefault="001B034F" w:rsidP="00470374">
                  <w:pPr>
                    <w:spacing w:before="20" w:after="20"/>
                    <w:rPr>
                      <w:szCs w:val="24"/>
                    </w:rPr>
                  </w:pPr>
                  <w:r>
                    <w:rPr>
                      <w:szCs w:val="24"/>
                    </w:rPr>
                    <w:t>EHP Research Priorities and Secretary of the Interior Priorities </w:t>
                  </w:r>
                </w:p>
              </w:tc>
              <w:tc>
                <w:tcPr>
                  <w:tcW w:w="4996" w:type="dxa"/>
                  <w:tcBorders>
                    <w:bottom w:val="single" w:sz="8" w:space="0" w:color="000000"/>
                    <w:right w:val="single" w:sz="8" w:space="0" w:color="000000"/>
                  </w:tcBorders>
                  <w:shd w:val="clear" w:color="auto" w:fill="FFF7D5"/>
                  <w:tcMar>
                    <w:top w:w="5" w:type="dxa"/>
                    <w:left w:w="113" w:type="dxa"/>
                    <w:bottom w:w="10" w:type="dxa"/>
                    <w:right w:w="118" w:type="dxa"/>
                  </w:tcMar>
                  <w:hideMark/>
                </w:tcPr>
                <w:p w14:paraId="11439EA9" w14:textId="77777777" w:rsidR="00957E69" w:rsidRDefault="001B034F" w:rsidP="00470374">
                  <w:pPr>
                    <w:spacing w:before="20" w:after="20"/>
                    <w:rPr>
                      <w:szCs w:val="24"/>
                    </w:rPr>
                  </w:pPr>
                  <w:r>
                    <w:rPr>
                      <w:szCs w:val="24"/>
                    </w:rPr>
                    <w:t>The Research Priorities presented in Attachment A reflect the mission of the USGS Earthquake Hazards Program (EHP) and address the Department of Interior’s Secretarial priorities. The secretarial priority applicable to EHP is to "protect our people and the</w:t>
                  </w:r>
                  <w:r>
                    <w:rPr>
                      <w:szCs w:val="24"/>
                    </w:rPr>
                    <w:t xml:space="preserve"> border". Applicants must review the high-priority targets listed in Attachment A for each region and topic in additional to the four major program elements described in Attachment A to determine if application is appropriate under this Program Announcemen</w:t>
                  </w:r>
                  <w:r>
                    <w:rPr>
                      <w:szCs w:val="24"/>
                    </w:rPr>
                    <w:t xml:space="preserve">t. </w:t>
                  </w:r>
                  <w:r>
                    <w:rPr>
                      <w:rStyle w:val="highlightany"/>
                      <w:b/>
                      <w:bCs/>
                      <w:szCs w:val="24"/>
                    </w:rPr>
                    <w:t>Proposals should clearly address both applicable program element(s) and priority topic(s).</w:t>
                  </w:r>
                </w:p>
              </w:tc>
            </w:tr>
          </w:tbl>
          <w:p w14:paraId="7854BC0B" w14:textId="77777777" w:rsidR="00957E69" w:rsidRDefault="00957E69">
            <w:pPr>
              <w:rPr>
                <w:szCs w:val="24"/>
              </w:rPr>
            </w:pPr>
          </w:p>
        </w:tc>
      </w:tr>
    </w:tbl>
    <w:p w14:paraId="681C6EC2" w14:textId="77777777" w:rsidR="00957E69" w:rsidRDefault="00957E69">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957E69" w14:paraId="4978A636" w14:textId="77777777">
        <w:trPr>
          <w:tblCellSpacing w:w="0" w:type="dxa"/>
        </w:trPr>
        <w:tc>
          <w:tcPr>
            <w:tcW w:w="3250" w:type="pct"/>
            <w:shd w:val="clear" w:color="auto" w:fill="FFF7D5"/>
            <w:tcMar>
              <w:top w:w="15" w:type="dxa"/>
              <w:left w:w="15" w:type="dxa"/>
              <w:bottom w:w="15" w:type="dxa"/>
              <w:right w:w="15" w:type="dxa"/>
            </w:tcMar>
            <w:vAlign w:val="center"/>
            <w:hideMark/>
          </w:tcPr>
          <w:p w14:paraId="25D1EA09" w14:textId="77777777" w:rsidR="00957E69" w:rsidRDefault="00957E69" w:rsidP="00470374">
            <w:pPr>
              <w:spacing w:before="20" w:after="20"/>
              <w:rPr>
                <w:b/>
                <w:bCs/>
                <w:szCs w:val="24"/>
              </w:rPr>
            </w:pPr>
          </w:p>
        </w:tc>
        <w:tc>
          <w:tcPr>
            <w:tcW w:w="1750" w:type="pct"/>
            <w:shd w:val="clear" w:color="auto" w:fill="FFF7D5"/>
            <w:tcMar>
              <w:top w:w="15" w:type="dxa"/>
              <w:left w:w="15" w:type="dxa"/>
              <w:bottom w:w="15" w:type="dxa"/>
              <w:right w:w="15" w:type="dxa"/>
            </w:tcMar>
            <w:vAlign w:val="center"/>
            <w:hideMark/>
          </w:tcPr>
          <w:p w14:paraId="010C21C8" w14:textId="77777777" w:rsidR="00957E69" w:rsidRDefault="001B034F"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
                <w:szCs w:val="24"/>
              </w:rPr>
              <w:t xml:space="preserve"> </w:t>
            </w:r>
          </w:p>
        </w:tc>
      </w:tr>
      <w:tr w:rsidR="00957E69" w14:paraId="28135C4D"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348D3412" w14:textId="77777777" w:rsidR="00957E69" w:rsidRDefault="00957E69" w:rsidP="00470374">
            <w:pPr>
              <w:spacing w:before="20" w:after="20"/>
              <w:rPr>
                <w:szCs w:val="24"/>
              </w:rPr>
            </w:pPr>
          </w:p>
        </w:tc>
      </w:tr>
    </w:tbl>
    <w:p w14:paraId="09C8AD93" w14:textId="77777777" w:rsidR="00957E69" w:rsidRDefault="00957E69">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957E69" w14:paraId="0EA89E00" w14:textId="77777777">
        <w:trPr>
          <w:tblCellSpacing w:w="0" w:type="dxa"/>
        </w:trPr>
        <w:tc>
          <w:tcPr>
            <w:tcW w:w="3250" w:type="pct"/>
            <w:shd w:val="clear" w:color="auto" w:fill="FFF7D5"/>
            <w:tcMar>
              <w:top w:w="15" w:type="dxa"/>
              <w:left w:w="15" w:type="dxa"/>
              <w:bottom w:w="15" w:type="dxa"/>
              <w:right w:w="15" w:type="dxa"/>
            </w:tcMar>
            <w:vAlign w:val="center"/>
            <w:hideMark/>
          </w:tcPr>
          <w:p w14:paraId="72B78B55" w14:textId="77777777" w:rsidR="00957E69" w:rsidRDefault="001B034F" w:rsidP="00470374">
            <w:pPr>
              <w:spacing w:before="20" w:after="20"/>
              <w:rPr>
                <w:b/>
                <w:bCs/>
                <w:szCs w:val="24"/>
              </w:rPr>
            </w:pPr>
            <w:r>
              <w:rPr>
                <w:b/>
                <w:bCs/>
                <w:szCs w:val="24"/>
              </w:rPr>
              <w:t xml:space="preserve">Criterion 2 </w:t>
            </w:r>
          </w:p>
        </w:tc>
        <w:tc>
          <w:tcPr>
            <w:tcW w:w="1750" w:type="pct"/>
            <w:shd w:val="clear" w:color="auto" w:fill="FFF7D5"/>
            <w:tcMar>
              <w:top w:w="15" w:type="dxa"/>
              <w:left w:w="15" w:type="dxa"/>
              <w:bottom w:w="15" w:type="dxa"/>
              <w:right w:w="15" w:type="dxa"/>
            </w:tcMar>
            <w:vAlign w:val="center"/>
            <w:hideMark/>
          </w:tcPr>
          <w:p w14:paraId="06693F28" w14:textId="77777777" w:rsidR="00957E69" w:rsidRDefault="001B034F"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
                <w:szCs w:val="24"/>
              </w:rPr>
              <w:t xml:space="preserve"> </w:t>
            </w:r>
          </w:p>
        </w:tc>
      </w:tr>
      <w:tr w:rsidR="00957E69" w14:paraId="236E2554" w14:textId="77777777">
        <w:trPr>
          <w:tblCellSpacing w:w="0" w:type="dxa"/>
        </w:trPr>
        <w:tc>
          <w:tcPr>
            <w:tcW w:w="0" w:type="auto"/>
            <w:gridSpan w:val="2"/>
            <w:shd w:val="clear" w:color="auto" w:fill="FFF7D5"/>
            <w:tcMar>
              <w:top w:w="0" w:type="dxa"/>
              <w:left w:w="0" w:type="dxa"/>
              <w:bottom w:w="0" w:type="dxa"/>
              <w:right w:w="0" w:type="dxa"/>
            </w:tcMar>
            <w:vAlign w:val="center"/>
            <w:hideMark/>
          </w:tcPr>
          <w:tbl>
            <w:tblPr>
              <w:tblStyle w:val="tabletable"/>
              <w:tblW w:w="5000" w:type="pct"/>
              <w:tblBorders>
                <w:top w:val="single" w:sz="8" w:space="0" w:color="000000"/>
                <w:left w:val="single" w:sz="8" w:space="0" w:color="000000"/>
                <w:bottom w:val="single" w:sz="8" w:space="0" w:color="000000"/>
                <w:right w:val="single" w:sz="8" w:space="0" w:color="000000"/>
              </w:tblBorders>
              <w:shd w:val="clear" w:color="auto" w:fill="FFF7D5"/>
              <w:tblCellMar>
                <w:top w:w="15" w:type="dxa"/>
                <w:left w:w="15" w:type="dxa"/>
                <w:bottom w:w="15" w:type="dxa"/>
                <w:right w:w="15" w:type="dxa"/>
              </w:tblCellMar>
              <w:tblLook w:val="05E0" w:firstRow="1" w:lastRow="1" w:firstColumn="1" w:lastColumn="1" w:noHBand="0" w:noVBand="1"/>
            </w:tblPr>
            <w:tblGrid>
              <w:gridCol w:w="2633"/>
              <w:gridCol w:w="6707"/>
            </w:tblGrid>
            <w:tr w:rsidR="00957E69" w14:paraId="484D4D0C" w14:textId="77777777">
              <w:tc>
                <w:tcPr>
                  <w:tcW w:w="2764" w:type="dxa"/>
                  <w:tcBorders>
                    <w:top w:val="single" w:sz="8" w:space="0" w:color="000000"/>
                    <w:left w:val="single" w:sz="8" w:space="0" w:color="000000"/>
                    <w:bottom w:val="single" w:sz="8" w:space="0" w:color="000000"/>
                  </w:tcBorders>
                  <w:shd w:val="clear" w:color="auto" w:fill="FFF7D5"/>
                  <w:tcMar>
                    <w:top w:w="10" w:type="dxa"/>
                    <w:left w:w="118" w:type="dxa"/>
                    <w:bottom w:w="10" w:type="dxa"/>
                    <w:right w:w="113" w:type="dxa"/>
                  </w:tcMar>
                  <w:hideMark/>
                </w:tcPr>
                <w:p w14:paraId="75C22FE0" w14:textId="77777777" w:rsidR="00957E69" w:rsidRDefault="001B034F" w:rsidP="00470374">
                  <w:pPr>
                    <w:spacing w:before="20" w:after="20"/>
                    <w:rPr>
                      <w:szCs w:val="24"/>
                    </w:rPr>
                  </w:pPr>
                  <w:r>
                    <w:rPr>
                      <w:szCs w:val="24"/>
                    </w:rPr>
                    <w:t>Relevance and Timeliness</w:t>
                  </w:r>
                </w:p>
              </w:tc>
              <w:tc>
                <w:tcPr>
                  <w:tcW w:w="7264" w:type="dxa"/>
                  <w:tcBorders>
                    <w:top w:val="single" w:sz="8" w:space="0" w:color="000000"/>
                    <w:bottom w:val="single" w:sz="8" w:space="0" w:color="000000"/>
                    <w:right w:val="single" w:sz="8" w:space="0" w:color="000000"/>
                  </w:tcBorders>
                  <w:shd w:val="clear" w:color="auto" w:fill="FFF7D5"/>
                  <w:tcMar>
                    <w:top w:w="10" w:type="dxa"/>
                    <w:left w:w="113" w:type="dxa"/>
                    <w:bottom w:w="10" w:type="dxa"/>
                    <w:right w:w="118" w:type="dxa"/>
                  </w:tcMar>
                  <w:hideMark/>
                </w:tcPr>
                <w:p w14:paraId="35B3A853" w14:textId="77777777" w:rsidR="00957E69" w:rsidRDefault="001B034F" w:rsidP="00470374">
                  <w:pPr>
                    <w:spacing w:before="20" w:after="20"/>
                    <w:rPr>
                      <w:szCs w:val="24"/>
                    </w:rPr>
                  </w:pPr>
                  <w:r>
                    <w:rPr>
                      <w:szCs w:val="24"/>
                    </w:rPr>
                    <w:t>Weight 20%</w:t>
                  </w:r>
                </w:p>
              </w:tc>
            </w:tr>
            <w:tr w:rsidR="00957E69" w14:paraId="4A6B982E" w14:textId="77777777">
              <w:tc>
                <w:tcPr>
                  <w:tcW w:w="2774" w:type="dxa"/>
                  <w:tcBorders>
                    <w:left w:val="single" w:sz="8" w:space="0" w:color="000000"/>
                    <w:bottom w:val="single" w:sz="8" w:space="0" w:color="000000"/>
                    <w:right w:val="single" w:sz="8" w:space="0" w:color="000000"/>
                  </w:tcBorders>
                  <w:shd w:val="clear" w:color="auto" w:fill="FFF7D5"/>
                  <w:tcMar>
                    <w:top w:w="5" w:type="dxa"/>
                    <w:left w:w="118" w:type="dxa"/>
                    <w:bottom w:w="10" w:type="dxa"/>
                    <w:right w:w="118" w:type="dxa"/>
                  </w:tcMar>
                  <w:hideMark/>
                </w:tcPr>
                <w:p w14:paraId="5891977B" w14:textId="77777777" w:rsidR="00957E69" w:rsidRDefault="001B034F" w:rsidP="00470374">
                  <w:pPr>
                    <w:spacing w:before="20" w:after="20"/>
                    <w:rPr>
                      <w:szCs w:val="24"/>
                    </w:rPr>
                  </w:pPr>
                  <w:r>
                    <w:rPr>
                      <w:szCs w:val="24"/>
                    </w:rPr>
                    <w:t xml:space="preserve">Review of relevant research proposed and timeliness for USGS </w:t>
                  </w:r>
                  <w:r>
                    <w:rPr>
                      <w:szCs w:val="24"/>
                    </w:rPr>
                    <w:t>priorities.</w:t>
                  </w:r>
                </w:p>
              </w:tc>
              <w:tc>
                <w:tcPr>
                  <w:tcW w:w="7264" w:type="dxa"/>
                  <w:tcBorders>
                    <w:bottom w:val="single" w:sz="8" w:space="0" w:color="000000"/>
                    <w:right w:val="single" w:sz="8" w:space="0" w:color="000000"/>
                  </w:tcBorders>
                  <w:shd w:val="clear" w:color="auto" w:fill="FFF7D5"/>
                  <w:tcMar>
                    <w:top w:w="5" w:type="dxa"/>
                    <w:left w:w="113" w:type="dxa"/>
                    <w:bottom w:w="10" w:type="dxa"/>
                    <w:right w:w="118" w:type="dxa"/>
                  </w:tcMar>
                  <w:hideMark/>
                </w:tcPr>
                <w:p w14:paraId="646D2685" w14:textId="77777777" w:rsidR="00957E69" w:rsidRDefault="001B034F" w:rsidP="00470374">
                  <w:pPr>
                    <w:spacing w:before="20" w:after="20"/>
                    <w:rPr>
                      <w:szCs w:val="24"/>
                    </w:rPr>
                  </w:pPr>
                  <w:r>
                    <w:rPr>
                      <w:szCs w:val="24"/>
                    </w:rPr>
                    <w:t xml:space="preserve">This factor considers the relevance and timeliness of the proposed research activities as they relate to the USGS Earthquake Hazards Program goals and address the Department of Interior’s Secretarial priorities, including regional </w:t>
                  </w:r>
                  <w:r>
                    <w:rPr>
                      <w:szCs w:val="24"/>
                    </w:rPr>
                    <w:t>emphasis where appropriate (see Attachment A).</w:t>
                  </w:r>
                </w:p>
              </w:tc>
            </w:tr>
          </w:tbl>
          <w:p w14:paraId="1CB9EAB7" w14:textId="77777777" w:rsidR="00957E69" w:rsidRDefault="00957E69">
            <w:pPr>
              <w:rPr>
                <w:szCs w:val="24"/>
              </w:rPr>
            </w:pPr>
          </w:p>
        </w:tc>
      </w:tr>
    </w:tbl>
    <w:p w14:paraId="539ADFDB" w14:textId="77777777" w:rsidR="00957E69" w:rsidRDefault="00957E69">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957E69" w14:paraId="384D7666" w14:textId="77777777">
        <w:trPr>
          <w:tblCellSpacing w:w="0" w:type="dxa"/>
        </w:trPr>
        <w:tc>
          <w:tcPr>
            <w:tcW w:w="3250" w:type="pct"/>
            <w:shd w:val="clear" w:color="auto" w:fill="FFF7D5"/>
            <w:tcMar>
              <w:top w:w="15" w:type="dxa"/>
              <w:left w:w="15" w:type="dxa"/>
              <w:bottom w:w="15" w:type="dxa"/>
              <w:right w:w="15" w:type="dxa"/>
            </w:tcMar>
            <w:vAlign w:val="center"/>
            <w:hideMark/>
          </w:tcPr>
          <w:p w14:paraId="778AB450" w14:textId="77777777" w:rsidR="00957E69" w:rsidRDefault="001B034F" w:rsidP="00470374">
            <w:pPr>
              <w:spacing w:before="20" w:after="20"/>
              <w:rPr>
                <w:b/>
                <w:bCs/>
                <w:szCs w:val="24"/>
              </w:rPr>
            </w:pPr>
            <w:r>
              <w:rPr>
                <w:b/>
                <w:bCs/>
                <w:szCs w:val="24"/>
              </w:rPr>
              <w:t xml:space="preserve">Criterion 3 </w:t>
            </w:r>
          </w:p>
        </w:tc>
        <w:tc>
          <w:tcPr>
            <w:tcW w:w="1750" w:type="pct"/>
            <w:shd w:val="clear" w:color="auto" w:fill="FFF7D5"/>
            <w:tcMar>
              <w:top w:w="15" w:type="dxa"/>
              <w:left w:w="15" w:type="dxa"/>
              <w:bottom w:w="15" w:type="dxa"/>
              <w:right w:w="15" w:type="dxa"/>
            </w:tcMar>
            <w:vAlign w:val="center"/>
            <w:hideMark/>
          </w:tcPr>
          <w:p w14:paraId="1F346683" w14:textId="77777777" w:rsidR="00957E69" w:rsidRDefault="001B034F"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
                <w:szCs w:val="24"/>
              </w:rPr>
              <w:t xml:space="preserve"> </w:t>
            </w:r>
          </w:p>
        </w:tc>
      </w:tr>
      <w:tr w:rsidR="00957E69" w14:paraId="2FD7E1D4" w14:textId="77777777">
        <w:trPr>
          <w:tblCellSpacing w:w="0" w:type="dxa"/>
        </w:trPr>
        <w:tc>
          <w:tcPr>
            <w:tcW w:w="0" w:type="auto"/>
            <w:gridSpan w:val="2"/>
            <w:shd w:val="clear" w:color="auto" w:fill="FFF7D5"/>
            <w:tcMar>
              <w:top w:w="0" w:type="dxa"/>
              <w:left w:w="0" w:type="dxa"/>
              <w:bottom w:w="0" w:type="dxa"/>
              <w:right w:w="0" w:type="dxa"/>
            </w:tcMar>
            <w:vAlign w:val="center"/>
            <w:hideMark/>
          </w:tcPr>
          <w:tbl>
            <w:tblPr>
              <w:tblStyle w:val="tabletable"/>
              <w:tblW w:w="5000" w:type="pct"/>
              <w:tblBorders>
                <w:top w:val="single" w:sz="8" w:space="0" w:color="000000"/>
                <w:left w:val="single" w:sz="8" w:space="0" w:color="000000"/>
                <w:bottom w:val="single" w:sz="8" w:space="0" w:color="000000"/>
                <w:right w:val="single" w:sz="8" w:space="0" w:color="000000"/>
              </w:tblBorders>
              <w:shd w:val="clear" w:color="auto" w:fill="FFF7D5"/>
              <w:tblCellMar>
                <w:top w:w="15" w:type="dxa"/>
                <w:left w:w="15" w:type="dxa"/>
                <w:bottom w:w="15" w:type="dxa"/>
                <w:right w:w="15" w:type="dxa"/>
              </w:tblCellMar>
              <w:tblLook w:val="05E0" w:firstRow="1" w:lastRow="1" w:firstColumn="1" w:lastColumn="1" w:noHBand="0" w:noVBand="1"/>
            </w:tblPr>
            <w:tblGrid>
              <w:gridCol w:w="2627"/>
              <w:gridCol w:w="6713"/>
            </w:tblGrid>
            <w:tr w:rsidR="00957E69" w14:paraId="2B01473F" w14:textId="77777777">
              <w:tc>
                <w:tcPr>
                  <w:tcW w:w="2764" w:type="dxa"/>
                  <w:tcBorders>
                    <w:top w:val="single" w:sz="8" w:space="0" w:color="000000"/>
                    <w:left w:val="single" w:sz="8" w:space="0" w:color="000000"/>
                    <w:bottom w:val="single" w:sz="8" w:space="0" w:color="000000"/>
                  </w:tcBorders>
                  <w:shd w:val="clear" w:color="auto" w:fill="FFF7D5"/>
                  <w:tcMar>
                    <w:top w:w="10" w:type="dxa"/>
                    <w:left w:w="118" w:type="dxa"/>
                    <w:bottom w:w="10" w:type="dxa"/>
                    <w:right w:w="113" w:type="dxa"/>
                  </w:tcMar>
                  <w:hideMark/>
                </w:tcPr>
                <w:p w14:paraId="0EC3F37C" w14:textId="77777777" w:rsidR="00957E69" w:rsidRDefault="001B034F" w:rsidP="00470374">
                  <w:pPr>
                    <w:spacing w:before="20" w:after="20"/>
                    <w:rPr>
                      <w:szCs w:val="24"/>
                    </w:rPr>
                  </w:pPr>
                  <w:r>
                    <w:rPr>
                      <w:szCs w:val="24"/>
                    </w:rPr>
                    <w:t>Technical Quality </w:t>
                  </w:r>
                </w:p>
              </w:tc>
              <w:tc>
                <w:tcPr>
                  <w:tcW w:w="7264" w:type="dxa"/>
                  <w:tcBorders>
                    <w:top w:val="single" w:sz="8" w:space="0" w:color="000000"/>
                    <w:bottom w:val="single" w:sz="8" w:space="0" w:color="000000"/>
                    <w:right w:val="single" w:sz="8" w:space="0" w:color="000000"/>
                  </w:tcBorders>
                  <w:shd w:val="clear" w:color="auto" w:fill="FFF7D5"/>
                  <w:tcMar>
                    <w:top w:w="10" w:type="dxa"/>
                    <w:left w:w="113" w:type="dxa"/>
                    <w:bottom w:w="10" w:type="dxa"/>
                    <w:right w:w="118" w:type="dxa"/>
                  </w:tcMar>
                  <w:hideMark/>
                </w:tcPr>
                <w:p w14:paraId="0E609A04" w14:textId="77777777" w:rsidR="00957E69" w:rsidRDefault="001B034F" w:rsidP="00470374">
                  <w:pPr>
                    <w:spacing w:before="20" w:after="20"/>
                    <w:rPr>
                      <w:szCs w:val="24"/>
                    </w:rPr>
                  </w:pPr>
                  <w:r>
                    <w:rPr>
                      <w:szCs w:val="24"/>
                    </w:rPr>
                    <w:t>Weight 20%</w:t>
                  </w:r>
                </w:p>
              </w:tc>
            </w:tr>
            <w:tr w:rsidR="00957E69" w14:paraId="1A9E2CC2" w14:textId="77777777">
              <w:tc>
                <w:tcPr>
                  <w:tcW w:w="2774" w:type="dxa"/>
                  <w:tcBorders>
                    <w:left w:val="single" w:sz="8" w:space="0" w:color="000000"/>
                    <w:bottom w:val="single" w:sz="8" w:space="0" w:color="000000"/>
                    <w:right w:val="single" w:sz="8" w:space="0" w:color="000000"/>
                  </w:tcBorders>
                  <w:shd w:val="clear" w:color="auto" w:fill="FFF7D5"/>
                  <w:tcMar>
                    <w:top w:w="5" w:type="dxa"/>
                    <w:left w:w="118" w:type="dxa"/>
                    <w:bottom w:w="10" w:type="dxa"/>
                    <w:right w:w="118" w:type="dxa"/>
                  </w:tcMar>
                  <w:hideMark/>
                </w:tcPr>
                <w:p w14:paraId="6B1713C6" w14:textId="77777777" w:rsidR="00957E69" w:rsidRDefault="001B034F" w:rsidP="00470374">
                  <w:pPr>
                    <w:spacing w:before="20" w:after="20"/>
                    <w:rPr>
                      <w:szCs w:val="24"/>
                    </w:rPr>
                  </w:pPr>
                  <w:r>
                    <w:rPr>
                      <w:szCs w:val="24"/>
                    </w:rPr>
                    <w:t>Review of Technical Quality of Proposal</w:t>
                  </w:r>
                </w:p>
              </w:tc>
              <w:tc>
                <w:tcPr>
                  <w:tcW w:w="7264" w:type="dxa"/>
                  <w:tcBorders>
                    <w:bottom w:val="single" w:sz="8" w:space="0" w:color="000000"/>
                    <w:right w:val="single" w:sz="8" w:space="0" w:color="000000"/>
                  </w:tcBorders>
                  <w:shd w:val="clear" w:color="auto" w:fill="FFF7D5"/>
                  <w:tcMar>
                    <w:top w:w="5" w:type="dxa"/>
                    <w:left w:w="113" w:type="dxa"/>
                    <w:bottom w:w="10" w:type="dxa"/>
                    <w:right w:w="118" w:type="dxa"/>
                  </w:tcMar>
                  <w:hideMark/>
                </w:tcPr>
                <w:p w14:paraId="6F5E959A"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factor considers the scientific merit of the proposed approach and the probability of </w:t>
                  </w:r>
                  <w:r>
                    <w:rPr>
                      <w:rFonts w:ascii="Times New Roman" w:eastAsia="Times New Roman" w:hAnsi="Times New Roman" w:cs="Times New Roman"/>
                      <w:sz w:val="24"/>
                      <w:szCs w:val="24"/>
                    </w:rPr>
                    <w:t>achieving positive results within the designated period.</w:t>
                  </w:r>
                </w:p>
              </w:tc>
            </w:tr>
          </w:tbl>
          <w:p w14:paraId="4127D309" w14:textId="77777777" w:rsidR="00957E69" w:rsidRDefault="00957E69">
            <w:pPr>
              <w:rPr>
                <w:szCs w:val="24"/>
              </w:rPr>
            </w:pPr>
          </w:p>
        </w:tc>
      </w:tr>
    </w:tbl>
    <w:p w14:paraId="07FF4887" w14:textId="77777777" w:rsidR="00957E69" w:rsidRDefault="00957E69">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957E69" w14:paraId="24854A91" w14:textId="77777777">
        <w:trPr>
          <w:tblCellSpacing w:w="0" w:type="dxa"/>
        </w:trPr>
        <w:tc>
          <w:tcPr>
            <w:tcW w:w="3250" w:type="pct"/>
            <w:shd w:val="clear" w:color="auto" w:fill="FFF7D5"/>
            <w:tcMar>
              <w:top w:w="15" w:type="dxa"/>
              <w:left w:w="15" w:type="dxa"/>
              <w:bottom w:w="15" w:type="dxa"/>
              <w:right w:w="15" w:type="dxa"/>
            </w:tcMar>
            <w:vAlign w:val="center"/>
            <w:hideMark/>
          </w:tcPr>
          <w:p w14:paraId="678E1398" w14:textId="77777777" w:rsidR="00957E69" w:rsidRDefault="001B034F" w:rsidP="00470374">
            <w:pPr>
              <w:spacing w:before="20" w:after="20"/>
              <w:rPr>
                <w:b/>
                <w:bCs/>
                <w:szCs w:val="24"/>
              </w:rPr>
            </w:pPr>
            <w:r>
              <w:rPr>
                <w:b/>
                <w:bCs/>
                <w:szCs w:val="24"/>
              </w:rPr>
              <w:t xml:space="preserve">Criterion 4 </w:t>
            </w:r>
          </w:p>
        </w:tc>
        <w:tc>
          <w:tcPr>
            <w:tcW w:w="1750" w:type="pct"/>
            <w:shd w:val="clear" w:color="auto" w:fill="FFF7D5"/>
            <w:tcMar>
              <w:top w:w="15" w:type="dxa"/>
              <w:left w:w="15" w:type="dxa"/>
              <w:bottom w:w="15" w:type="dxa"/>
              <w:right w:w="15" w:type="dxa"/>
            </w:tcMar>
            <w:vAlign w:val="center"/>
            <w:hideMark/>
          </w:tcPr>
          <w:p w14:paraId="5092A308" w14:textId="77777777" w:rsidR="00957E69" w:rsidRDefault="001B034F"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
                <w:szCs w:val="24"/>
              </w:rPr>
              <w:t xml:space="preserve"> </w:t>
            </w:r>
          </w:p>
        </w:tc>
      </w:tr>
      <w:tr w:rsidR="00957E69" w14:paraId="2E703726" w14:textId="77777777">
        <w:trPr>
          <w:tblCellSpacing w:w="0" w:type="dxa"/>
        </w:trPr>
        <w:tc>
          <w:tcPr>
            <w:tcW w:w="0" w:type="auto"/>
            <w:gridSpan w:val="2"/>
            <w:shd w:val="clear" w:color="auto" w:fill="FFF7D5"/>
            <w:tcMar>
              <w:top w:w="0" w:type="dxa"/>
              <w:left w:w="0" w:type="dxa"/>
              <w:bottom w:w="0" w:type="dxa"/>
              <w:right w:w="0" w:type="dxa"/>
            </w:tcMar>
            <w:vAlign w:val="center"/>
            <w:hideMark/>
          </w:tcPr>
          <w:tbl>
            <w:tblPr>
              <w:tblStyle w:val="tabletable"/>
              <w:tblW w:w="5000" w:type="pct"/>
              <w:tblBorders>
                <w:top w:val="single" w:sz="8" w:space="0" w:color="000000"/>
                <w:left w:val="single" w:sz="8" w:space="0" w:color="000000"/>
                <w:bottom w:val="single" w:sz="8" w:space="0" w:color="000000"/>
                <w:right w:val="single" w:sz="8" w:space="0" w:color="000000"/>
              </w:tblBorders>
              <w:shd w:val="clear" w:color="auto" w:fill="FFF7D5"/>
              <w:tblCellMar>
                <w:top w:w="15" w:type="dxa"/>
                <w:left w:w="15" w:type="dxa"/>
                <w:bottom w:w="15" w:type="dxa"/>
                <w:right w:w="15" w:type="dxa"/>
              </w:tblCellMar>
              <w:tblLook w:val="05E0" w:firstRow="1" w:lastRow="1" w:firstColumn="1" w:lastColumn="1" w:noHBand="0" w:noVBand="1"/>
            </w:tblPr>
            <w:tblGrid>
              <w:gridCol w:w="2640"/>
              <w:gridCol w:w="6700"/>
            </w:tblGrid>
            <w:tr w:rsidR="00957E69" w14:paraId="204248C9" w14:textId="77777777">
              <w:tc>
                <w:tcPr>
                  <w:tcW w:w="2764" w:type="dxa"/>
                  <w:tcBorders>
                    <w:top w:val="single" w:sz="8" w:space="0" w:color="000000"/>
                    <w:left w:val="single" w:sz="8" w:space="0" w:color="000000"/>
                    <w:bottom w:val="single" w:sz="8" w:space="0" w:color="000000"/>
                  </w:tcBorders>
                  <w:shd w:val="clear" w:color="auto" w:fill="FFF7D5"/>
                  <w:tcMar>
                    <w:top w:w="10" w:type="dxa"/>
                    <w:left w:w="118" w:type="dxa"/>
                    <w:bottom w:w="10" w:type="dxa"/>
                    <w:right w:w="113" w:type="dxa"/>
                  </w:tcMar>
                  <w:hideMark/>
                </w:tcPr>
                <w:p w14:paraId="288A5C4B" w14:textId="77777777" w:rsidR="00957E69" w:rsidRDefault="001B034F" w:rsidP="00470374">
                  <w:pPr>
                    <w:spacing w:before="20" w:after="20"/>
                    <w:rPr>
                      <w:szCs w:val="24"/>
                    </w:rPr>
                  </w:pPr>
                  <w:r>
                    <w:rPr>
                      <w:szCs w:val="24"/>
                    </w:rPr>
                    <w:t>Competence and Past Performance</w:t>
                  </w:r>
                </w:p>
              </w:tc>
              <w:tc>
                <w:tcPr>
                  <w:tcW w:w="7264" w:type="dxa"/>
                  <w:tcBorders>
                    <w:top w:val="single" w:sz="8" w:space="0" w:color="000000"/>
                    <w:bottom w:val="single" w:sz="8" w:space="0" w:color="000000"/>
                    <w:right w:val="single" w:sz="8" w:space="0" w:color="000000"/>
                  </w:tcBorders>
                  <w:shd w:val="clear" w:color="auto" w:fill="FFF7D5"/>
                  <w:tcMar>
                    <w:top w:w="10" w:type="dxa"/>
                    <w:left w:w="113" w:type="dxa"/>
                    <w:bottom w:w="10" w:type="dxa"/>
                    <w:right w:w="118" w:type="dxa"/>
                  </w:tcMar>
                  <w:hideMark/>
                </w:tcPr>
                <w:p w14:paraId="5F0364E3" w14:textId="77777777" w:rsidR="00957E69" w:rsidRDefault="001B034F" w:rsidP="00470374">
                  <w:pPr>
                    <w:spacing w:before="20" w:after="20"/>
                    <w:rPr>
                      <w:szCs w:val="24"/>
                    </w:rPr>
                  </w:pPr>
                  <w:r>
                    <w:rPr>
                      <w:szCs w:val="24"/>
                    </w:rPr>
                    <w:t>Weight 20%</w:t>
                  </w:r>
                </w:p>
              </w:tc>
            </w:tr>
            <w:tr w:rsidR="00957E69" w14:paraId="2A7D23F5" w14:textId="77777777">
              <w:tc>
                <w:tcPr>
                  <w:tcW w:w="2774" w:type="dxa"/>
                  <w:tcBorders>
                    <w:left w:val="single" w:sz="8" w:space="0" w:color="000000"/>
                    <w:bottom w:val="single" w:sz="8" w:space="0" w:color="000000"/>
                    <w:right w:val="single" w:sz="8" w:space="0" w:color="000000"/>
                  </w:tcBorders>
                  <w:shd w:val="clear" w:color="auto" w:fill="FFF7D5"/>
                  <w:tcMar>
                    <w:top w:w="5" w:type="dxa"/>
                    <w:left w:w="118" w:type="dxa"/>
                    <w:bottom w:w="10" w:type="dxa"/>
                    <w:right w:w="118" w:type="dxa"/>
                  </w:tcMar>
                  <w:hideMark/>
                </w:tcPr>
                <w:p w14:paraId="29EF0536" w14:textId="77777777" w:rsidR="00957E69" w:rsidRDefault="001B034F" w:rsidP="00470374">
                  <w:pPr>
                    <w:spacing w:before="20" w:after="20"/>
                    <w:rPr>
                      <w:szCs w:val="24"/>
                    </w:rPr>
                  </w:pPr>
                  <w:r>
                    <w:rPr>
                      <w:szCs w:val="24"/>
                    </w:rPr>
                    <w:lastRenderedPageBreak/>
                    <w:t>Review of Competence and Recent Research Performance of PI, co-Is, and/or Research Team</w:t>
                  </w:r>
                  <w:r>
                    <w:rPr>
                      <w:szCs w:val="24"/>
                    </w:rPr>
                    <w:br/>
                    <w:t> </w:t>
                  </w:r>
                </w:p>
              </w:tc>
              <w:tc>
                <w:tcPr>
                  <w:tcW w:w="7264" w:type="dxa"/>
                  <w:tcBorders>
                    <w:bottom w:val="single" w:sz="8" w:space="0" w:color="000000"/>
                    <w:right w:val="single" w:sz="8" w:space="0" w:color="000000"/>
                  </w:tcBorders>
                  <w:shd w:val="clear" w:color="auto" w:fill="FFF7D5"/>
                  <w:tcMar>
                    <w:top w:w="5" w:type="dxa"/>
                    <w:left w:w="113" w:type="dxa"/>
                    <w:bottom w:w="10" w:type="dxa"/>
                    <w:right w:w="118" w:type="dxa"/>
                  </w:tcMar>
                  <w:hideMark/>
                </w:tcPr>
                <w:p w14:paraId="51A7B950"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factor </w:t>
                  </w:r>
                  <w:r>
                    <w:rPr>
                      <w:rStyle w:val="highlightany"/>
                      <w:rFonts w:ascii="Times New Roman" w:eastAsia="Times New Roman" w:hAnsi="Times New Roman" w:cs="Times New Roman"/>
                      <w:sz w:val="24"/>
                      <w:szCs w:val="24"/>
                    </w:rPr>
                    <w:t>considers the scientific and technical competence and recent research of the PI and team and the promptness with which the research results were disseminated to the scientific community from previous funding. This factor includes performance records and ca</w:t>
                  </w:r>
                  <w:r>
                    <w:rPr>
                      <w:rStyle w:val="highlightany"/>
                      <w:rFonts w:ascii="Times New Roman" w:eastAsia="Times New Roman" w:hAnsi="Times New Roman" w:cs="Times New Roman"/>
                      <w:sz w:val="24"/>
                      <w:szCs w:val="24"/>
                    </w:rPr>
                    <w:t>pability to provide the necessary facilities and support that will ensure satisfactory completion of the proposed work. This factor includes the timely publication of project results and data in peer-reviewed scientific and technical journals, the impact o</w:t>
                  </w:r>
                  <w:r>
                    <w:rPr>
                      <w:rStyle w:val="highlightany"/>
                      <w:rFonts w:ascii="Times New Roman" w:eastAsia="Times New Roman" w:hAnsi="Times New Roman" w:cs="Times New Roman"/>
                      <w:sz w:val="24"/>
                      <w:szCs w:val="24"/>
                    </w:rPr>
                    <w:t>f the results, and whether reporting requirements from previous USGS awards have been satisfied.</w:t>
                  </w:r>
                </w:p>
              </w:tc>
            </w:tr>
          </w:tbl>
          <w:p w14:paraId="1DD92514" w14:textId="77777777" w:rsidR="00957E69" w:rsidRDefault="00957E69">
            <w:pPr>
              <w:rPr>
                <w:szCs w:val="24"/>
              </w:rPr>
            </w:pPr>
          </w:p>
        </w:tc>
      </w:tr>
    </w:tbl>
    <w:p w14:paraId="22008034" w14:textId="77777777" w:rsidR="00957E69" w:rsidRDefault="00957E69">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957E69" w14:paraId="03BCD364" w14:textId="77777777">
        <w:trPr>
          <w:tblCellSpacing w:w="0" w:type="dxa"/>
        </w:trPr>
        <w:tc>
          <w:tcPr>
            <w:tcW w:w="3250" w:type="pct"/>
            <w:shd w:val="clear" w:color="auto" w:fill="FFF7D5"/>
            <w:tcMar>
              <w:top w:w="15" w:type="dxa"/>
              <w:left w:w="15" w:type="dxa"/>
              <w:bottom w:w="15" w:type="dxa"/>
              <w:right w:w="15" w:type="dxa"/>
            </w:tcMar>
            <w:vAlign w:val="center"/>
            <w:hideMark/>
          </w:tcPr>
          <w:p w14:paraId="084304BD" w14:textId="77777777" w:rsidR="00957E69" w:rsidRDefault="001B034F" w:rsidP="00470374">
            <w:pPr>
              <w:spacing w:before="20" w:after="20"/>
              <w:rPr>
                <w:b/>
                <w:bCs/>
                <w:szCs w:val="24"/>
              </w:rPr>
            </w:pPr>
            <w:r>
              <w:rPr>
                <w:b/>
                <w:bCs/>
                <w:szCs w:val="24"/>
              </w:rPr>
              <w:t xml:space="preserve">Criterion 5 </w:t>
            </w:r>
          </w:p>
        </w:tc>
        <w:tc>
          <w:tcPr>
            <w:tcW w:w="1750" w:type="pct"/>
            <w:shd w:val="clear" w:color="auto" w:fill="FFF7D5"/>
            <w:tcMar>
              <w:top w:w="15" w:type="dxa"/>
              <w:left w:w="15" w:type="dxa"/>
              <w:bottom w:w="15" w:type="dxa"/>
              <w:right w:w="15" w:type="dxa"/>
            </w:tcMar>
            <w:vAlign w:val="center"/>
            <w:hideMark/>
          </w:tcPr>
          <w:p w14:paraId="0E1982D5" w14:textId="77777777" w:rsidR="00957E69" w:rsidRDefault="001B034F"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
                <w:szCs w:val="24"/>
              </w:rPr>
              <w:t xml:space="preserve"> </w:t>
            </w:r>
          </w:p>
        </w:tc>
      </w:tr>
      <w:tr w:rsidR="00957E69" w14:paraId="53DE6359" w14:textId="77777777">
        <w:trPr>
          <w:tblCellSpacing w:w="0" w:type="dxa"/>
        </w:trPr>
        <w:tc>
          <w:tcPr>
            <w:tcW w:w="0" w:type="auto"/>
            <w:gridSpan w:val="2"/>
            <w:shd w:val="clear" w:color="auto" w:fill="FFF7D5"/>
            <w:tcMar>
              <w:top w:w="0" w:type="dxa"/>
              <w:left w:w="0" w:type="dxa"/>
              <w:bottom w:w="0" w:type="dxa"/>
              <w:right w:w="0" w:type="dxa"/>
            </w:tcMar>
            <w:vAlign w:val="center"/>
            <w:hideMark/>
          </w:tcPr>
          <w:tbl>
            <w:tblPr>
              <w:tblStyle w:val="tabletable"/>
              <w:tblW w:w="5000" w:type="pct"/>
              <w:tblBorders>
                <w:top w:val="single" w:sz="8" w:space="0" w:color="000000"/>
                <w:left w:val="single" w:sz="8" w:space="0" w:color="000000"/>
                <w:bottom w:val="single" w:sz="8" w:space="0" w:color="000000"/>
                <w:right w:val="single" w:sz="8" w:space="0" w:color="000000"/>
              </w:tblBorders>
              <w:shd w:val="clear" w:color="auto" w:fill="FFF7D5"/>
              <w:tblCellMar>
                <w:top w:w="15" w:type="dxa"/>
                <w:left w:w="15" w:type="dxa"/>
                <w:bottom w:w="15" w:type="dxa"/>
                <w:right w:w="15" w:type="dxa"/>
              </w:tblCellMar>
              <w:tblLook w:val="05E0" w:firstRow="1" w:lastRow="1" w:firstColumn="1" w:lastColumn="1" w:noHBand="0" w:noVBand="1"/>
            </w:tblPr>
            <w:tblGrid>
              <w:gridCol w:w="2667"/>
              <w:gridCol w:w="6673"/>
            </w:tblGrid>
            <w:tr w:rsidR="00957E69" w14:paraId="0206B114" w14:textId="77777777">
              <w:tc>
                <w:tcPr>
                  <w:tcW w:w="2764" w:type="dxa"/>
                  <w:tcBorders>
                    <w:top w:val="single" w:sz="8" w:space="0" w:color="000000"/>
                    <w:left w:val="single" w:sz="8" w:space="0" w:color="000000"/>
                    <w:bottom w:val="single" w:sz="8" w:space="0" w:color="000000"/>
                  </w:tcBorders>
                  <w:shd w:val="clear" w:color="auto" w:fill="FFF7D5"/>
                  <w:tcMar>
                    <w:top w:w="10" w:type="dxa"/>
                    <w:left w:w="118" w:type="dxa"/>
                    <w:bottom w:w="10" w:type="dxa"/>
                    <w:right w:w="113" w:type="dxa"/>
                  </w:tcMar>
                  <w:hideMark/>
                </w:tcPr>
                <w:p w14:paraId="7E0644AB" w14:textId="77777777" w:rsidR="00957E69" w:rsidRDefault="001B034F" w:rsidP="00470374">
                  <w:pPr>
                    <w:spacing w:before="20" w:after="20"/>
                    <w:rPr>
                      <w:szCs w:val="24"/>
                    </w:rPr>
                  </w:pPr>
                  <w:r>
                    <w:rPr>
                      <w:szCs w:val="24"/>
                    </w:rPr>
                    <w:t>Approriateness and Reasonableness of the Budget</w:t>
                  </w:r>
                </w:p>
              </w:tc>
              <w:tc>
                <w:tcPr>
                  <w:tcW w:w="7264" w:type="dxa"/>
                  <w:tcBorders>
                    <w:top w:val="single" w:sz="8" w:space="0" w:color="000000"/>
                    <w:bottom w:val="single" w:sz="8" w:space="0" w:color="000000"/>
                    <w:right w:val="single" w:sz="8" w:space="0" w:color="000000"/>
                  </w:tcBorders>
                  <w:shd w:val="clear" w:color="auto" w:fill="FFF7D5"/>
                  <w:tcMar>
                    <w:top w:w="10" w:type="dxa"/>
                    <w:left w:w="113" w:type="dxa"/>
                    <w:bottom w:w="10" w:type="dxa"/>
                    <w:right w:w="118" w:type="dxa"/>
                  </w:tcMar>
                  <w:hideMark/>
                </w:tcPr>
                <w:p w14:paraId="51854DCE" w14:textId="77777777" w:rsidR="00957E69" w:rsidRDefault="001B034F" w:rsidP="00470374">
                  <w:pPr>
                    <w:spacing w:before="20" w:after="20"/>
                    <w:rPr>
                      <w:szCs w:val="24"/>
                    </w:rPr>
                  </w:pPr>
                  <w:r>
                    <w:rPr>
                      <w:szCs w:val="24"/>
                    </w:rPr>
                    <w:t>Weight 20%</w:t>
                  </w:r>
                </w:p>
              </w:tc>
            </w:tr>
            <w:tr w:rsidR="00957E69" w14:paraId="0E52715D" w14:textId="77777777">
              <w:tc>
                <w:tcPr>
                  <w:tcW w:w="2774" w:type="dxa"/>
                  <w:tcBorders>
                    <w:left w:val="single" w:sz="8" w:space="0" w:color="000000"/>
                    <w:bottom w:val="single" w:sz="8" w:space="0" w:color="000000"/>
                    <w:right w:val="single" w:sz="8" w:space="0" w:color="000000"/>
                  </w:tcBorders>
                  <w:shd w:val="clear" w:color="auto" w:fill="FFF7D5"/>
                  <w:tcMar>
                    <w:top w:w="5" w:type="dxa"/>
                    <w:left w:w="118" w:type="dxa"/>
                    <w:bottom w:w="10" w:type="dxa"/>
                    <w:right w:w="118" w:type="dxa"/>
                  </w:tcMar>
                  <w:hideMark/>
                </w:tcPr>
                <w:p w14:paraId="55C40C8E" w14:textId="77777777" w:rsidR="00957E69" w:rsidRDefault="001B034F" w:rsidP="00470374">
                  <w:pPr>
                    <w:spacing w:before="20" w:after="20"/>
                    <w:rPr>
                      <w:szCs w:val="24"/>
                    </w:rPr>
                  </w:pPr>
                  <w:r>
                    <w:rPr>
                      <w:szCs w:val="24"/>
                    </w:rPr>
                    <w:t>Review of Proposal Budget</w:t>
                  </w:r>
                  <w:r>
                    <w:rPr>
                      <w:szCs w:val="24"/>
                    </w:rPr>
                    <w:br/>
                    <w:t> </w:t>
                  </w:r>
                </w:p>
              </w:tc>
              <w:tc>
                <w:tcPr>
                  <w:tcW w:w="7264" w:type="dxa"/>
                  <w:tcBorders>
                    <w:bottom w:val="single" w:sz="8" w:space="0" w:color="000000"/>
                    <w:right w:val="single" w:sz="8" w:space="0" w:color="000000"/>
                  </w:tcBorders>
                  <w:shd w:val="clear" w:color="auto" w:fill="FFF7D5"/>
                  <w:tcMar>
                    <w:top w:w="5" w:type="dxa"/>
                    <w:left w:w="113" w:type="dxa"/>
                    <w:bottom w:w="10" w:type="dxa"/>
                    <w:right w:w="118" w:type="dxa"/>
                  </w:tcMar>
                  <w:hideMark/>
                </w:tcPr>
                <w:p w14:paraId="5D227795"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factor considers </w:t>
                  </w:r>
                  <w:r>
                    <w:rPr>
                      <w:rFonts w:ascii="Times New Roman" w:eastAsia="Times New Roman" w:hAnsi="Times New Roman" w:cs="Times New Roman"/>
                      <w:sz w:val="24"/>
                      <w:szCs w:val="24"/>
                    </w:rPr>
                    <w:t>whether the proposed budget is commensurate with the level of effort needed to accomplish the project objectives and whether the cost of the project is reasonable relative to the value of the anticipated results.</w:t>
                  </w:r>
                </w:p>
              </w:tc>
            </w:tr>
          </w:tbl>
          <w:p w14:paraId="0BD3B549" w14:textId="77777777" w:rsidR="00957E69" w:rsidRDefault="00957E69">
            <w:pPr>
              <w:rPr>
                <w:szCs w:val="24"/>
              </w:rPr>
            </w:pPr>
          </w:p>
        </w:tc>
      </w:tr>
    </w:tbl>
    <w:p w14:paraId="15961F28"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3B36027F" w14:textId="77777777" w:rsidR="00957E69" w:rsidRDefault="001B034F">
      <w:pPr>
        <w:pStyle w:val="h2Heading2"/>
        <w:keepNext w:val="0"/>
        <w:spacing w:before="199" w:after="199"/>
        <w:ind w:left="45" w:right="45"/>
        <w:outlineLvl w:val="9"/>
      </w:pPr>
      <w:bookmarkStart w:id="23" w:name="_Toc256000023"/>
      <w:r>
        <w:rPr>
          <w:iCs w:val="0"/>
          <w:color w:val="000000"/>
          <w:shd w:val="clear" w:color="auto" w:fill="auto"/>
        </w:rPr>
        <w:t xml:space="preserve">E2. Review and Selection </w:t>
      </w:r>
      <w:r>
        <w:rPr>
          <w:iCs w:val="0"/>
          <w:color w:val="000000"/>
          <w:shd w:val="clear" w:color="auto" w:fill="auto"/>
        </w:rPr>
        <w:t>Process</w:t>
      </w:r>
      <w:bookmarkEnd w:id="23"/>
    </w:p>
    <w:p w14:paraId="220A881F" w14:textId="77777777" w:rsidR="00957E69" w:rsidRDefault="001B034F" w:rsidP="00470374">
      <w:pPr>
        <w:spacing w:before="20" w:after="20"/>
        <w:rPr>
          <w:vanish/>
        </w:rPr>
      </w:pPr>
      <w:r>
        <w:rPr>
          <w:vanish/>
          <w:color w:val="009745"/>
        </w:rPr>
        <w:t>In the text field below, list any program policy or other factors or elements other than merit criteria that the selecting official may use in selecting applications for Federal award (e.g., geographical dispersion, program balance, or diversity). </w:t>
      </w:r>
      <w:r>
        <w:rPr>
          <w:vanish/>
          <w:color w:val="009745"/>
        </w:rPr>
        <w:t xml:space="preserve"> Include other details about the program’s review and selection process, as appropriate.  For example, you may indicate who is responsible for evaluation against the merit criteria (e.g., peers external to the Federal awarding agency or Federal awarding ag</w:t>
      </w:r>
      <w:r>
        <w:rPr>
          <w:vanish/>
          <w:color w:val="009745"/>
        </w:rPr>
        <w:t xml:space="preserve">ency personnel), or who makes the final award selections.  If there is a multi-phase review process (e.g., an external panel advising internal Federal awarding agency personnel who make final recommendations to the deciding official), the announcement may </w:t>
      </w:r>
      <w:r>
        <w:rPr>
          <w:vanish/>
          <w:color w:val="009745"/>
        </w:rPr>
        <w:t>describe the phases.  It also may detail the number of individuals on evaluation panels, how the panel operates, the way the program qualifies and selects reviewers, and if the program permits applicants to nominate or suggest reviewers for their applicati</w:t>
      </w:r>
      <w:r>
        <w:rPr>
          <w:vanish/>
          <w:color w:val="009745"/>
        </w:rPr>
        <w:t>ons.  Detail if, due to limited funding or for other reasons, the program routinely negotiates selected project scopes of work and budgets prior to award.  If this is the case, make it clear here that those applicants will have to submit revised SF-424 for</w:t>
      </w:r>
      <w:r>
        <w:rPr>
          <w:vanish/>
          <w:color w:val="009745"/>
        </w:rPr>
        <w:t xml:space="preserve">ms and narratives prior to award.  Programs must make awards based on final, approved applications that parallel their awards in scope and funding amount.  Describe the timing, form, and content of notifications to unsuccessful applicants.  In addition to </w:t>
      </w:r>
      <w:r>
        <w:rPr>
          <w:vanish/>
          <w:color w:val="009745"/>
        </w:rPr>
        <w:t>program-specific text, the following standard text will be inserted in all funding opportunities.</w:t>
      </w:r>
    </w:p>
    <w:p w14:paraId="0914D9C4" w14:textId="77777777" w:rsidR="00957E69" w:rsidRDefault="001B034F" w:rsidP="00470374">
      <w:pPr>
        <w:pStyle w:val="highlightanyParagraph"/>
        <w:spacing w:after="140"/>
        <w:rPr>
          <w:szCs w:val="24"/>
        </w:rPr>
      </w:pPr>
      <w:r>
        <w:rPr>
          <w:szCs w:val="24"/>
        </w:rPr>
        <w:t>A. Proposals pertinent to one of the ten research areas will be evaluated by multi-disciplinary peer review panels. The panel members read all the proposals a</w:t>
      </w:r>
      <w:r>
        <w:rPr>
          <w:szCs w:val="24"/>
        </w:rPr>
        <w:t xml:space="preserve">ssigned to their panel prior to their meeting and at the panel meeting discuss each proposal according to the evaluation criteria. The four to seven panel members are scientists and engineers drawn from academia, Federal, </w:t>
      </w:r>
      <w:r>
        <w:rPr>
          <w:szCs w:val="24"/>
        </w:rPr>
        <w:lastRenderedPageBreak/>
        <w:t>State, local, and regional agencie</w:t>
      </w:r>
      <w:r>
        <w:rPr>
          <w:szCs w:val="24"/>
        </w:rPr>
        <w:t>s, non-profit organizations, and private industry. In addition, one USGS member is often chosen for each panel. The panels will evaluate the technical merit of the proposals especially in the context of development of an integrated program of investigation</w:t>
      </w:r>
      <w:r>
        <w:rPr>
          <w:szCs w:val="24"/>
        </w:rPr>
        <w:t>s for that region with attention to the research priorities (see Attachment A).</w:t>
      </w:r>
      <w:r>
        <w:rPr>
          <w:szCs w:val="24"/>
        </w:rPr>
        <w:br/>
      </w:r>
      <w:r>
        <w:rPr>
          <w:szCs w:val="24"/>
        </w:rPr>
        <w:br/>
        <w:t>B. The peer review panel makes recommendations and provides advice on each proposal based on the criteria in section E.1. The panel ranks proposals into priority groupings bas</w:t>
      </w:r>
      <w:r>
        <w:rPr>
          <w:szCs w:val="24"/>
        </w:rPr>
        <w:t>ed on their scores in accordance with the criteria. The panel rankings are the principal determination of proposal success pending available funds; the Earthquake Hazards Program Office makes final funding decisions based on the panel's recommendations and</w:t>
      </w:r>
      <w:r>
        <w:rPr>
          <w:szCs w:val="24"/>
        </w:rPr>
        <w:t xml:space="preserve"> the EHP Science Priorities for the Fiscal Year. The results of the peer review will assist the USGS in making final award determinations under this Announcement. The panels include five regional panels, and five topical panels for earthquake hazards, impa</w:t>
      </w:r>
      <w:r>
        <w:rPr>
          <w:szCs w:val="24"/>
        </w:rPr>
        <w:t>cts and risk, earthquake source processes, earthquake rupture forecasting, ground motion research, and earthquake early warning research.</w:t>
      </w:r>
      <w:r>
        <w:rPr>
          <w:szCs w:val="24"/>
        </w:rPr>
        <w:br/>
        <w:t>Applicants </w:t>
      </w:r>
      <w:r>
        <w:rPr>
          <w:rStyle w:val="highlightany"/>
          <w:b/>
          <w:bCs/>
          <w:szCs w:val="24"/>
        </w:rPr>
        <w:t xml:space="preserve">must indicate in the Proposal Information Summary (Attachment C) </w:t>
      </w:r>
      <w:r>
        <w:rPr>
          <w:szCs w:val="24"/>
        </w:rPr>
        <w:t>the panel that is most appropriate for the</w:t>
      </w:r>
      <w:r>
        <w:rPr>
          <w:szCs w:val="24"/>
        </w:rPr>
        <w:t>ir proposal. Although it is required to indicate the panel when submitting a proposal, </w:t>
      </w:r>
      <w:r>
        <w:rPr>
          <w:rStyle w:val="highlightany"/>
          <w:b/>
          <w:bCs/>
          <w:szCs w:val="24"/>
        </w:rPr>
        <w:t>the USGS Regional or Topical coordinator reserves the right to reassign proposals to a more appropriate panel as necessary.</w:t>
      </w:r>
    </w:p>
    <w:p w14:paraId="7FF2F922" w14:textId="77777777" w:rsidR="00957E69" w:rsidRDefault="001B034F" w:rsidP="00470374">
      <w:pPr>
        <w:pStyle w:val="highlightanyParagraph"/>
        <w:spacing w:after="140"/>
        <w:rPr>
          <w:szCs w:val="24"/>
        </w:rPr>
      </w:pPr>
      <w:r>
        <w:rPr>
          <w:szCs w:val="24"/>
        </w:rPr>
        <w:br/>
        <w:t>The panels and their designations are as fol</w:t>
      </w:r>
      <w:r>
        <w:rPr>
          <w:szCs w:val="24"/>
        </w:rPr>
        <w:t>lows:</w:t>
      </w:r>
      <w:r>
        <w:rPr>
          <w:szCs w:val="24"/>
        </w:rPr>
        <w:br/>
      </w:r>
      <w:r>
        <w:rPr>
          <w:rStyle w:val="highlightany"/>
          <w:b/>
          <w:bCs/>
          <w:szCs w:val="24"/>
        </w:rPr>
        <w:t>Designation     Panel Name</w:t>
      </w:r>
      <w:r>
        <w:rPr>
          <w:rStyle w:val="highlightany"/>
          <w:b/>
          <w:bCs/>
          <w:szCs w:val="24"/>
        </w:rPr>
        <w:br/>
      </w:r>
      <w:r>
        <w:rPr>
          <w:szCs w:val="24"/>
        </w:rPr>
        <w:t>CEUS               Central and Eastern United States</w:t>
      </w:r>
      <w:r>
        <w:rPr>
          <w:szCs w:val="24"/>
        </w:rPr>
        <w:br/>
        <w:t>EEW                Earthquake Early Warning Research</w:t>
      </w:r>
      <w:r>
        <w:rPr>
          <w:szCs w:val="24"/>
        </w:rPr>
        <w:br/>
        <w:t>HIR                  Hazards, Impacts, and Risk</w:t>
      </w:r>
      <w:r>
        <w:rPr>
          <w:szCs w:val="24"/>
        </w:rPr>
        <w:br/>
        <w:t>ESP                  Earthquake Source Processes</w:t>
      </w:r>
      <w:r>
        <w:rPr>
          <w:szCs w:val="24"/>
        </w:rPr>
        <w:br/>
        <w:t>ERF                 </w:t>
      </w:r>
      <w:r>
        <w:rPr>
          <w:szCs w:val="24"/>
        </w:rPr>
        <w:t xml:space="preserve"> Earthquake Rupture Forecasting</w:t>
      </w:r>
      <w:r>
        <w:rPr>
          <w:szCs w:val="24"/>
        </w:rPr>
        <w:br/>
        <w:t>IMW                Inter-mountain West</w:t>
      </w:r>
      <w:r>
        <w:rPr>
          <w:szCs w:val="24"/>
        </w:rPr>
        <w:br/>
        <w:t>GM                  Ground Motion Research</w:t>
      </w:r>
      <w:r>
        <w:rPr>
          <w:szCs w:val="24"/>
        </w:rPr>
        <w:br/>
        <w:t>NC                   Northern California</w:t>
      </w:r>
      <w:r>
        <w:rPr>
          <w:szCs w:val="24"/>
        </w:rPr>
        <w:br/>
        <w:t>PNA                 Pacific Northwest and Alaska</w:t>
      </w:r>
      <w:r>
        <w:rPr>
          <w:szCs w:val="24"/>
        </w:rPr>
        <w:br/>
        <w:t>SC                    Southern California</w:t>
      </w:r>
      <w:r>
        <w:rPr>
          <w:szCs w:val="24"/>
        </w:rPr>
        <w:br/>
      </w:r>
      <w:r>
        <w:rPr>
          <w:szCs w:val="24"/>
        </w:rPr>
        <w:br/>
      </w:r>
      <w:r>
        <w:rPr>
          <w:rStyle w:val="highlightany"/>
          <w:b/>
          <w:bCs/>
          <w:szCs w:val="24"/>
        </w:rPr>
        <w:t>Applicati</w:t>
      </w:r>
      <w:r>
        <w:rPr>
          <w:rStyle w:val="highlightany"/>
          <w:b/>
          <w:bCs/>
          <w:szCs w:val="24"/>
        </w:rPr>
        <w:t xml:space="preserve">ons can be directed to only </w:t>
      </w:r>
      <w:r>
        <w:rPr>
          <w:rStyle w:val="highlightany"/>
          <w:b/>
          <w:bCs/>
          <w:szCs w:val="24"/>
          <w:u w:val="single"/>
        </w:rPr>
        <w:t>ONE</w:t>
      </w:r>
      <w:r>
        <w:rPr>
          <w:rStyle w:val="highlightany"/>
          <w:b/>
          <w:bCs/>
          <w:szCs w:val="24"/>
        </w:rPr>
        <w:t xml:space="preserve"> panel</w:t>
      </w:r>
      <w:r>
        <w:rPr>
          <w:szCs w:val="24"/>
        </w:rPr>
        <w:t>. If unsure of which panel is most appropriate, contact the applicable Regional or Topical Coordinator (see Attachment A for contact information).</w:t>
      </w:r>
      <w:r>
        <w:rPr>
          <w:szCs w:val="24"/>
        </w:rPr>
        <w:br/>
      </w:r>
      <w:r>
        <w:rPr>
          <w:szCs w:val="24"/>
        </w:rPr>
        <w:br/>
        <w:t>C.  All proposals are considered in accordance with the criteria set fo</w:t>
      </w:r>
      <w:r>
        <w:rPr>
          <w:szCs w:val="24"/>
        </w:rPr>
        <w:t>rth below. All criteria is to be weighed equally by the panel reviewers when deriving their overall score.</w:t>
      </w:r>
    </w:p>
    <w:p w14:paraId="274C91C0" w14:textId="77777777" w:rsidR="00957E69" w:rsidRDefault="001B034F" w:rsidP="00470374">
      <w:pPr>
        <w:pStyle w:val="highlightanyParagraph"/>
        <w:numPr>
          <w:ilvl w:val="0"/>
          <w:numId w:val="36"/>
        </w:numPr>
        <w:spacing w:after="20"/>
        <w:rPr>
          <w:szCs w:val="24"/>
        </w:rPr>
      </w:pPr>
      <w:r>
        <w:rPr>
          <w:rStyle w:val="highlightany"/>
          <w:szCs w:val="24"/>
          <w:u w:val="single"/>
        </w:rPr>
        <w:t>Relevance and Timeliness</w:t>
      </w:r>
      <w:r>
        <w:rPr>
          <w:szCs w:val="24"/>
        </w:rPr>
        <w:t>. This factor considers the relevance and timeliness of the proposed research activities as they relate to the USGS Earthquak</w:t>
      </w:r>
      <w:r>
        <w:rPr>
          <w:szCs w:val="24"/>
        </w:rPr>
        <w:t>e Hazards Program goals and address the Department of Interior’s Secretarial priorities, including regional emphasis where appropriate (see Attachment A).</w:t>
      </w:r>
    </w:p>
    <w:p w14:paraId="3F804B17" w14:textId="77777777" w:rsidR="00957E69" w:rsidRDefault="001B034F" w:rsidP="00470374">
      <w:pPr>
        <w:pStyle w:val="highlightanyParagraph"/>
        <w:numPr>
          <w:ilvl w:val="0"/>
          <w:numId w:val="36"/>
        </w:numPr>
        <w:spacing w:before="20" w:after="20"/>
        <w:rPr>
          <w:szCs w:val="24"/>
        </w:rPr>
      </w:pPr>
      <w:r>
        <w:rPr>
          <w:rStyle w:val="highlightany"/>
          <w:szCs w:val="24"/>
          <w:u w:val="single"/>
        </w:rPr>
        <w:t>Technical Quality of the Proposal</w:t>
      </w:r>
      <w:r>
        <w:rPr>
          <w:szCs w:val="24"/>
        </w:rPr>
        <w:t>. This factor considers the scientific merit of the proposed approac</w:t>
      </w:r>
      <w:r>
        <w:rPr>
          <w:szCs w:val="24"/>
        </w:rPr>
        <w:t>h and the probability of achieving positive results within the designated period.</w:t>
      </w:r>
    </w:p>
    <w:p w14:paraId="37CD911D" w14:textId="77777777" w:rsidR="00957E69" w:rsidRDefault="001B034F" w:rsidP="00470374">
      <w:pPr>
        <w:pStyle w:val="highlightanyParagraph"/>
        <w:numPr>
          <w:ilvl w:val="0"/>
          <w:numId w:val="36"/>
        </w:numPr>
        <w:spacing w:before="20" w:after="20"/>
        <w:rPr>
          <w:szCs w:val="24"/>
        </w:rPr>
      </w:pPr>
      <w:r>
        <w:rPr>
          <w:rStyle w:val="highlightany"/>
          <w:szCs w:val="24"/>
          <w:u w:val="single"/>
        </w:rPr>
        <w:lastRenderedPageBreak/>
        <w:t>Competence and Recent Research Performance of Principal Investigator (PI) and Research Team.</w:t>
      </w:r>
      <w:r>
        <w:rPr>
          <w:szCs w:val="24"/>
        </w:rPr>
        <w:t> This factor considers the scientific and technical competence of the PI and cowor</w:t>
      </w:r>
      <w:r>
        <w:rPr>
          <w:szCs w:val="24"/>
        </w:rPr>
        <w:t>kers and promptness of disseminating completed research results to the scientific community. This factor includes performance records and capability of providing required facilities and support needed to assure satisfactory completion of the proposed work.</w:t>
      </w:r>
      <w:r>
        <w:rPr>
          <w:szCs w:val="24"/>
        </w:rPr>
        <w:t xml:space="preserve"> The competence of new applicants or early career scientists should be weighed equally to seasoned applicants or senior level scientists. This factor also includes the timely publication of project results and data in peer-reviewed scientific or technical </w:t>
      </w:r>
      <w:r>
        <w:rPr>
          <w:szCs w:val="24"/>
        </w:rPr>
        <w:t>journals, the impact of the results, and whether reporting requirements from previous USGS awards have been satisfied.</w:t>
      </w:r>
    </w:p>
    <w:p w14:paraId="6444E49E" w14:textId="77777777" w:rsidR="00957E69" w:rsidRDefault="001B034F" w:rsidP="00470374">
      <w:pPr>
        <w:pStyle w:val="highlightanyParagraph"/>
        <w:numPr>
          <w:ilvl w:val="0"/>
          <w:numId w:val="36"/>
        </w:numPr>
        <w:spacing w:before="20" w:after="20"/>
        <w:rPr>
          <w:szCs w:val="24"/>
        </w:rPr>
      </w:pPr>
      <w:r>
        <w:rPr>
          <w:rStyle w:val="highlightany"/>
          <w:szCs w:val="24"/>
          <w:u w:val="single"/>
        </w:rPr>
        <w:t>Appropriateness and Reasonableness of the Budget</w:t>
      </w:r>
      <w:r>
        <w:rPr>
          <w:szCs w:val="24"/>
        </w:rPr>
        <w:t>. This factor considers whether the proposed budget is commensurate with the level of eff</w:t>
      </w:r>
      <w:r>
        <w:rPr>
          <w:szCs w:val="24"/>
        </w:rPr>
        <w:t>ort needed to accomplish the project objectives and whether the cost of the project is reasonable relative to the value of the anticipated results. As indicated in the Program Announcement, time commitments from senior PIs and staff should be limited, with</w:t>
      </w:r>
      <w:r>
        <w:rPr>
          <w:szCs w:val="24"/>
        </w:rPr>
        <w:t xml:space="preserve"> a salary focus instead on students and junior level staff. PIs should not be penalized for high institutional overhead costs.</w:t>
      </w:r>
    </w:p>
    <w:p w14:paraId="42036E7F" w14:textId="77777777" w:rsidR="00957E69" w:rsidRDefault="001B034F" w:rsidP="00470374">
      <w:pPr>
        <w:pStyle w:val="highlightanyParagraph"/>
        <w:numPr>
          <w:ilvl w:val="0"/>
          <w:numId w:val="36"/>
        </w:numPr>
        <w:spacing w:before="20" w:after="150"/>
        <w:rPr>
          <w:szCs w:val="24"/>
        </w:rPr>
      </w:pPr>
      <w:r>
        <w:rPr>
          <w:rStyle w:val="highlightany"/>
          <w:szCs w:val="24"/>
          <w:u w:val="single"/>
        </w:rPr>
        <w:t>Data Management Plan.</w:t>
      </w:r>
      <w:r>
        <w:rPr>
          <w:szCs w:val="24"/>
        </w:rPr>
        <w:t xml:space="preserve"> This is a required plan for every proposal and is to be clearly described in the proposal. The Office of </w:t>
      </w:r>
      <w:r>
        <w:rPr>
          <w:szCs w:val="24"/>
        </w:rPr>
        <w:t>Science and Technology Policy (OSTP) requires the USGS to:</w:t>
      </w:r>
      <w:r>
        <w:rPr>
          <w:szCs w:val="24"/>
        </w:rPr>
        <w:br/>
        <w:t xml:space="preserve">“Ensure that all extramural researchers receiving Federal grants and contracts for scientific research and intramural researchers develop data management plans, as appropriate, describing how they </w:t>
      </w:r>
      <w:r>
        <w:rPr>
          <w:szCs w:val="24"/>
        </w:rPr>
        <w:t>will provide for long-term preservation of, and access to, scientific data in digital formats resulting from federally funded research, or explaining why long term preservation and access cannot be justified.”</w:t>
      </w:r>
    </w:p>
    <w:p w14:paraId="18B2C399" w14:textId="77777777" w:rsidR="00957E69" w:rsidRDefault="001B034F" w:rsidP="00470374">
      <w:pPr>
        <w:pStyle w:val="highlightanyParagraph"/>
        <w:spacing w:after="140"/>
        <w:rPr>
          <w:szCs w:val="24"/>
        </w:rPr>
      </w:pPr>
      <w:r>
        <w:rPr>
          <w:szCs w:val="24"/>
        </w:rPr>
        <w:t> </w:t>
      </w:r>
    </w:p>
    <w:p w14:paraId="1D0686AC"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1E692FE8" w14:textId="77777777" w:rsidR="00957E69" w:rsidRDefault="001B034F">
      <w:pPr>
        <w:pStyle w:val="h2Heading2"/>
        <w:keepNext w:val="0"/>
        <w:spacing w:before="199" w:after="199"/>
        <w:ind w:left="45" w:right="45"/>
        <w:outlineLvl w:val="9"/>
      </w:pPr>
      <w:bookmarkStart w:id="24" w:name="_Toc256000024"/>
      <w:r>
        <w:rPr>
          <w:iCs w:val="0"/>
          <w:color w:val="000000"/>
          <w:shd w:val="clear" w:color="auto" w:fill="auto"/>
        </w:rPr>
        <w:t>E3. CFR – Regulatory Information</w:t>
      </w:r>
      <w:bookmarkEnd w:id="24"/>
    </w:p>
    <w:p w14:paraId="445F8C55"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 to </w:t>
      </w:r>
      <w:r>
        <w:rPr>
          <w:rFonts w:ascii="Times New Roman" w:eastAsia="Times New Roman" w:hAnsi="Times New Roman" w:cs="Times New Roman"/>
          <w:sz w:val="24"/>
          <w:szCs w:val="24"/>
        </w:rPr>
        <w:t>the U.S. Geological Survey (USGS) Award Terms and Conditions for the general administrative and national policy requirements applicable to USGS awards.  USGS will communicate any other program- or project-specific special terms and conditions to recipients</w:t>
      </w:r>
      <w:r>
        <w:rPr>
          <w:rFonts w:ascii="Times New Roman" w:eastAsia="Times New Roman" w:hAnsi="Times New Roman" w:cs="Times New Roman"/>
          <w:sz w:val="24"/>
          <w:szCs w:val="24"/>
        </w:rPr>
        <w:t xml:space="preserve"> in their Notice of Award.</w:t>
      </w:r>
    </w:p>
    <w:p w14:paraId="2097636F"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6ACE68E5" w14:textId="77777777" w:rsidR="00957E69" w:rsidRDefault="001B034F">
      <w:pPr>
        <w:pStyle w:val="h2Heading2"/>
        <w:keepNext w:val="0"/>
        <w:spacing w:before="199" w:after="199"/>
        <w:ind w:left="45" w:right="45"/>
        <w:outlineLvl w:val="9"/>
      </w:pPr>
      <w:bookmarkStart w:id="25" w:name="_Toc256000025"/>
      <w:r>
        <w:rPr>
          <w:iCs w:val="0"/>
          <w:color w:val="000000"/>
          <w:shd w:val="clear" w:color="auto" w:fill="auto"/>
        </w:rPr>
        <w:t>E4. Anticipated Announcement and Federal Award Dates</w:t>
      </w:r>
      <w:bookmarkEnd w:id="25"/>
      <w:r>
        <w:rPr>
          <w:iCs w:val="0"/>
          <w:color w:val="000000"/>
          <w:shd w:val="clear" w:color="auto" w:fill="auto"/>
        </w:rPr>
        <w:t> </w:t>
      </w:r>
    </w:p>
    <w:p w14:paraId="0B9B15A7"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peer panel reviews, the USGS will make funding decisions and will notify applicants of one of three possible decisions: the proposal has been recommended for f</w:t>
      </w:r>
      <w:r>
        <w:rPr>
          <w:rFonts w:ascii="Times New Roman" w:eastAsia="Times New Roman" w:hAnsi="Times New Roman" w:cs="Times New Roman"/>
          <w:sz w:val="24"/>
          <w:szCs w:val="24"/>
        </w:rPr>
        <w:t>unding at full or reduced levels of support, subject to appropriations; the proposal is being declined and will not be funded; or the proposal is on hold, and may be funded if sufficient funds become available during the fiscal year in question. The USGS i</w:t>
      </w:r>
      <w:r>
        <w:rPr>
          <w:rFonts w:ascii="Times New Roman" w:eastAsia="Times New Roman" w:hAnsi="Times New Roman" w:cs="Times New Roman"/>
          <w:sz w:val="24"/>
          <w:szCs w:val="24"/>
        </w:rPr>
        <w:t>ntends to provide initial notifications to the institution and PI by the end of November. For proposals that are placed on hold, secondary notification regarding funding will be provided on or before the following February or when appropriations are known.</w:t>
      </w:r>
    </w:p>
    <w:p w14:paraId="579A4FE7"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lastRenderedPageBreak/>
        <w:t> </w:t>
      </w:r>
    </w:p>
    <w:p w14:paraId="55F83F83" w14:textId="77777777" w:rsidR="00957E69" w:rsidRDefault="001B034F">
      <w:pPr>
        <w:pStyle w:val="h1Heading1"/>
        <w:widowControl/>
        <w:spacing w:before="161" w:after="161"/>
        <w:ind w:left="45" w:right="45"/>
        <w:outlineLvl w:val="9"/>
      </w:pPr>
      <w:bookmarkStart w:id="26" w:name="_Toc256000026"/>
      <w:r>
        <w:rPr>
          <w:color w:val="000000"/>
          <w:kern w:val="0"/>
          <w:shd w:val="clear" w:color="auto" w:fill="auto"/>
        </w:rPr>
        <w:t>F. Federal Award Administration Information</w:t>
      </w:r>
      <w:bookmarkEnd w:id="26"/>
    </w:p>
    <w:p w14:paraId="2FA96254"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102DECE9" w14:textId="77777777" w:rsidR="00957E69" w:rsidRDefault="001B034F">
      <w:pPr>
        <w:pStyle w:val="h2Heading2"/>
        <w:keepNext w:val="0"/>
        <w:spacing w:before="199" w:after="199"/>
        <w:ind w:left="45" w:right="45"/>
        <w:outlineLvl w:val="9"/>
      </w:pPr>
      <w:bookmarkStart w:id="27" w:name="_Toc256000027"/>
      <w:r>
        <w:rPr>
          <w:iCs w:val="0"/>
          <w:color w:val="000000"/>
          <w:shd w:val="clear" w:color="auto" w:fill="auto"/>
        </w:rPr>
        <w:t>F1. Federal Award Notices</w:t>
      </w:r>
      <w:bookmarkEnd w:id="27"/>
    </w:p>
    <w:p w14:paraId="4CE6698E" w14:textId="77777777" w:rsidR="00957E69" w:rsidRDefault="001B034F"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box below, provide details on what a successful applicant can expect to receive following selection.  If the program will provide a selection notice to the entity </w:t>
      </w:r>
      <w:r>
        <w:rPr>
          <w:rFonts w:ascii="Times New Roman" w:eastAsia="Times New Roman" w:hAnsi="Times New Roman" w:cs="Times New Roman"/>
          <w:bCs w:val="0"/>
          <w:color w:val="009745"/>
          <w:sz w:val="24"/>
          <w:szCs w:val="24"/>
        </w:rPr>
        <w:t>before actually issuing the Federal award, this is the place to indicate that the letter is not an authorization to begin project performance (to the extent that the program allows charging of pre-award costs to the award at the entity’s own risk).  This s</w:t>
      </w:r>
      <w:r>
        <w:rPr>
          <w:rFonts w:ascii="Times New Roman" w:eastAsia="Times New Roman" w:hAnsi="Times New Roman" w:cs="Times New Roman"/>
          <w:bCs w:val="0"/>
          <w:color w:val="009745"/>
          <w:sz w:val="24"/>
          <w:szCs w:val="24"/>
        </w:rPr>
        <w:t>ection should indicate that the signed notice of Federal award is the authorizing document and how the program delivers notices of award to recipients (e.g., postal mail, electronic means).  This section may also address the timing, form, and content of no</w:t>
      </w:r>
      <w:r>
        <w:rPr>
          <w:rFonts w:ascii="Times New Roman" w:eastAsia="Times New Roman" w:hAnsi="Times New Roman" w:cs="Times New Roman"/>
          <w:bCs w:val="0"/>
          <w:color w:val="009745"/>
          <w:sz w:val="24"/>
          <w:szCs w:val="24"/>
        </w:rPr>
        <w:t>tifications to unsuccessful applicants. See also §200.210 Information contained in a Federal award.</w:t>
      </w:r>
    </w:p>
    <w:p w14:paraId="3E6C4E4B" w14:textId="77777777" w:rsidR="00957E69" w:rsidRDefault="00957E69" w:rsidP="00470374">
      <w:pPr>
        <w:spacing w:before="120" w:after="60"/>
        <w:rPr>
          <w:vanish/>
        </w:rPr>
      </w:pPr>
    </w:p>
    <w:p w14:paraId="5C0467B0"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Style w:val="highlightany"/>
          <w:rFonts w:ascii="Times New Roman" w:eastAsia="Times New Roman" w:hAnsi="Times New Roman" w:cs="Times New Roman"/>
          <w:b/>
          <w:bCs/>
          <w:sz w:val="24"/>
          <w:szCs w:val="24"/>
          <w:u w:val="single"/>
        </w:rPr>
        <w:t>Rejection of Applications after Initial Review:</w:t>
      </w:r>
      <w:r>
        <w:rPr>
          <w:rStyle w:val="highlightany"/>
          <w:rFonts w:ascii="Times New Roman" w:eastAsia="Times New Roman" w:hAnsi="Times New Roman" w:cs="Times New Roman"/>
          <w:b/>
          <w:bCs/>
          <w:sz w:val="24"/>
          <w:szCs w:val="24"/>
          <w:u w:val="single"/>
        </w:rPr>
        <w:br/>
      </w:r>
      <w:r>
        <w:rPr>
          <w:rFonts w:ascii="Times New Roman" w:eastAsia="Times New Roman" w:hAnsi="Times New Roman" w:cs="Times New Roman"/>
          <w:sz w:val="24"/>
          <w:szCs w:val="24"/>
        </w:rPr>
        <w:t xml:space="preserve">If an application does not meet all requirements specified in the Announcement, as determined by the </w:t>
      </w:r>
      <w:r>
        <w:rPr>
          <w:rFonts w:ascii="Times New Roman" w:eastAsia="Times New Roman" w:hAnsi="Times New Roman" w:cs="Times New Roman"/>
          <w:sz w:val="24"/>
          <w:szCs w:val="24"/>
        </w:rPr>
        <w:t>Contracting Officer in consultation with the External Research Coordinator, the institution and Principal Investigator will be promptly notified that the proposal will not be reviewed indicating the reason for its rejection.</w:t>
      </w:r>
    </w:p>
    <w:p w14:paraId="300ABFFA"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2773A905" w14:textId="77777777" w:rsidR="00957E69" w:rsidRDefault="001B034F">
      <w:pPr>
        <w:pStyle w:val="h2Heading2"/>
        <w:keepNext w:val="0"/>
        <w:spacing w:before="199" w:after="199"/>
        <w:ind w:left="45" w:right="45"/>
        <w:outlineLvl w:val="9"/>
      </w:pPr>
      <w:bookmarkStart w:id="28" w:name="_Toc256000028"/>
      <w:r>
        <w:rPr>
          <w:iCs w:val="0"/>
          <w:color w:val="000000"/>
          <w:shd w:val="clear" w:color="auto" w:fill="auto"/>
        </w:rPr>
        <w:t>F2. Administrative and Nation</w:t>
      </w:r>
      <w:r>
        <w:rPr>
          <w:iCs w:val="0"/>
          <w:color w:val="000000"/>
          <w:shd w:val="clear" w:color="auto" w:fill="auto"/>
        </w:rPr>
        <w:t>al Policy Requirements</w:t>
      </w:r>
      <w:bookmarkEnd w:id="28"/>
    </w:p>
    <w:p w14:paraId="1B27FE6F"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51" w:history="1">
        <w:r>
          <w:rPr>
            <w:rStyle w:val="a"/>
            <w:rFonts w:ascii="Times New Roman" w:eastAsia="Times New Roman" w:hAnsi="Times New Roman" w:cs="Times New Roman"/>
            <w:sz w:val="24"/>
            <w:szCs w:val="24"/>
            <w:u w:val="single" w:color="0000FF"/>
          </w:rPr>
          <w:t>DOI Standard Terms and Condition</w:t>
        </w:r>
      </w:hyperlink>
      <w:hyperlink r:id="rId52"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6858A51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Refer to the U.S. Geological Survey (USGS) Award Terms and Conditions for the general administra</w:t>
      </w:r>
      <w:r>
        <w:rPr>
          <w:rFonts w:ascii="Times New Roman" w:eastAsia="Times New Roman" w:hAnsi="Times New Roman" w:cs="Times New Roman"/>
          <w:sz w:val="24"/>
          <w:szCs w:val="24"/>
        </w:rPr>
        <w:t>tive and national policy requirements applicable to USGS awards. The USGS will communicate any other program- or project-specific special terms and conditions to recipients in their Notice of Award.</w:t>
      </w:r>
    </w:p>
    <w:p w14:paraId="2BC2491C"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Financial Assistance Interior R</w:t>
      </w:r>
      <w:r>
        <w:rPr>
          <w:rFonts w:ascii="Times New Roman" w:eastAsia="Times New Roman" w:hAnsi="Times New Roman" w:cs="Times New Roman"/>
          <w:sz w:val="24"/>
          <w:szCs w:val="24"/>
        </w:rPr>
        <w:t xml:space="preserve">egulation (FAIR), </w:t>
      </w:r>
      <w:hyperlink r:id="rId53"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577B8446"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All data, methodology, factual inputs, models, analyses, technical information, reports, conclusions</w:t>
      </w:r>
      <w:r>
        <w:rPr>
          <w:rFonts w:ascii="Times New Roman" w:eastAsia="Times New Roman" w:hAnsi="Times New Roman" w:cs="Times New Roman"/>
          <w:sz w:val="24"/>
          <w:szCs w:val="24"/>
        </w:rPr>
        <w:t>, valuation products or other scientific assessments in any medium or form, including textual, numerical, graphic, cartographic, narrative, or audiovisual, resulting from a financial assistance agreement is available for use by the Department of the Interi</w:t>
      </w:r>
      <w:r>
        <w:rPr>
          <w:rFonts w:ascii="Times New Roman" w:eastAsia="Times New Roman" w:hAnsi="Times New Roman" w:cs="Times New Roman"/>
          <w:sz w:val="24"/>
          <w:szCs w:val="24"/>
        </w:rPr>
        <w:t>or, including being available in a manner that is sufficient for independent verification.</w:t>
      </w:r>
    </w:p>
    <w:p w14:paraId="388E47BF"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45634DD1"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Obtain, reproduce, publish, or otherwise use the data, methodology, factual inputs, models, analyses, technical inf</w:t>
      </w:r>
      <w:r>
        <w:rPr>
          <w:rFonts w:ascii="Times New Roman" w:eastAsia="Times New Roman" w:hAnsi="Times New Roman" w:cs="Times New Roman"/>
          <w:sz w:val="24"/>
          <w:szCs w:val="24"/>
        </w:rPr>
        <w:t>ormation, reports, conclusions, or other scientific assessments, produced under a Federal award; and</w:t>
      </w:r>
    </w:p>
    <w:p w14:paraId="0DAD2631"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Authorize others to receive, reproduce, publish, or otherwise use such data, methodology, factual inputs, models, analyses, technical information, repo</w:t>
      </w:r>
      <w:r>
        <w:rPr>
          <w:rFonts w:ascii="Times New Roman" w:eastAsia="Times New Roman" w:hAnsi="Times New Roman" w:cs="Times New Roman"/>
          <w:sz w:val="24"/>
          <w:szCs w:val="24"/>
        </w:rPr>
        <w:t>rts, conclusions, or other scientific assessments, for Federal purposes, including to allow for meaningful third-party evaluation.</w:t>
      </w:r>
    </w:p>
    <w:p w14:paraId="469EE26B" w14:textId="77777777" w:rsidR="00957E69" w:rsidRDefault="001B034F" w:rsidP="00470374">
      <w:pPr>
        <w:spacing w:before="20" w:after="20"/>
        <w:rPr>
          <w:vanish/>
        </w:rPr>
      </w:pPr>
      <w:r>
        <w:rPr>
          <w:vanish/>
          <w:color w:val="009745"/>
        </w:rPr>
        <w:t xml:space="preserve">In the text field below, include the link to </w:t>
      </w:r>
      <w:hyperlink r:id="rId54" w:history="1">
        <w:r>
          <w:rPr>
            <w:rStyle w:val="a"/>
            <w:vanish/>
            <w:u w:val="single" w:color="0000FF"/>
          </w:rPr>
          <w:t>DOI</w:t>
        </w:r>
        <w:r>
          <w:rPr>
            <w:rStyle w:val="a"/>
            <w:vanish/>
            <w:u w:val="single" w:color="0000FF"/>
          </w:rPr>
          <w:t xml:space="preserve"> Standard Terms and Conditions</w:t>
        </w:r>
      </w:hyperlink>
      <w:r>
        <w:rPr>
          <w:vanish/>
          <w:color w:val="009745"/>
        </w:rPr>
        <w:t xml:space="preserve"> and any program- or project-specific terms or conditions that will apply to recipients under the program.</w:t>
      </w:r>
    </w:p>
    <w:p w14:paraId="5860FAB0"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1B7E0749" w14:textId="77777777" w:rsidR="00957E69" w:rsidRDefault="001B034F">
      <w:pPr>
        <w:pStyle w:val="h2Heading2"/>
        <w:keepNext w:val="0"/>
        <w:spacing w:before="199" w:after="199"/>
        <w:ind w:left="45" w:right="45"/>
        <w:outlineLvl w:val="9"/>
      </w:pPr>
      <w:bookmarkStart w:id="29" w:name="_Toc256000029"/>
      <w:r>
        <w:rPr>
          <w:iCs w:val="0"/>
          <w:color w:val="000000"/>
          <w:shd w:val="clear" w:color="auto" w:fill="auto"/>
        </w:rPr>
        <w:t>F3. Reporting</w:t>
      </w:r>
      <w:bookmarkEnd w:id="29"/>
      <w:r>
        <w:rPr>
          <w:iCs w:val="0"/>
          <w:color w:val="000000"/>
          <w:shd w:val="clear" w:color="auto" w:fill="auto"/>
        </w:rPr>
        <w:t> </w:t>
      </w:r>
    </w:p>
    <w:p w14:paraId="4CEA2AB9" w14:textId="77777777" w:rsidR="00957E69" w:rsidRDefault="001B034F" w:rsidP="00470374">
      <w:pPr>
        <w:pStyle w:val="Label"/>
        <w:spacing w:before="60" w:after="20"/>
      </w:pPr>
      <w:r>
        <w:t xml:space="preserve"> Financial Reports</w:t>
      </w:r>
    </w:p>
    <w:p w14:paraId="4E75E5AE"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w:t>
      </w:r>
      <w:hyperlink r:id="rId55"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form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financial report. Final reports are due no later than 90 c</w:t>
      </w:r>
      <w:r>
        <w:rPr>
          <w:rFonts w:ascii="Times New Roman" w:eastAsia="Times New Roman" w:hAnsi="Times New Roman" w:cs="Times New Roman"/>
          <w:sz w:val="24"/>
          <w:szCs w:val="24"/>
        </w:rPr>
        <w:t xml:space="preserve">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 xml:space="preserve">financial reports on the frequency established in the Notice of Award. </w:t>
      </w:r>
      <w:r>
        <w:rPr>
          <w:rFonts w:ascii="Times New Roman" w:eastAsia="Times New Roman" w:hAnsi="Times New Roman" w:cs="Times New Roman"/>
          <w:sz w:val="24"/>
          <w:szCs w:val="24"/>
        </w:rPr>
        <w:t>The only exception to the interim financial reporting requirement is if the recipient is required to use the SF 270/271 to request payment and requests payment at least once annually through the entire award period of performance. We will describe all fina</w:t>
      </w:r>
      <w:r>
        <w:rPr>
          <w:rFonts w:ascii="Times New Roman" w:eastAsia="Times New Roman" w:hAnsi="Times New Roman" w:cs="Times New Roman"/>
          <w:sz w:val="24"/>
          <w:szCs w:val="24"/>
        </w:rPr>
        <w:t>ncial reporting requirements in the Notice of Award.</w:t>
      </w:r>
    </w:p>
    <w:p w14:paraId="1BF92253" w14:textId="77777777" w:rsidR="00957E69" w:rsidRDefault="001B034F" w:rsidP="00470374">
      <w:pPr>
        <w:spacing w:before="20" w:after="20"/>
        <w:rPr>
          <w:vanish/>
        </w:rPr>
      </w:pPr>
      <w:r>
        <w:rPr>
          <w:vanish/>
          <w:color w:val="009745"/>
        </w:rPr>
        <w:t>Recipient specific reporting requirements, including the required reports, reporting frequency, and report due dates will be included in all Notices of Award, as applicable.  Only interim financial repor</w:t>
      </w:r>
      <w:r>
        <w:rPr>
          <w:vanish/>
          <w:color w:val="009745"/>
        </w:rPr>
        <w:t>ting on awards to ASAP-waived entities using the SF-270/271 and requesting payment at least once annually throughout the entire award period of performance may be waived.  In the text field below enter any program specific reporting requirements.</w:t>
      </w:r>
    </w:p>
    <w:p w14:paraId="3FA68306" w14:textId="77777777" w:rsidR="00957E69" w:rsidRDefault="001B034F" w:rsidP="00470374">
      <w:pPr>
        <w:pStyle w:val="highlightanyParagraph"/>
        <w:spacing w:after="140"/>
        <w:rPr>
          <w:szCs w:val="24"/>
        </w:rPr>
      </w:pPr>
      <w:r>
        <w:rPr>
          <w:szCs w:val="24"/>
        </w:rPr>
        <w:t>See Attac</w:t>
      </w:r>
      <w:r>
        <w:rPr>
          <w:szCs w:val="24"/>
        </w:rPr>
        <w:t>hment E, 2024 EHP Award Terms and Conditions, for more details on financial reporting requirements.</w:t>
      </w:r>
    </w:p>
    <w:p w14:paraId="71FD51D9" w14:textId="77777777" w:rsidR="00957E69" w:rsidRDefault="001B034F" w:rsidP="00470374">
      <w:pPr>
        <w:pStyle w:val="Label"/>
        <w:spacing w:before="60" w:after="20"/>
      </w:pPr>
      <w:r>
        <w:t xml:space="preserve"> Performance Reports</w:t>
      </w:r>
    </w:p>
    <w:p w14:paraId="1E39D56A"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accomplishments with the established goals and objectives of the award; a description of reasons why established goals were not met, if appropriate; and any other pertinent information relevant to the</w:t>
      </w:r>
      <w:r>
        <w:rPr>
          <w:rFonts w:ascii="Times New Roman" w:eastAsia="Times New Roman" w:hAnsi="Times New Roman" w:cs="Times New Roman"/>
          <w:sz w:val="24"/>
          <w:szCs w:val="24"/>
        </w:rPr>
        <w:t xml:space="preserve"> project results. Final reports are due no later than 90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w:t>
      </w:r>
      <w:r>
        <w:rPr>
          <w:rFonts w:ascii="Times New Roman" w:eastAsia="Times New Roman" w:hAnsi="Times New Roman" w:cs="Times New Roman"/>
          <w:sz w:val="24"/>
          <w:szCs w:val="24"/>
        </w:rPr>
        <w:t>orts on the frequency established in the Notice of Award.</w:t>
      </w:r>
    </w:p>
    <w:p w14:paraId="2BBD066C" w14:textId="77777777" w:rsidR="00957E69" w:rsidRDefault="001B034F" w:rsidP="00470374">
      <w:pPr>
        <w:spacing w:before="20" w:after="20"/>
        <w:rPr>
          <w:vanish/>
        </w:rPr>
      </w:pPr>
      <w:r>
        <w:rPr>
          <w:vanish/>
          <w:color w:val="009745"/>
        </w:rPr>
        <w:t>In the text below reflect the program’s performance reporting requirements. For awards that include construction, onsite technical inspections and certified percentage of completion data may be reli</w:t>
      </w:r>
      <w:r>
        <w:rPr>
          <w:vanish/>
          <w:color w:val="009745"/>
        </w:rPr>
        <w:t>ed on to monitor progress for construction.  Additional performance reports for construction activities may be required only when considered necessary. Awards that include both construction and non-construction activities should require performance reporti</w:t>
      </w:r>
      <w:r>
        <w:rPr>
          <w:vanish/>
          <w:color w:val="009745"/>
        </w:rPr>
        <w:t xml:space="preserve">ng for the non-construction activities. See </w:t>
      </w:r>
      <w:hyperlink r:id="rId56" w:anchor="se2.1.200_1328" w:history="1">
        <w:r>
          <w:rPr>
            <w:rStyle w:val="a"/>
            <w:vanish/>
            <w:u w:val="single" w:color="0000FF"/>
          </w:rPr>
          <w:t>2 CFR 200.328</w:t>
        </w:r>
      </w:hyperlink>
      <w:r>
        <w:rPr>
          <w:vanish/>
          <w:color w:val="009745"/>
        </w:rPr>
        <w:t xml:space="preserve"> for more information. We may only waive performance rep</w:t>
      </w:r>
      <w:r>
        <w:rPr>
          <w:vanish/>
          <w:color w:val="009745"/>
        </w:rPr>
        <w:t>orting for awards to individuals for which we have another way of assessing and documenting recipient performance at least annually.</w:t>
      </w:r>
    </w:p>
    <w:p w14:paraId="0DAC1895" w14:textId="77777777" w:rsidR="00957E69" w:rsidRDefault="001B034F" w:rsidP="00470374">
      <w:pPr>
        <w:pStyle w:val="highlightanyParagraph"/>
        <w:spacing w:after="140"/>
        <w:rPr>
          <w:szCs w:val="24"/>
        </w:rPr>
      </w:pPr>
      <w:r>
        <w:rPr>
          <w:szCs w:val="24"/>
        </w:rPr>
        <w:lastRenderedPageBreak/>
        <w:t>See Attachment E, 2024 EHP Award Terms and Conditions, for more details on Progress Report and Final Technical Report requi</w:t>
      </w:r>
      <w:r>
        <w:rPr>
          <w:szCs w:val="24"/>
        </w:rPr>
        <w:t>rements.</w:t>
      </w:r>
    </w:p>
    <w:p w14:paraId="1E37BA36"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w:t>
      </w:r>
      <w:r>
        <w:rPr>
          <w:rFonts w:ascii="Times New Roman" w:eastAsia="Times New Roman" w:hAnsi="Times New Roman" w:cs="Times New Roman"/>
          <w:sz w:val="24"/>
          <w:szCs w:val="24"/>
        </w:rPr>
        <w:t>cipient becomes aware of any problems, delays, or adverse conditions that will materially impair the ability to meet the objective of the Federal award.  This disclosure must include a statement of any corrective action(s) taken or contemplated, and any as</w:t>
      </w:r>
      <w:r>
        <w:rPr>
          <w:rFonts w:ascii="Times New Roman" w:eastAsia="Times New Roman" w:hAnsi="Times New Roman" w:cs="Times New Roman"/>
          <w:sz w:val="24"/>
          <w:szCs w:val="24"/>
        </w:rPr>
        <w:t>sistance needed to resolve the situation.  The recipient should also notify USGS in writing of any favorable developments that enable meeting time schedules and objectives sooner or at less cost than anticipated or producing more or different beneficial re</w:t>
      </w:r>
      <w:r>
        <w:rPr>
          <w:rFonts w:ascii="Times New Roman" w:eastAsia="Times New Roman" w:hAnsi="Times New Roman" w:cs="Times New Roman"/>
          <w:sz w:val="24"/>
          <w:szCs w:val="24"/>
        </w:rPr>
        <w:t>sults than originally planned.     </w:t>
      </w:r>
    </w:p>
    <w:p w14:paraId="5AEF784A"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must notify the program immediately in writing of any conflict of interest that arise during the life of their Federal award, including those reported to them by any subrecipie</w:t>
      </w:r>
      <w:r>
        <w:rPr>
          <w:rFonts w:ascii="Times New Roman" w:eastAsia="Times New Roman" w:hAnsi="Times New Roman" w:cs="Times New Roman"/>
          <w:sz w:val="24"/>
          <w:szCs w:val="24"/>
        </w:rPr>
        <w:t xml:space="preserve">nt under the award. Recipients must notify the program in writing if any employees, including subrecipient and contractor personnel, are related to, married to, or have a close personal relationship with any Federal employee in the Federal funding program </w:t>
      </w:r>
      <w:r>
        <w:rPr>
          <w:rFonts w:ascii="Times New Roman" w:eastAsia="Times New Roman" w:hAnsi="Times New Roman" w:cs="Times New Roman"/>
          <w:sz w:val="24"/>
          <w:szCs w:val="24"/>
        </w:rPr>
        <w:t>or who otherwise may have been involved in the review and selection of the award. The term employee means any individual engaged in the performance of work pursuant to the Federal award. Recipients may not have a former Federal employee as a key project of</w:t>
      </w:r>
      <w:r>
        <w:rPr>
          <w:rFonts w:ascii="Times New Roman" w:eastAsia="Times New Roman" w:hAnsi="Times New Roman" w:cs="Times New Roman"/>
          <w:sz w:val="24"/>
          <w:szCs w:val="24"/>
        </w:rPr>
        <w:t xml:space="preserve">ficial, or in any other substantial role related to their award, whose participation put them out of compliance with the legal authorities addressing post-Government employment restrictions. See the </w:t>
      </w:r>
      <w:hyperlink r:id="rId57" w:history="1">
        <w:r>
          <w:rPr>
            <w:rStyle w:val="a"/>
            <w:rFonts w:ascii="Times New Roman" w:eastAsia="Times New Roman" w:hAnsi="Times New Roman" w:cs="Times New Roman"/>
            <w:sz w:val="24"/>
            <w:szCs w:val="24"/>
            <w:u w:val="single" w:color="0000FF"/>
          </w:rPr>
          <w:t>U.S. Office of Governmen</w:t>
        </w:r>
        <w:r>
          <w:rPr>
            <w:rStyle w:val="a"/>
            <w:rFonts w:ascii="Times New Roman" w:eastAsia="Times New Roman" w:hAnsi="Times New Roman" w:cs="Times New Roman"/>
            <w:sz w:val="24"/>
            <w:szCs w:val="24"/>
            <w:u w:val="single" w:color="0000FF"/>
          </w:rPr>
          <w:t>t Ethics website</w:t>
        </w:r>
      </w:hyperlink>
      <w:r>
        <w:rPr>
          <w:rFonts w:ascii="Times New Roman" w:eastAsia="Times New Roman" w:hAnsi="Times New Roman" w:cs="Times New Roman"/>
          <w:sz w:val="24"/>
          <w:szCs w:val="24"/>
        </w:rPr>
        <w:t xml:space="preserve"> for more information on these restrictions. USGS will examine each conflict of interest disclosure based on its particular facts and the nature of the project and will determine if a significant potential conflict exists. If it does, USGS will work with t</w:t>
      </w:r>
      <w:r>
        <w:rPr>
          <w:rFonts w:ascii="Times New Roman" w:eastAsia="Times New Roman" w:hAnsi="Times New Roman" w:cs="Times New Roman"/>
          <w:sz w:val="24"/>
          <w:szCs w:val="24"/>
        </w:rPr>
        <w:t>he recipient to determine an appropriate resolution. Failure to disclose and resolve conflicts of interest in a manner that satisfies USGS may result in any of the remedies described in 2 CFR 200.338 Remedies for Noncompliance, including termination of the</w:t>
      </w:r>
      <w:r>
        <w:rPr>
          <w:rFonts w:ascii="Times New Roman" w:eastAsia="Times New Roman" w:hAnsi="Times New Roman" w:cs="Times New Roman"/>
          <w:sz w:val="24"/>
          <w:szCs w:val="24"/>
        </w:rPr>
        <w:t xml:space="preserve"> award.</w:t>
      </w:r>
    </w:p>
    <w:p w14:paraId="2FE6A472"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The Non-Federal entity or applicant for a Federal award must disclose, in a timely manner, in writing to the Federal awarding agency or pass-through entity all violations of Federal criminal law involving fraud, bribery,</w:t>
      </w:r>
      <w:r>
        <w:rPr>
          <w:rFonts w:ascii="Times New Roman" w:eastAsia="Times New Roman" w:hAnsi="Times New Roman" w:cs="Times New Roman"/>
          <w:sz w:val="24"/>
          <w:szCs w:val="24"/>
        </w:rPr>
        <w:t xml:space="preserve"> or gratuity violations potentially affecting the Federal award. Non-Federal entities that receive a Federal award including the terms and conditions outlined in 2 CFR 200, Appendix XII—Award Term and Condition for Recipient Integrity and Performance Matte</w:t>
      </w:r>
      <w:r>
        <w:rPr>
          <w:rFonts w:ascii="Times New Roman" w:eastAsia="Times New Roman" w:hAnsi="Times New Roman" w:cs="Times New Roman"/>
          <w:sz w:val="24"/>
          <w:szCs w:val="24"/>
        </w:rPr>
        <w:t>rs are required to report certain civil, criminal, or administrative proceedings to SAM. Failure to make required disclosures can result in any of the remedies described in 2 CFR 200.338 Remedies for Noncompliance, including suspension or debarment.</w:t>
      </w:r>
    </w:p>
    <w:p w14:paraId="3E3F8307"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w:t>
      </w:r>
      <w:r>
        <w:rPr>
          <w:rFonts w:ascii="Times New Roman" w:eastAsia="Times New Roman" w:hAnsi="Times New Roman" w:cs="Times New Roman"/>
          <w:b/>
          <w:bCs/>
          <w:sz w:val="24"/>
          <w:szCs w:val="24"/>
        </w:rPr>
        <w: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active grants, cooperative agreements, and procurement contracts from all Federal awarding agencies exceeds $10,000,000 for any period of time during the period</w:t>
      </w:r>
      <w:r>
        <w:rPr>
          <w:rFonts w:ascii="Times New Roman" w:eastAsia="Times New Roman" w:hAnsi="Times New Roman" w:cs="Times New Roman"/>
          <w:sz w:val="24"/>
          <w:szCs w:val="24"/>
        </w:rPr>
        <w:t xml:space="preserve"> of performance of this Federal award, then you as the recipient during that period of time must maintain the currency of information reported to the System for Award Management (SAM) that is made available in the designated integrity and performance syste</w:t>
      </w:r>
      <w:r>
        <w:rPr>
          <w:rFonts w:ascii="Times New Roman" w:eastAsia="Times New Roman" w:hAnsi="Times New Roman" w:cs="Times New Roman"/>
          <w:sz w:val="24"/>
          <w:szCs w:val="24"/>
        </w:rPr>
        <w:t xml:space="preserve">m (currently the </w:t>
      </w:r>
      <w:r>
        <w:rPr>
          <w:rFonts w:ascii="Times New Roman" w:eastAsia="Times New Roman" w:hAnsi="Times New Roman" w:cs="Times New Roman"/>
          <w:sz w:val="24"/>
          <w:szCs w:val="24"/>
        </w:rPr>
        <w:lastRenderedPageBreak/>
        <w:t>Federal Awardee Performance and Integrity Information System (FAPIIS)) about civil, criminal, or administrative proceedings in accordance with Appendix XII to 2 CFR 200.</w:t>
      </w:r>
    </w:p>
    <w:p w14:paraId="259286AD" w14:textId="77777777" w:rsidR="00957E69" w:rsidRDefault="001B034F" w:rsidP="00470374">
      <w:pPr>
        <w:pStyle w:val="highlightanyParagraph"/>
        <w:spacing w:after="140"/>
        <w:rPr>
          <w:szCs w:val="24"/>
        </w:rPr>
      </w:pPr>
      <w:r>
        <w:rPr>
          <w:szCs w:val="24"/>
        </w:rPr>
        <w:t>See Attachment E, 2024 EHP Award Terms and Conditions, for additional</w:t>
      </w:r>
      <w:r>
        <w:rPr>
          <w:szCs w:val="24"/>
        </w:rPr>
        <w:t xml:space="preserve"> information on Recipient Reporting and Disclosure requirements.</w:t>
      </w:r>
    </w:p>
    <w:p w14:paraId="01455A3E"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5CA3A343" w14:textId="77777777" w:rsidR="00957E69" w:rsidRDefault="001B034F">
      <w:pPr>
        <w:pStyle w:val="h1Heading1"/>
        <w:widowControl/>
        <w:spacing w:before="161" w:after="161"/>
        <w:ind w:left="45" w:right="45"/>
        <w:outlineLvl w:val="9"/>
      </w:pPr>
      <w:bookmarkStart w:id="30" w:name="_Toc256000030"/>
      <w:r>
        <w:rPr>
          <w:color w:val="000000"/>
          <w:kern w:val="0"/>
          <w:shd w:val="clear" w:color="auto" w:fill="auto"/>
        </w:rPr>
        <w:t>G. Federal Awarding Agency Contact(s)</w:t>
      </w:r>
      <w:bookmarkEnd w:id="30"/>
    </w:p>
    <w:p w14:paraId="0CBB17A9" w14:textId="77777777" w:rsidR="00957E69" w:rsidRDefault="001B034F" w:rsidP="00470374">
      <w:pPr>
        <w:spacing w:before="120" w:after="60"/>
        <w:rPr>
          <w:vanish/>
        </w:rPr>
      </w:pPr>
      <w:r>
        <w:rPr>
          <w:vanish/>
          <w:color w:val="009745"/>
        </w:rPr>
        <w:t>Provide point(s) of contact for answering technical questions or helping with problems while the funding opportunity is open.  The intent is to be as h</w:t>
      </w:r>
      <w:r>
        <w:rPr>
          <w:vanish/>
          <w:color w:val="009745"/>
        </w:rPr>
        <w:t>elpful as possible to the public, so give points of contacts that can be reached in multiple ways or provide a fax or email address that multiple people monitor so that someone will respond even if others are absent during critical periods.  If needed, pro</w:t>
      </w:r>
      <w:r>
        <w:rPr>
          <w:vanish/>
          <w:color w:val="009745"/>
        </w:rPr>
        <w:t>vide different points of contact for distinct types of help, such as a contact for programmatic or technical questions and a second contact for administrative questions.</w:t>
      </w:r>
    </w:p>
    <w:p w14:paraId="008776EE"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67EA3557" w14:textId="77777777" w:rsidR="00957E69" w:rsidRDefault="001B034F">
      <w:pPr>
        <w:pStyle w:val="h2Heading2"/>
        <w:keepNext w:val="0"/>
        <w:spacing w:before="199" w:after="199"/>
        <w:ind w:left="45" w:right="45"/>
        <w:outlineLvl w:val="9"/>
      </w:pPr>
      <w:bookmarkStart w:id="31" w:name="_Toc256000031"/>
      <w:r>
        <w:rPr>
          <w:iCs w:val="0"/>
          <w:color w:val="000000"/>
          <w:shd w:val="clear" w:color="auto" w:fill="auto"/>
        </w:rPr>
        <w:t>G1. Program Technical Contact</w:t>
      </w:r>
      <w:bookmarkEnd w:id="31"/>
    </w:p>
    <w:p w14:paraId="1F0D433E"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contact:</w:t>
      </w:r>
    </w:p>
    <w:p w14:paraId="5AD97165" w14:textId="77777777" w:rsidR="00957E69" w:rsidRDefault="001B034F" w:rsidP="00470374">
      <w:pPr>
        <w:spacing w:before="60" w:after="20"/>
      </w:pPr>
      <w:r>
        <w:t>First Name:</w:t>
      </w:r>
    </w:p>
    <w:p w14:paraId="62E021A8" w14:textId="77777777" w:rsidR="00957E69" w:rsidRDefault="001B034F" w:rsidP="00470374">
      <w:pPr>
        <w:pStyle w:val="highlight"/>
        <w:spacing w:before="20" w:after="20"/>
        <w:rPr>
          <w:szCs w:val="24"/>
        </w:rPr>
      </w:pPr>
      <w:r>
        <w:rPr>
          <w:szCs w:val="24"/>
        </w:rPr>
        <w:t>Jill</w:t>
      </w:r>
    </w:p>
    <w:p w14:paraId="4B780E6F" w14:textId="77777777" w:rsidR="00957E69" w:rsidRDefault="001B034F" w:rsidP="00470374">
      <w:pPr>
        <w:spacing w:before="60" w:after="20"/>
      </w:pPr>
      <w:r>
        <w:t>Last Name:</w:t>
      </w:r>
    </w:p>
    <w:p w14:paraId="57CEA173" w14:textId="77777777" w:rsidR="00957E69" w:rsidRDefault="001B034F" w:rsidP="00470374">
      <w:pPr>
        <w:pStyle w:val="highlight"/>
        <w:spacing w:before="20" w:after="20"/>
        <w:rPr>
          <w:szCs w:val="24"/>
        </w:rPr>
      </w:pPr>
      <w:r>
        <w:rPr>
          <w:szCs w:val="24"/>
        </w:rPr>
        <w:t>Franks</w:t>
      </w:r>
    </w:p>
    <w:p w14:paraId="2D148C8C" w14:textId="77777777" w:rsidR="00957E69" w:rsidRDefault="001B034F" w:rsidP="00470374">
      <w:pPr>
        <w:spacing w:before="60" w:after="20"/>
      </w:pPr>
      <w:r>
        <w:t>Address:</w:t>
      </w:r>
    </w:p>
    <w:p w14:paraId="0860B38D" w14:textId="77777777" w:rsidR="00957E69" w:rsidRDefault="001B034F" w:rsidP="00470374">
      <w:pPr>
        <w:pStyle w:val="highlight"/>
        <w:spacing w:before="20" w:after="20"/>
        <w:rPr>
          <w:szCs w:val="24"/>
        </w:rPr>
      </w:pPr>
      <w:r>
        <w:rPr>
          <w:szCs w:val="24"/>
        </w:rPr>
        <w:t>USGS National Center, 12201 Sunrise Valley Drive, Reston, VA 20192</w:t>
      </w:r>
    </w:p>
    <w:p w14:paraId="00D4CFCA" w14:textId="77777777" w:rsidR="00957E69" w:rsidRDefault="001B034F" w:rsidP="00470374">
      <w:pPr>
        <w:spacing w:before="60" w:after="20"/>
      </w:pPr>
      <w:r>
        <w:t>Telephone:</w:t>
      </w:r>
    </w:p>
    <w:p w14:paraId="7F342842" w14:textId="77777777" w:rsidR="00957E69" w:rsidRDefault="001B034F" w:rsidP="00470374">
      <w:pPr>
        <w:pStyle w:val="highlight"/>
        <w:spacing w:before="20" w:after="20"/>
        <w:rPr>
          <w:szCs w:val="24"/>
        </w:rPr>
      </w:pPr>
      <w:r>
        <w:rPr>
          <w:szCs w:val="24"/>
        </w:rPr>
        <w:t>571-294-1718 (cell)</w:t>
      </w:r>
    </w:p>
    <w:p w14:paraId="0EF96ECE" w14:textId="77777777" w:rsidR="00957E69" w:rsidRDefault="001B034F" w:rsidP="00470374">
      <w:pPr>
        <w:spacing w:before="60" w:after="20"/>
      </w:pPr>
      <w:r>
        <w:t>Email:</w:t>
      </w:r>
    </w:p>
    <w:p w14:paraId="121C9966" w14:textId="77777777" w:rsidR="00957E69" w:rsidRDefault="00957E69" w:rsidP="00470374">
      <w:pPr>
        <w:spacing w:before="60" w:after="20"/>
      </w:pPr>
    </w:p>
    <w:p w14:paraId="6E35993F" w14:textId="77777777" w:rsidR="00957E69" w:rsidRDefault="001B034F" w:rsidP="00470374">
      <w:pPr>
        <w:pStyle w:val="highlight"/>
        <w:spacing w:before="20" w:after="20"/>
        <w:rPr>
          <w:szCs w:val="24"/>
        </w:rPr>
      </w:pPr>
      <w:r>
        <w:rPr>
          <w:szCs w:val="24"/>
        </w:rPr>
        <w:t>jfranks@usgs.gov</w:t>
      </w:r>
    </w:p>
    <w:p w14:paraId="1944F2C3" w14:textId="77777777" w:rsidR="00957E69" w:rsidRDefault="001B034F" w:rsidP="00470374">
      <w:pPr>
        <w:spacing w:before="20" w:after="20"/>
        <w:rPr>
          <w:vanish/>
        </w:rPr>
      </w:pPr>
      <w:r>
        <w:rPr>
          <w:vanish/>
          <w:color w:val="009745"/>
        </w:rPr>
        <w:t xml:space="preserve">Authors may need to provide additional contact info based on program </w:t>
      </w:r>
      <w:r>
        <w:rPr>
          <w:vanish/>
          <w:color w:val="009745"/>
        </w:rPr>
        <w:t>needs. If applicable, provide the additional instructions within the text box below. Text field can be left blank if additional instructions are not needed.</w:t>
      </w:r>
    </w:p>
    <w:p w14:paraId="0521D379" w14:textId="77777777" w:rsidR="00957E69" w:rsidRDefault="001B034F" w:rsidP="00470374">
      <w:pPr>
        <w:pStyle w:val="highlightanyParagraph"/>
        <w:spacing w:after="140"/>
        <w:rPr>
          <w:szCs w:val="24"/>
        </w:rPr>
      </w:pPr>
      <w:r>
        <w:rPr>
          <w:szCs w:val="24"/>
        </w:rPr>
        <w:t>For External Research support issues, contact Jill Franks, Associate Program Coordinator for Earthq</w:t>
      </w:r>
      <w:r>
        <w:rPr>
          <w:szCs w:val="24"/>
        </w:rPr>
        <w:t>uake Hazards External Research.</w:t>
      </w:r>
    </w:p>
    <w:p w14:paraId="7DBA7802"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59AE7A0" w14:textId="77777777" w:rsidR="00957E69" w:rsidRDefault="001B034F">
      <w:pPr>
        <w:pStyle w:val="h2Heading2"/>
        <w:keepNext w:val="0"/>
        <w:spacing w:before="199" w:after="199"/>
        <w:ind w:left="45" w:right="45"/>
        <w:outlineLvl w:val="9"/>
      </w:pPr>
      <w:bookmarkStart w:id="32" w:name="_Toc256000032"/>
      <w:r>
        <w:rPr>
          <w:iCs w:val="0"/>
          <w:color w:val="000000"/>
          <w:shd w:val="clear" w:color="auto" w:fill="auto"/>
        </w:rPr>
        <w:t>G2. Program Administration Contact</w:t>
      </w:r>
      <w:bookmarkEnd w:id="32"/>
    </w:p>
    <w:p w14:paraId="52B4CB8D"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14:paraId="7CF1C5BF" w14:textId="77777777" w:rsidR="00957E69" w:rsidRDefault="001B034F" w:rsidP="00470374">
      <w:pPr>
        <w:spacing w:before="60" w:after="20"/>
      </w:pPr>
      <w:r>
        <w:t>First Name:</w:t>
      </w:r>
    </w:p>
    <w:p w14:paraId="623C354F" w14:textId="77777777" w:rsidR="00957E69" w:rsidRDefault="001B034F" w:rsidP="00470374">
      <w:pPr>
        <w:pStyle w:val="highlight"/>
        <w:spacing w:before="20" w:after="20"/>
        <w:rPr>
          <w:szCs w:val="24"/>
        </w:rPr>
      </w:pPr>
      <w:r>
        <w:rPr>
          <w:szCs w:val="24"/>
        </w:rPr>
        <w:t>Margaret</w:t>
      </w:r>
    </w:p>
    <w:p w14:paraId="3AD5FA88" w14:textId="77777777" w:rsidR="00957E69" w:rsidRDefault="001B034F" w:rsidP="00470374">
      <w:pPr>
        <w:spacing w:before="60" w:after="20"/>
      </w:pPr>
      <w:r>
        <w:t>Last Name:</w:t>
      </w:r>
    </w:p>
    <w:p w14:paraId="3DF8FD49" w14:textId="77777777" w:rsidR="00957E69" w:rsidRDefault="001B034F" w:rsidP="00470374">
      <w:pPr>
        <w:pStyle w:val="highlight"/>
        <w:spacing w:before="20" w:after="20"/>
        <w:rPr>
          <w:szCs w:val="24"/>
        </w:rPr>
      </w:pPr>
      <w:r>
        <w:rPr>
          <w:szCs w:val="24"/>
        </w:rPr>
        <w:lastRenderedPageBreak/>
        <w:t>Eastman</w:t>
      </w:r>
    </w:p>
    <w:p w14:paraId="1419B71C" w14:textId="77777777" w:rsidR="00957E69" w:rsidRDefault="001B034F" w:rsidP="00470374">
      <w:pPr>
        <w:spacing w:before="60" w:after="20"/>
      </w:pPr>
      <w:r>
        <w:t>Address:</w:t>
      </w:r>
    </w:p>
    <w:p w14:paraId="39925BA1" w14:textId="77777777" w:rsidR="00957E69" w:rsidRDefault="001B034F" w:rsidP="00470374">
      <w:pPr>
        <w:pStyle w:val="highlight"/>
        <w:spacing w:before="20" w:after="20"/>
        <w:rPr>
          <w:szCs w:val="24"/>
        </w:rPr>
      </w:pPr>
      <w:r>
        <w:rPr>
          <w:szCs w:val="24"/>
        </w:rPr>
        <w:t>USGS National Center, 12201 Sunrise Valley Drive, Reston, VA 20192</w:t>
      </w:r>
    </w:p>
    <w:p w14:paraId="3ED1FAA4" w14:textId="77777777" w:rsidR="00957E69" w:rsidRDefault="001B034F" w:rsidP="00470374">
      <w:pPr>
        <w:spacing w:before="60" w:after="20"/>
      </w:pPr>
      <w:r>
        <w:t>Telephone:</w:t>
      </w:r>
    </w:p>
    <w:p w14:paraId="1889468A" w14:textId="77777777" w:rsidR="00957E69" w:rsidRDefault="001B034F" w:rsidP="00470374">
      <w:pPr>
        <w:pStyle w:val="highlight"/>
        <w:spacing w:before="20" w:after="20"/>
        <w:rPr>
          <w:szCs w:val="24"/>
        </w:rPr>
      </w:pPr>
      <w:r>
        <w:rPr>
          <w:szCs w:val="24"/>
        </w:rPr>
        <w:t>703-283-9642 (cell)</w:t>
      </w:r>
    </w:p>
    <w:p w14:paraId="6563D141" w14:textId="77777777" w:rsidR="00957E69" w:rsidRDefault="001B034F" w:rsidP="00470374">
      <w:pPr>
        <w:spacing w:before="60" w:after="20"/>
      </w:pPr>
      <w:r>
        <w:t>Email:</w:t>
      </w:r>
    </w:p>
    <w:p w14:paraId="415FA280" w14:textId="77777777" w:rsidR="00957E69" w:rsidRDefault="001B034F" w:rsidP="00470374">
      <w:pPr>
        <w:pStyle w:val="highlight"/>
        <w:spacing w:before="20" w:after="20"/>
        <w:rPr>
          <w:szCs w:val="24"/>
        </w:rPr>
      </w:pPr>
      <w:r>
        <w:rPr>
          <w:szCs w:val="24"/>
        </w:rPr>
        <w:t>mrussell@usgs.gov</w:t>
      </w:r>
    </w:p>
    <w:p w14:paraId="0CE9D3F5" w14:textId="77777777" w:rsidR="00957E69" w:rsidRDefault="001B034F" w:rsidP="00470374">
      <w:pPr>
        <w:spacing w:before="20" w:after="20"/>
        <w:rPr>
          <w:vanish/>
        </w:rPr>
      </w:pPr>
      <w:r>
        <w:rPr>
          <w:vanish/>
          <w:color w:val="009745"/>
        </w:rPr>
        <w:t xml:space="preserve">Authors may need to provide additional contact info based on program needs. If applicable, provide the additional instructions within the text box below. Text field can be left blank if additional </w:t>
      </w:r>
      <w:r>
        <w:rPr>
          <w:vanish/>
          <w:color w:val="009745"/>
        </w:rPr>
        <w:t>instructions are not needed.</w:t>
      </w:r>
    </w:p>
    <w:p w14:paraId="01750E1D"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Contracting Officer issues, contact Maggie Eastman, Office of Acquisition and Grants.</w:t>
      </w:r>
    </w:p>
    <w:p w14:paraId="02AB132E"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780B785E" w14:textId="77777777" w:rsidR="00957E69" w:rsidRDefault="001B034F">
      <w:pPr>
        <w:pStyle w:val="h2Heading2"/>
        <w:keepNext w:val="0"/>
        <w:spacing w:before="199" w:after="199"/>
        <w:ind w:left="45" w:right="45"/>
        <w:outlineLvl w:val="9"/>
      </w:pPr>
      <w:bookmarkStart w:id="33" w:name="_Toc256000033"/>
      <w:r>
        <w:rPr>
          <w:iCs w:val="0"/>
          <w:color w:val="000000"/>
          <w:shd w:val="clear" w:color="auto" w:fill="auto"/>
        </w:rPr>
        <w:t>G3. Application System Technical Support</w:t>
      </w:r>
      <w:bookmarkEnd w:id="33"/>
    </w:p>
    <w:p w14:paraId="6B159D60"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Grants.gov technical registration and submission, downloading forms and application packag</w:t>
      </w:r>
      <w:r>
        <w:rPr>
          <w:rFonts w:ascii="Times New Roman" w:eastAsia="Times New Roman" w:hAnsi="Times New Roman" w:cs="Times New Roman"/>
          <w:b/>
          <w:bCs/>
          <w:sz w:val="24"/>
          <w:szCs w:val="24"/>
        </w:rPr>
        <w:t>es</w:t>
      </w:r>
      <w:r>
        <w:rPr>
          <w:rFonts w:ascii="Times New Roman" w:eastAsia="Times New Roman" w:hAnsi="Times New Roman" w:cs="Times New Roman"/>
          <w:sz w:val="24"/>
          <w:szCs w:val="24"/>
        </w:rPr>
        <w:t>, contact:</w:t>
      </w:r>
    </w:p>
    <w:p w14:paraId="37435AB2" w14:textId="77777777" w:rsidR="00957E69" w:rsidRDefault="001B034F" w:rsidP="00470374">
      <w:pPr>
        <w:spacing w:before="60" w:after="20"/>
      </w:pPr>
      <w:r>
        <w:t>Name:</w:t>
      </w:r>
    </w:p>
    <w:p w14:paraId="2DFB2B04" w14:textId="77777777" w:rsidR="00957E69" w:rsidRDefault="001B034F" w:rsidP="00470374">
      <w:pPr>
        <w:pStyle w:val="div"/>
        <w:spacing w:before="20" w:after="20"/>
      </w:pPr>
      <w:r>
        <w:t>Grants.gov Customer Support</w:t>
      </w:r>
    </w:p>
    <w:p w14:paraId="17AE15D1" w14:textId="77777777" w:rsidR="00957E69" w:rsidRDefault="001B034F" w:rsidP="00470374">
      <w:pPr>
        <w:spacing w:before="60" w:after="20"/>
      </w:pPr>
      <w:r>
        <w:t>Telephone:</w:t>
      </w:r>
    </w:p>
    <w:p w14:paraId="0C87B2D8" w14:textId="77777777" w:rsidR="00957E69" w:rsidRDefault="001B034F" w:rsidP="00470374">
      <w:pPr>
        <w:pStyle w:val="div"/>
        <w:spacing w:before="20" w:after="20"/>
      </w:pPr>
      <w:r>
        <w:t>1-800-518-4726</w:t>
      </w:r>
    </w:p>
    <w:p w14:paraId="4CE4B99F" w14:textId="77777777" w:rsidR="00957E69" w:rsidRDefault="001B034F" w:rsidP="00470374">
      <w:pPr>
        <w:spacing w:before="60" w:after="20"/>
      </w:pPr>
      <w:r>
        <w:t>Email:</w:t>
      </w:r>
    </w:p>
    <w:p w14:paraId="7DB1E897" w14:textId="77777777" w:rsidR="00957E69" w:rsidRDefault="001B034F" w:rsidP="00470374">
      <w:pPr>
        <w:pStyle w:val="div"/>
        <w:spacing w:before="20" w:after="20"/>
      </w:pPr>
      <w:r>
        <w:t xml:space="preserve">Support@grants.gov </w:t>
      </w:r>
    </w:p>
    <w:p w14:paraId="2D34F546" w14:textId="77777777" w:rsidR="00957E69" w:rsidRDefault="001B034F">
      <w:pPr>
        <w:pStyle w:val="Normal0"/>
        <w:spacing w:after="140"/>
        <w:rPr>
          <w:color w:val="auto"/>
          <w:szCs w:val="24"/>
        </w:rPr>
      </w:pPr>
      <w:r>
        <w:rPr>
          <w:rFonts w:ascii="Times New Roman" w:eastAsia="Times New Roman" w:hAnsi="Times New Roman" w:cs="Times New Roman"/>
          <w:color w:val="auto"/>
          <w:sz w:val="24"/>
          <w:szCs w:val="24"/>
        </w:rPr>
        <w:t> </w:t>
      </w:r>
    </w:p>
    <w:p w14:paraId="63B24130" w14:textId="77777777" w:rsidR="00957E69" w:rsidRDefault="001B034F">
      <w:pPr>
        <w:pStyle w:val="h1Heading1"/>
        <w:widowControl/>
        <w:spacing w:before="161" w:after="161"/>
        <w:ind w:left="45" w:right="45"/>
        <w:outlineLvl w:val="9"/>
      </w:pPr>
      <w:bookmarkStart w:id="34" w:name="_Toc256000034"/>
      <w:r>
        <w:rPr>
          <w:color w:val="000000"/>
          <w:kern w:val="0"/>
          <w:shd w:val="clear" w:color="auto" w:fill="auto"/>
        </w:rPr>
        <w:t>H. Other Information</w:t>
      </w:r>
      <w:bookmarkEnd w:id="34"/>
    </w:p>
    <w:p w14:paraId="487BC892"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Domestic recipients are required to register in and receive payment through the U.S. Treasury’s Automated Standard </w:t>
      </w:r>
      <w:r>
        <w:rPr>
          <w:rFonts w:ascii="Times New Roman" w:eastAsia="Times New Roman" w:hAnsi="Times New Roman" w:cs="Times New Roman"/>
          <w:sz w:val="24"/>
          <w:szCs w:val="24"/>
        </w:rPr>
        <w:t xml:space="preserve">Application for Payments (ASAP), unless approved for a waiver by the USGS program.  Foreign recipients receiving funds to a final destination bank outside the U.S. are required to receive payment through the U.S. Treasury’s International Treasury Services </w:t>
      </w:r>
      <w:r>
        <w:rPr>
          <w:rFonts w:ascii="Times New Roman" w:eastAsia="Times New Roman" w:hAnsi="Times New Roman" w:cs="Times New Roman"/>
          <w:sz w:val="24"/>
          <w:szCs w:val="24"/>
        </w:rPr>
        <w:t>(ITS) System.  Foreign recipients receiving funds to a final destination bank in the U.S. are required to enter and maintain current banking details in their SAM.gov entity profile and receive payment through the Automated Clearing House network by electro</w:t>
      </w:r>
      <w:r>
        <w:rPr>
          <w:rFonts w:ascii="Times New Roman" w:eastAsia="Times New Roman" w:hAnsi="Times New Roman" w:cs="Times New Roman"/>
          <w:sz w:val="24"/>
          <w:szCs w:val="24"/>
        </w:rPr>
        <w:t>nic funds transfer (EFT).  The Bureau will include recipient-specific instructions on how to request payment, including identification of any additional information required and where to submit payment requests, as applicable, in all Notices of Award.</w:t>
      </w:r>
    </w:p>
    <w:p w14:paraId="4FCA65BA" w14:textId="77777777" w:rsidR="00957E69" w:rsidRDefault="001B034F" w:rsidP="00470374">
      <w:pPr>
        <w:spacing w:before="20" w:after="20"/>
        <w:rPr>
          <w:vanish/>
        </w:rPr>
      </w:pPr>
      <w:r>
        <w:rPr>
          <w:vanish/>
          <w:color w:val="009745"/>
        </w:rPr>
        <w:t>Authors may need to provide additional instructions based on legislative or program requirements. If applicable, provide the additional instructions within the text box below. Text field can be left blank if additional instructions are not needed.</w:t>
      </w:r>
    </w:p>
    <w:p w14:paraId="22AD5E7F" w14:textId="77777777" w:rsidR="00957E69" w:rsidRDefault="001B034F" w:rsidP="00470374">
      <w:pPr>
        <w:pStyle w:val="Normal0"/>
        <w:shd w:val="clear" w:color="auto" w:fill="FFF7D5"/>
        <w:spacing w:after="140"/>
        <w:rPr>
          <w:rFonts w:ascii="Times New Roman" w:eastAsia="Times New Roman" w:hAnsi="Times New Roman" w:cs="Times New Roman"/>
          <w:sz w:val="24"/>
          <w:szCs w:val="24"/>
        </w:rPr>
      </w:pPr>
      <w:r>
        <w:rPr>
          <w:rStyle w:val="highlightany"/>
          <w:rFonts w:ascii="Times New Roman" w:eastAsia="Times New Roman" w:hAnsi="Times New Roman" w:cs="Times New Roman"/>
          <w:b/>
          <w:bCs/>
          <w:sz w:val="24"/>
          <w:szCs w:val="24"/>
          <w:u w:val="single"/>
        </w:rPr>
        <w:t xml:space="preserve">Payment </w:t>
      </w:r>
      <w:r>
        <w:rPr>
          <w:rStyle w:val="highlightany"/>
          <w:rFonts w:ascii="Times New Roman" w:eastAsia="Times New Roman" w:hAnsi="Times New Roman" w:cs="Times New Roman"/>
          <w:b/>
          <w:bCs/>
          <w:sz w:val="24"/>
          <w:szCs w:val="24"/>
          <w:u w:val="single"/>
        </w:rPr>
        <w:t>to Foreign Recipients:</w:t>
      </w:r>
      <w:r>
        <w:rPr>
          <w:rStyle w:val="highlightany"/>
          <w:rFonts w:ascii="Times New Roman" w:eastAsia="Times New Roman" w:hAnsi="Times New Roman" w:cs="Times New Roman"/>
          <w:b/>
          <w:bCs/>
          <w:sz w:val="24"/>
          <w:szCs w:val="24"/>
          <w:u w:val="single"/>
        </w:rPr>
        <w:br/>
      </w:r>
      <w:r>
        <w:rPr>
          <w:rFonts w:ascii="Times New Roman" w:eastAsia="Times New Roman" w:hAnsi="Times New Roman" w:cs="Times New Roman"/>
          <w:sz w:val="24"/>
          <w:szCs w:val="24"/>
        </w:rPr>
        <w:t xml:space="preserve">The Department of the Interior requires all payments under financial assistance awards be made using the Department of the Treasury Automated Standard Application for Payments (ASAP) </w:t>
      </w:r>
      <w:r>
        <w:rPr>
          <w:rFonts w:ascii="Times New Roman" w:eastAsia="Times New Roman" w:hAnsi="Times New Roman" w:cs="Times New Roman"/>
          <w:sz w:val="24"/>
          <w:szCs w:val="24"/>
        </w:rPr>
        <w:lastRenderedPageBreak/>
        <w:t>system. HOWEVER, ASAP cannot make payments to foreign recipients. As such</w:t>
      </w:r>
      <w:r>
        <w:rPr>
          <w:rFonts w:ascii="Times New Roman" w:eastAsia="Times New Roman" w:hAnsi="Times New Roman" w:cs="Times New Roman"/>
          <w:sz w:val="24"/>
          <w:szCs w:val="24"/>
        </w:rPr>
        <w:t xml:space="preserve">, payment to foreign recipients will be made by Treasury Check in U.S. funds upon receipt of properly prepared SF-270, “Request for Advance or Reimbursement”. Requests should be submitted on quarterly basis. Payments may be drawn in advance only as needed </w:t>
      </w:r>
      <w:r>
        <w:rPr>
          <w:rFonts w:ascii="Times New Roman" w:eastAsia="Times New Roman" w:hAnsi="Times New Roman" w:cs="Times New Roman"/>
          <w:sz w:val="24"/>
          <w:szCs w:val="24"/>
        </w:rPr>
        <w:t xml:space="preserve">to meet immediate cash disbursement needs. Foreign recipients are further advised that, although ASAP cannot handle foreign recipients, a waiver from use of ASAP </w:t>
      </w:r>
      <w:r>
        <w:rPr>
          <w:rStyle w:val="highlightany"/>
          <w:rFonts w:ascii="Times New Roman" w:eastAsia="Times New Roman" w:hAnsi="Times New Roman" w:cs="Times New Roman"/>
          <w:b/>
          <w:bCs/>
          <w:sz w:val="24"/>
          <w:szCs w:val="24"/>
        </w:rPr>
        <w:t xml:space="preserve">is </w:t>
      </w:r>
      <w:r>
        <w:rPr>
          <w:rFonts w:ascii="Times New Roman" w:eastAsia="Times New Roman" w:hAnsi="Times New Roman" w:cs="Times New Roman"/>
          <w:sz w:val="24"/>
          <w:szCs w:val="24"/>
        </w:rPr>
        <w:t>required. This waiver is processed by the USGS and no award may be issued until such time a</w:t>
      </w:r>
      <w:r>
        <w:rPr>
          <w:rFonts w:ascii="Times New Roman" w:eastAsia="Times New Roman" w:hAnsi="Times New Roman" w:cs="Times New Roman"/>
          <w:sz w:val="24"/>
          <w:szCs w:val="24"/>
        </w:rPr>
        <w:t>s the waiver is approved.</w:t>
      </w:r>
    </w:p>
    <w:p w14:paraId="700F0460" w14:textId="77777777" w:rsidR="00957E69" w:rsidRDefault="001B034F"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b/>
          <w:bCs/>
          <w:color w:val="606060"/>
          <w:sz w:val="24"/>
          <w:szCs w:val="24"/>
          <w:u w:val="single"/>
        </w:rPr>
        <w:t>PAPERWORK REDUCTION ACT STATEMENT:</w:t>
      </w:r>
    </w:p>
    <w:p w14:paraId="0B27D9B4" w14:textId="77777777" w:rsidR="00957E69" w:rsidRDefault="001B034F"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OMB Control Number: 1028-0051, Expiration Date: July 31, 2025</w:t>
      </w:r>
    </w:p>
    <w:p w14:paraId="12D78790" w14:textId="77777777" w:rsidR="00957E69" w:rsidRDefault="001B034F"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We are collecting this information in accordance with the program identified above. Your response is required to obtain or retain a b</w:t>
      </w:r>
      <w:r>
        <w:rPr>
          <w:rFonts w:ascii="Times New Roman" w:eastAsia="Times New Roman" w:hAnsi="Times New Roman" w:cs="Times New Roman"/>
          <w:color w:val="606060"/>
          <w:sz w:val="24"/>
          <w:szCs w:val="24"/>
          <w:u w:val="single"/>
        </w:rPr>
        <w:t>enefit. We will use the information you provide to conduct a competitive review and select projects for funding and, if awarded, to evaluate performance. We may not conduct or sponsor and you are not required to respond to a collection of information unles</w:t>
      </w:r>
      <w:r>
        <w:rPr>
          <w:rFonts w:ascii="Times New Roman" w:eastAsia="Times New Roman" w:hAnsi="Times New Roman" w:cs="Times New Roman"/>
          <w:color w:val="606060"/>
          <w:sz w:val="24"/>
          <w:szCs w:val="24"/>
          <w:u w:val="single"/>
        </w:rPr>
        <w:t>s it displays a currently valid Office of Management and Budget (OMB) control number. Public report burden for this collection is estimated to average 45 hours per grant application and 12 hours to prepare a final technical report. Actual time for these ac</w:t>
      </w:r>
      <w:r>
        <w:rPr>
          <w:rFonts w:ascii="Times New Roman" w:eastAsia="Times New Roman" w:hAnsi="Times New Roman" w:cs="Times New Roman"/>
          <w:color w:val="606060"/>
          <w:sz w:val="24"/>
          <w:szCs w:val="24"/>
          <w:u w:val="single"/>
        </w:rPr>
        <w:t>tivities will vary depending on program- specific requirements. You may send comments on the burden estimate or any other aspect of this information collection to the Bureau Clearance Officer, U.S. Geological Survey, 12201 Sunrise Valley Drive, MS807, Rest</w:t>
      </w:r>
      <w:r>
        <w:rPr>
          <w:rFonts w:ascii="Times New Roman" w:eastAsia="Times New Roman" w:hAnsi="Times New Roman" w:cs="Times New Roman"/>
          <w:color w:val="606060"/>
          <w:sz w:val="24"/>
          <w:szCs w:val="24"/>
          <w:u w:val="single"/>
        </w:rPr>
        <w:t>on VA 20192.</w:t>
      </w:r>
    </w:p>
    <w:p w14:paraId="7178697D" w14:textId="77777777" w:rsidR="00957E69" w:rsidRDefault="001B034F" w:rsidP="00470374">
      <w:pPr>
        <w:spacing w:before="20" w:after="20"/>
        <w:rPr>
          <w:vanish/>
        </w:rPr>
      </w:pPr>
      <w:r>
        <w:rPr>
          <w:vanish/>
          <w:color w:val="009745"/>
        </w:rPr>
        <w:t>In the text box below, include any additional information for the Paperwork Reduction Act that is specific to your program.</w:t>
      </w:r>
    </w:p>
    <w:p w14:paraId="3373D9DF" w14:textId="77777777" w:rsidR="00957E69" w:rsidRDefault="001B034F" w:rsidP="00470374">
      <w:pPr>
        <w:pStyle w:val="highlightanyParagraph"/>
        <w:spacing w:after="140"/>
        <w:rPr>
          <w:szCs w:val="24"/>
        </w:rPr>
      </w:pPr>
      <w:r>
        <w:rPr>
          <w:rStyle w:val="highlightany"/>
          <w:b/>
          <w:bCs/>
          <w:szCs w:val="24"/>
        </w:rPr>
        <w:t>PAPERWORK REDUCTION ACT STATEMENT</w:t>
      </w:r>
      <w:r>
        <w:rPr>
          <w:szCs w:val="24"/>
        </w:rPr>
        <w:t>: The Paperwork Reduction Act says that the agency must tell you why we are collecting this information, how we will use it, and whether you have to give it to us. This information is being collected to determine the eligibility of the applicant and as a b</w:t>
      </w:r>
      <w:r>
        <w:rPr>
          <w:szCs w:val="24"/>
        </w:rPr>
        <w:t xml:space="preserve">asis for approval or disapproval of the proposed research. The purpose of the program is to support research in earthquake hazards and earthquake prediction to provide earth science data and information essential to mitigate earthquake losses. Response to </w:t>
      </w:r>
      <w:r>
        <w:rPr>
          <w:szCs w:val="24"/>
        </w:rPr>
        <w:t>this request is required to obtain and retain a grant, under the Earthquake Hazards Reduction Act of 1977, Public Law 95 -124. Public report burden for this collection is estimated to average 45 hours per grant application and 12 hours to prepare a final t</w:t>
      </w:r>
      <w:r>
        <w:rPr>
          <w:szCs w:val="24"/>
        </w:rPr>
        <w:t xml:space="preserve">echnical report. The OMB Control Number is 1028-0051 for this information collection; the expiration date is July 31, 2025. Direct comments regarding this collection of information may be sent to the </w:t>
      </w:r>
      <w:r>
        <w:rPr>
          <w:rStyle w:val="highlightany"/>
          <w:szCs w:val="24"/>
          <w:u w:val="single"/>
        </w:rPr>
        <w:t xml:space="preserve">Bureau Clearance Officer, U.S. Geological Survey, 12201 </w:t>
      </w:r>
      <w:r>
        <w:rPr>
          <w:rStyle w:val="highlightany"/>
          <w:szCs w:val="24"/>
          <w:u w:val="single"/>
        </w:rPr>
        <w:t>Sunrise Valley Drive, MS807, Reston VA 20192.</w:t>
      </w:r>
    </w:p>
    <w:p w14:paraId="7E7A046B" w14:textId="77777777" w:rsidR="00957E69" w:rsidRDefault="00957E69" w:rsidP="00470374">
      <w:pPr>
        <w:spacing w:before="20" w:after="20"/>
      </w:pPr>
    </w:p>
    <w:sectPr w:rsidR="00957E69" w:rsidSect="00F51971">
      <w:footerReference w:type="default" r:id="rId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B6247" w14:textId="77777777" w:rsidR="00000000" w:rsidRDefault="001B034F">
      <w:r>
        <w:separator/>
      </w:r>
    </w:p>
  </w:endnote>
  <w:endnote w:type="continuationSeparator" w:id="0">
    <w:p w14:paraId="6965F427" w14:textId="77777777" w:rsidR="00000000" w:rsidRDefault="001B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C5826CC7-2366-453A-9E5E-9BCA2FECEEB2}"/>
    <w:embedBold r:id="rId2" w:fontKey="{97FA68B6-50AE-4471-B685-1253AA2716E7}"/>
    <w:embedItalic r:id="rId3" w:fontKey="{1D87CC6B-7DC5-4F45-BD72-E53E627776CA}"/>
    <w:embedBoldItalic r:id="rId4" w:fontKey="{2EFE080D-E352-4738-B2D7-D1B25DB4952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5" w:fontKey="{5FC1C15F-990E-4E04-8462-E8B9118EC97E}"/>
  </w:font>
  <w:font w:name="Arial Unicode MS">
    <w:panose1 w:val="020B0604020202020204"/>
    <w:charset w:val="00"/>
    <w:family w:val="auto"/>
    <w:pitch w:val="default"/>
    <w:sig w:usb0="00000000" w:usb1="00000000" w:usb2="00000000" w:usb3="00000000" w:csb0="00000001" w:csb1="00000000"/>
    <w:embedRegular r:id="rId6" w:subsetted="1" w:fontKey="{8E5766D7-A8EC-4068-BDE3-88A4B8275F09}"/>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1803"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6FCE"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2BFC"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957E69" w14:paraId="7DE6EB14" w14:textId="77777777">
      <w:tc>
        <w:tcPr>
          <w:tcW w:w="1650" w:type="pct"/>
        </w:tcPr>
        <w:p w14:paraId="4F553ACF" w14:textId="77777777" w:rsidR="00957E69" w:rsidRDefault="00957E69">
          <w:pPr>
            <w:jc w:val="center"/>
          </w:pPr>
        </w:p>
      </w:tc>
      <w:tc>
        <w:tcPr>
          <w:tcW w:w="1650" w:type="pct"/>
        </w:tcPr>
        <w:p w14:paraId="13BDED5F" w14:textId="77777777" w:rsidR="00957E69" w:rsidRDefault="00957E69">
          <w:pPr>
            <w:jc w:val="center"/>
          </w:pPr>
        </w:p>
      </w:tc>
      <w:tc>
        <w:tcPr>
          <w:tcW w:w="1650" w:type="pct"/>
        </w:tcPr>
        <w:p w14:paraId="784804A3" w14:textId="69F0EA40" w:rsidR="00957E69" w:rsidRDefault="001B034F">
          <w:pPr>
            <w:jc w:val="center"/>
          </w:pPr>
          <w:r>
            <w:t xml:space="preserve">Page </w:t>
          </w:r>
          <w:r>
            <w:fldChar w:fldCharType="begin"/>
          </w:r>
          <w:r>
            <w:instrText xml:space="preserve"> PAGE </w:instrText>
          </w:r>
          <w:r>
            <w:fldChar w:fldCharType="separate"/>
          </w:r>
          <w:r>
            <w:t>33</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40</w:instrText>
          </w:r>
          <w:r>
            <w:fldChar w:fldCharType="end"/>
          </w:r>
          <w:r>
            <w:instrText xml:space="preserve"> - 1 </w:instrText>
          </w:r>
          <w:r>
            <w:fldChar w:fldCharType="separate"/>
          </w:r>
          <w:r>
            <w:rPr>
              <w:noProof/>
            </w:rPr>
            <w:t>39</w:t>
          </w:r>
          <w:r>
            <w:fldChar w:fldCharType="end"/>
          </w:r>
        </w:p>
      </w:tc>
    </w:tr>
  </w:tbl>
  <w:p w14:paraId="1ED566DD" w14:textId="77777777" w:rsidR="00957E69" w:rsidRDefault="00957E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E72DF" w14:textId="77777777" w:rsidR="00000000" w:rsidRDefault="001B034F">
      <w:r>
        <w:separator/>
      </w:r>
    </w:p>
  </w:footnote>
  <w:footnote w:type="continuationSeparator" w:id="0">
    <w:p w14:paraId="294F3C96" w14:textId="77777777" w:rsidR="00000000" w:rsidRDefault="001B0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C51F"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DE24"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B31F"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511869C4">
      <w:start w:val="1"/>
      <w:numFmt w:val="bullet"/>
      <w:lvlText w:val=""/>
      <w:lvlJc w:val="left"/>
      <w:pPr>
        <w:ind w:left="783" w:hanging="360"/>
      </w:pPr>
      <w:rPr>
        <w:rFonts w:ascii="Symbol" w:hAnsi="Symbol" w:hint="default"/>
      </w:rPr>
    </w:lvl>
    <w:lvl w:ilvl="1" w:tplc="E7646BB0" w:tentative="1">
      <w:start w:val="1"/>
      <w:numFmt w:val="bullet"/>
      <w:lvlText w:val="o"/>
      <w:lvlJc w:val="left"/>
      <w:pPr>
        <w:ind w:left="1503" w:hanging="360"/>
      </w:pPr>
      <w:rPr>
        <w:rFonts w:ascii="Courier New" w:hAnsi="Courier New" w:cs="Courier New" w:hint="default"/>
      </w:rPr>
    </w:lvl>
    <w:lvl w:ilvl="2" w:tplc="AF3867B0" w:tentative="1">
      <w:start w:val="1"/>
      <w:numFmt w:val="bullet"/>
      <w:lvlText w:val=""/>
      <w:lvlJc w:val="left"/>
      <w:pPr>
        <w:ind w:left="2223" w:hanging="360"/>
      </w:pPr>
      <w:rPr>
        <w:rFonts w:ascii="Wingdings" w:hAnsi="Wingdings" w:hint="default"/>
      </w:rPr>
    </w:lvl>
    <w:lvl w:ilvl="3" w:tplc="52C813E8" w:tentative="1">
      <w:start w:val="1"/>
      <w:numFmt w:val="bullet"/>
      <w:lvlText w:val=""/>
      <w:lvlJc w:val="left"/>
      <w:pPr>
        <w:ind w:left="2943" w:hanging="360"/>
      </w:pPr>
      <w:rPr>
        <w:rFonts w:ascii="Symbol" w:hAnsi="Symbol" w:hint="default"/>
      </w:rPr>
    </w:lvl>
    <w:lvl w:ilvl="4" w:tplc="276E1C9C" w:tentative="1">
      <w:start w:val="1"/>
      <w:numFmt w:val="bullet"/>
      <w:lvlText w:val="o"/>
      <w:lvlJc w:val="left"/>
      <w:pPr>
        <w:ind w:left="3663" w:hanging="360"/>
      </w:pPr>
      <w:rPr>
        <w:rFonts w:ascii="Courier New" w:hAnsi="Courier New" w:cs="Courier New" w:hint="default"/>
      </w:rPr>
    </w:lvl>
    <w:lvl w:ilvl="5" w:tplc="F558E224" w:tentative="1">
      <w:start w:val="1"/>
      <w:numFmt w:val="bullet"/>
      <w:lvlText w:val=""/>
      <w:lvlJc w:val="left"/>
      <w:pPr>
        <w:ind w:left="4383" w:hanging="360"/>
      </w:pPr>
      <w:rPr>
        <w:rFonts w:ascii="Wingdings" w:hAnsi="Wingdings" w:hint="default"/>
      </w:rPr>
    </w:lvl>
    <w:lvl w:ilvl="6" w:tplc="001A3DFA" w:tentative="1">
      <w:start w:val="1"/>
      <w:numFmt w:val="bullet"/>
      <w:lvlText w:val=""/>
      <w:lvlJc w:val="left"/>
      <w:pPr>
        <w:ind w:left="5103" w:hanging="360"/>
      </w:pPr>
      <w:rPr>
        <w:rFonts w:ascii="Symbol" w:hAnsi="Symbol" w:hint="default"/>
      </w:rPr>
    </w:lvl>
    <w:lvl w:ilvl="7" w:tplc="FF9CBD3C" w:tentative="1">
      <w:start w:val="1"/>
      <w:numFmt w:val="bullet"/>
      <w:lvlText w:val="o"/>
      <w:lvlJc w:val="left"/>
      <w:pPr>
        <w:ind w:left="5823" w:hanging="360"/>
      </w:pPr>
      <w:rPr>
        <w:rFonts w:ascii="Courier New" w:hAnsi="Courier New" w:cs="Courier New" w:hint="default"/>
      </w:rPr>
    </w:lvl>
    <w:lvl w:ilvl="8" w:tplc="23B2A8E6"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6150C4F8">
      <w:start w:val="1"/>
      <w:numFmt w:val="bullet"/>
      <w:lvlText w:val=""/>
      <w:lvlJc w:val="left"/>
      <w:pPr>
        <w:ind w:left="720" w:hanging="360"/>
      </w:pPr>
      <w:rPr>
        <w:rFonts w:ascii="Symbol" w:hAnsi="Symbol" w:hint="default"/>
      </w:rPr>
    </w:lvl>
    <w:lvl w:ilvl="1" w:tplc="EDA0D312" w:tentative="1">
      <w:start w:val="1"/>
      <w:numFmt w:val="bullet"/>
      <w:lvlText w:val="o"/>
      <w:lvlJc w:val="left"/>
      <w:pPr>
        <w:ind w:left="1440" w:hanging="360"/>
      </w:pPr>
      <w:rPr>
        <w:rFonts w:ascii="Courier New" w:hAnsi="Courier New" w:cs="Courier New" w:hint="default"/>
      </w:rPr>
    </w:lvl>
    <w:lvl w:ilvl="2" w:tplc="DFB230A6" w:tentative="1">
      <w:start w:val="1"/>
      <w:numFmt w:val="bullet"/>
      <w:lvlText w:val=""/>
      <w:lvlJc w:val="left"/>
      <w:pPr>
        <w:ind w:left="2160" w:hanging="360"/>
      </w:pPr>
      <w:rPr>
        <w:rFonts w:ascii="Wingdings" w:hAnsi="Wingdings" w:hint="default"/>
      </w:rPr>
    </w:lvl>
    <w:lvl w:ilvl="3" w:tplc="DEF4BFB2" w:tentative="1">
      <w:start w:val="1"/>
      <w:numFmt w:val="bullet"/>
      <w:lvlText w:val=""/>
      <w:lvlJc w:val="left"/>
      <w:pPr>
        <w:ind w:left="2880" w:hanging="360"/>
      </w:pPr>
      <w:rPr>
        <w:rFonts w:ascii="Symbol" w:hAnsi="Symbol" w:hint="default"/>
      </w:rPr>
    </w:lvl>
    <w:lvl w:ilvl="4" w:tplc="AAB45904" w:tentative="1">
      <w:start w:val="1"/>
      <w:numFmt w:val="bullet"/>
      <w:lvlText w:val="o"/>
      <w:lvlJc w:val="left"/>
      <w:pPr>
        <w:ind w:left="3600" w:hanging="360"/>
      </w:pPr>
      <w:rPr>
        <w:rFonts w:ascii="Courier New" w:hAnsi="Courier New" w:cs="Courier New" w:hint="default"/>
      </w:rPr>
    </w:lvl>
    <w:lvl w:ilvl="5" w:tplc="6B7AA87A" w:tentative="1">
      <w:start w:val="1"/>
      <w:numFmt w:val="bullet"/>
      <w:lvlText w:val=""/>
      <w:lvlJc w:val="left"/>
      <w:pPr>
        <w:ind w:left="4320" w:hanging="360"/>
      </w:pPr>
      <w:rPr>
        <w:rFonts w:ascii="Wingdings" w:hAnsi="Wingdings" w:hint="default"/>
      </w:rPr>
    </w:lvl>
    <w:lvl w:ilvl="6" w:tplc="0052883A" w:tentative="1">
      <w:start w:val="1"/>
      <w:numFmt w:val="bullet"/>
      <w:lvlText w:val=""/>
      <w:lvlJc w:val="left"/>
      <w:pPr>
        <w:ind w:left="5040" w:hanging="360"/>
      </w:pPr>
      <w:rPr>
        <w:rFonts w:ascii="Symbol" w:hAnsi="Symbol" w:hint="default"/>
      </w:rPr>
    </w:lvl>
    <w:lvl w:ilvl="7" w:tplc="866EC838" w:tentative="1">
      <w:start w:val="1"/>
      <w:numFmt w:val="bullet"/>
      <w:lvlText w:val="o"/>
      <w:lvlJc w:val="left"/>
      <w:pPr>
        <w:ind w:left="5760" w:hanging="360"/>
      </w:pPr>
      <w:rPr>
        <w:rFonts w:ascii="Courier New" w:hAnsi="Courier New" w:cs="Courier New" w:hint="default"/>
      </w:rPr>
    </w:lvl>
    <w:lvl w:ilvl="8" w:tplc="97AE78C4"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E8D84A86">
      <w:start w:val="1"/>
      <w:numFmt w:val="bullet"/>
      <w:pStyle w:val="Bullet"/>
      <w:lvlText w:val=""/>
      <w:lvlJc w:val="left"/>
      <w:pPr>
        <w:ind w:left="1440" w:hanging="360"/>
      </w:pPr>
      <w:rPr>
        <w:rFonts w:ascii="Symbol" w:hAnsi="Symbol" w:hint="default"/>
      </w:rPr>
    </w:lvl>
    <w:lvl w:ilvl="1" w:tplc="54A0D578" w:tentative="1">
      <w:start w:val="1"/>
      <w:numFmt w:val="bullet"/>
      <w:lvlText w:val="o"/>
      <w:lvlJc w:val="left"/>
      <w:pPr>
        <w:ind w:left="2160" w:hanging="360"/>
      </w:pPr>
      <w:rPr>
        <w:rFonts w:ascii="Courier New" w:hAnsi="Courier New" w:hint="default"/>
      </w:rPr>
    </w:lvl>
    <w:lvl w:ilvl="2" w:tplc="1BEED908" w:tentative="1">
      <w:start w:val="1"/>
      <w:numFmt w:val="bullet"/>
      <w:lvlText w:val=""/>
      <w:lvlJc w:val="left"/>
      <w:pPr>
        <w:ind w:left="2880" w:hanging="360"/>
      </w:pPr>
      <w:rPr>
        <w:rFonts w:ascii="Wingdings" w:hAnsi="Wingdings" w:hint="default"/>
      </w:rPr>
    </w:lvl>
    <w:lvl w:ilvl="3" w:tplc="921A7340" w:tentative="1">
      <w:start w:val="1"/>
      <w:numFmt w:val="bullet"/>
      <w:lvlText w:val=""/>
      <w:lvlJc w:val="left"/>
      <w:pPr>
        <w:ind w:left="3600" w:hanging="360"/>
      </w:pPr>
      <w:rPr>
        <w:rFonts w:ascii="Symbol" w:hAnsi="Symbol" w:hint="default"/>
      </w:rPr>
    </w:lvl>
    <w:lvl w:ilvl="4" w:tplc="F45CFFDA" w:tentative="1">
      <w:start w:val="1"/>
      <w:numFmt w:val="bullet"/>
      <w:lvlText w:val="o"/>
      <w:lvlJc w:val="left"/>
      <w:pPr>
        <w:ind w:left="4320" w:hanging="360"/>
      </w:pPr>
      <w:rPr>
        <w:rFonts w:ascii="Courier New" w:hAnsi="Courier New" w:hint="default"/>
      </w:rPr>
    </w:lvl>
    <w:lvl w:ilvl="5" w:tplc="16646B0A" w:tentative="1">
      <w:start w:val="1"/>
      <w:numFmt w:val="bullet"/>
      <w:lvlText w:val=""/>
      <w:lvlJc w:val="left"/>
      <w:pPr>
        <w:ind w:left="5040" w:hanging="360"/>
      </w:pPr>
      <w:rPr>
        <w:rFonts w:ascii="Wingdings" w:hAnsi="Wingdings" w:hint="default"/>
      </w:rPr>
    </w:lvl>
    <w:lvl w:ilvl="6" w:tplc="DC3EF992" w:tentative="1">
      <w:start w:val="1"/>
      <w:numFmt w:val="bullet"/>
      <w:lvlText w:val=""/>
      <w:lvlJc w:val="left"/>
      <w:pPr>
        <w:ind w:left="5760" w:hanging="360"/>
      </w:pPr>
      <w:rPr>
        <w:rFonts w:ascii="Symbol" w:hAnsi="Symbol" w:hint="default"/>
      </w:rPr>
    </w:lvl>
    <w:lvl w:ilvl="7" w:tplc="EE7CC50A" w:tentative="1">
      <w:start w:val="1"/>
      <w:numFmt w:val="bullet"/>
      <w:lvlText w:val="o"/>
      <w:lvlJc w:val="left"/>
      <w:pPr>
        <w:ind w:left="6480" w:hanging="360"/>
      </w:pPr>
      <w:rPr>
        <w:rFonts w:ascii="Courier New" w:hAnsi="Courier New" w:hint="default"/>
      </w:rPr>
    </w:lvl>
    <w:lvl w:ilvl="8" w:tplc="ABC65470"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ADDA363A">
      <w:start w:val="1"/>
      <w:numFmt w:val="bullet"/>
      <w:lvlText w:val=""/>
      <w:lvlJc w:val="left"/>
      <w:pPr>
        <w:ind w:left="360" w:hanging="360"/>
      </w:pPr>
      <w:rPr>
        <w:rFonts w:ascii="Symbol" w:hAnsi="Symbol" w:hint="default"/>
      </w:rPr>
    </w:lvl>
    <w:lvl w:ilvl="1" w:tplc="D08AB3CE" w:tentative="1">
      <w:start w:val="1"/>
      <w:numFmt w:val="bullet"/>
      <w:lvlText w:val="o"/>
      <w:lvlJc w:val="left"/>
      <w:pPr>
        <w:ind w:left="1080" w:hanging="360"/>
      </w:pPr>
      <w:rPr>
        <w:rFonts w:ascii="Courier New" w:hAnsi="Courier New" w:cs="Courier New" w:hint="default"/>
      </w:rPr>
    </w:lvl>
    <w:lvl w:ilvl="2" w:tplc="691CB99A" w:tentative="1">
      <w:start w:val="1"/>
      <w:numFmt w:val="bullet"/>
      <w:lvlText w:val=""/>
      <w:lvlJc w:val="left"/>
      <w:pPr>
        <w:ind w:left="1800" w:hanging="360"/>
      </w:pPr>
      <w:rPr>
        <w:rFonts w:ascii="Wingdings" w:hAnsi="Wingdings" w:hint="default"/>
      </w:rPr>
    </w:lvl>
    <w:lvl w:ilvl="3" w:tplc="F0E07480" w:tentative="1">
      <w:start w:val="1"/>
      <w:numFmt w:val="bullet"/>
      <w:lvlText w:val=""/>
      <w:lvlJc w:val="left"/>
      <w:pPr>
        <w:ind w:left="2520" w:hanging="360"/>
      </w:pPr>
      <w:rPr>
        <w:rFonts w:ascii="Symbol" w:hAnsi="Symbol" w:hint="default"/>
      </w:rPr>
    </w:lvl>
    <w:lvl w:ilvl="4" w:tplc="D90AF072" w:tentative="1">
      <w:start w:val="1"/>
      <w:numFmt w:val="bullet"/>
      <w:lvlText w:val="o"/>
      <w:lvlJc w:val="left"/>
      <w:pPr>
        <w:ind w:left="3240" w:hanging="360"/>
      </w:pPr>
      <w:rPr>
        <w:rFonts w:ascii="Courier New" w:hAnsi="Courier New" w:cs="Courier New" w:hint="default"/>
      </w:rPr>
    </w:lvl>
    <w:lvl w:ilvl="5" w:tplc="C6763830" w:tentative="1">
      <w:start w:val="1"/>
      <w:numFmt w:val="bullet"/>
      <w:lvlText w:val=""/>
      <w:lvlJc w:val="left"/>
      <w:pPr>
        <w:ind w:left="3960" w:hanging="360"/>
      </w:pPr>
      <w:rPr>
        <w:rFonts w:ascii="Wingdings" w:hAnsi="Wingdings" w:hint="default"/>
      </w:rPr>
    </w:lvl>
    <w:lvl w:ilvl="6" w:tplc="01C08908" w:tentative="1">
      <w:start w:val="1"/>
      <w:numFmt w:val="bullet"/>
      <w:lvlText w:val=""/>
      <w:lvlJc w:val="left"/>
      <w:pPr>
        <w:ind w:left="4680" w:hanging="360"/>
      </w:pPr>
      <w:rPr>
        <w:rFonts w:ascii="Symbol" w:hAnsi="Symbol" w:hint="default"/>
      </w:rPr>
    </w:lvl>
    <w:lvl w:ilvl="7" w:tplc="6EBA6740" w:tentative="1">
      <w:start w:val="1"/>
      <w:numFmt w:val="bullet"/>
      <w:lvlText w:val="o"/>
      <w:lvlJc w:val="left"/>
      <w:pPr>
        <w:ind w:left="5400" w:hanging="360"/>
      </w:pPr>
      <w:rPr>
        <w:rFonts w:ascii="Courier New" w:hAnsi="Courier New" w:cs="Courier New" w:hint="default"/>
      </w:rPr>
    </w:lvl>
    <w:lvl w:ilvl="8" w:tplc="9E2C86F4"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D64A908A">
      <w:start w:val="1"/>
      <w:numFmt w:val="bullet"/>
      <w:lvlText w:val=""/>
      <w:lvlJc w:val="left"/>
      <w:pPr>
        <w:ind w:left="720" w:hanging="360"/>
      </w:pPr>
      <w:rPr>
        <w:rFonts w:ascii="Symbol" w:hAnsi="Symbol" w:hint="default"/>
      </w:rPr>
    </w:lvl>
    <w:lvl w:ilvl="1" w:tplc="5FA22FA4" w:tentative="1">
      <w:start w:val="1"/>
      <w:numFmt w:val="bullet"/>
      <w:lvlText w:val="o"/>
      <w:lvlJc w:val="left"/>
      <w:pPr>
        <w:ind w:left="1440" w:hanging="360"/>
      </w:pPr>
      <w:rPr>
        <w:rFonts w:ascii="Courier New" w:hAnsi="Courier New" w:cs="Courier New" w:hint="default"/>
      </w:rPr>
    </w:lvl>
    <w:lvl w:ilvl="2" w:tplc="0D7A6A6A" w:tentative="1">
      <w:start w:val="1"/>
      <w:numFmt w:val="bullet"/>
      <w:lvlText w:val=""/>
      <w:lvlJc w:val="left"/>
      <w:pPr>
        <w:ind w:left="2160" w:hanging="360"/>
      </w:pPr>
      <w:rPr>
        <w:rFonts w:ascii="Wingdings" w:hAnsi="Wingdings" w:hint="default"/>
      </w:rPr>
    </w:lvl>
    <w:lvl w:ilvl="3" w:tplc="CC64B1E4" w:tentative="1">
      <w:start w:val="1"/>
      <w:numFmt w:val="bullet"/>
      <w:lvlText w:val=""/>
      <w:lvlJc w:val="left"/>
      <w:pPr>
        <w:ind w:left="2880" w:hanging="360"/>
      </w:pPr>
      <w:rPr>
        <w:rFonts w:ascii="Symbol" w:hAnsi="Symbol" w:hint="default"/>
      </w:rPr>
    </w:lvl>
    <w:lvl w:ilvl="4" w:tplc="EDD82C6E" w:tentative="1">
      <w:start w:val="1"/>
      <w:numFmt w:val="bullet"/>
      <w:lvlText w:val="o"/>
      <w:lvlJc w:val="left"/>
      <w:pPr>
        <w:ind w:left="3600" w:hanging="360"/>
      </w:pPr>
      <w:rPr>
        <w:rFonts w:ascii="Courier New" w:hAnsi="Courier New" w:cs="Courier New" w:hint="default"/>
      </w:rPr>
    </w:lvl>
    <w:lvl w:ilvl="5" w:tplc="DF429D20" w:tentative="1">
      <w:start w:val="1"/>
      <w:numFmt w:val="bullet"/>
      <w:lvlText w:val=""/>
      <w:lvlJc w:val="left"/>
      <w:pPr>
        <w:ind w:left="4320" w:hanging="360"/>
      </w:pPr>
      <w:rPr>
        <w:rFonts w:ascii="Wingdings" w:hAnsi="Wingdings" w:hint="default"/>
      </w:rPr>
    </w:lvl>
    <w:lvl w:ilvl="6" w:tplc="622A780C" w:tentative="1">
      <w:start w:val="1"/>
      <w:numFmt w:val="bullet"/>
      <w:lvlText w:val=""/>
      <w:lvlJc w:val="left"/>
      <w:pPr>
        <w:ind w:left="5040" w:hanging="360"/>
      </w:pPr>
      <w:rPr>
        <w:rFonts w:ascii="Symbol" w:hAnsi="Symbol" w:hint="default"/>
      </w:rPr>
    </w:lvl>
    <w:lvl w:ilvl="7" w:tplc="CF40674A" w:tentative="1">
      <w:start w:val="1"/>
      <w:numFmt w:val="bullet"/>
      <w:lvlText w:val="o"/>
      <w:lvlJc w:val="left"/>
      <w:pPr>
        <w:ind w:left="5760" w:hanging="360"/>
      </w:pPr>
      <w:rPr>
        <w:rFonts w:ascii="Courier New" w:hAnsi="Courier New" w:cs="Courier New" w:hint="default"/>
      </w:rPr>
    </w:lvl>
    <w:lvl w:ilvl="8" w:tplc="04765D0C"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54A00850">
      <w:start w:val="1"/>
      <w:numFmt w:val="bullet"/>
      <w:lvlText w:val=""/>
      <w:lvlJc w:val="left"/>
      <w:pPr>
        <w:ind w:left="720" w:hanging="360"/>
      </w:pPr>
      <w:rPr>
        <w:rFonts w:ascii="Symbol" w:hAnsi="Symbol" w:hint="default"/>
      </w:rPr>
    </w:lvl>
    <w:lvl w:ilvl="1" w:tplc="3ADEE3F8" w:tentative="1">
      <w:start w:val="1"/>
      <w:numFmt w:val="bullet"/>
      <w:lvlText w:val="o"/>
      <w:lvlJc w:val="left"/>
      <w:pPr>
        <w:ind w:left="1440" w:hanging="360"/>
      </w:pPr>
      <w:rPr>
        <w:rFonts w:ascii="Courier New" w:hAnsi="Courier New" w:cs="Courier New" w:hint="default"/>
      </w:rPr>
    </w:lvl>
    <w:lvl w:ilvl="2" w:tplc="622E1C58" w:tentative="1">
      <w:start w:val="1"/>
      <w:numFmt w:val="bullet"/>
      <w:lvlText w:val=""/>
      <w:lvlJc w:val="left"/>
      <w:pPr>
        <w:ind w:left="2160" w:hanging="360"/>
      </w:pPr>
      <w:rPr>
        <w:rFonts w:ascii="Wingdings" w:hAnsi="Wingdings" w:hint="default"/>
      </w:rPr>
    </w:lvl>
    <w:lvl w:ilvl="3" w:tplc="D18A5AF2" w:tentative="1">
      <w:start w:val="1"/>
      <w:numFmt w:val="bullet"/>
      <w:lvlText w:val=""/>
      <w:lvlJc w:val="left"/>
      <w:pPr>
        <w:ind w:left="2880" w:hanging="360"/>
      </w:pPr>
      <w:rPr>
        <w:rFonts w:ascii="Symbol" w:hAnsi="Symbol" w:hint="default"/>
      </w:rPr>
    </w:lvl>
    <w:lvl w:ilvl="4" w:tplc="5E30BCB2" w:tentative="1">
      <w:start w:val="1"/>
      <w:numFmt w:val="bullet"/>
      <w:lvlText w:val="o"/>
      <w:lvlJc w:val="left"/>
      <w:pPr>
        <w:ind w:left="3600" w:hanging="360"/>
      </w:pPr>
      <w:rPr>
        <w:rFonts w:ascii="Courier New" w:hAnsi="Courier New" w:cs="Courier New" w:hint="default"/>
      </w:rPr>
    </w:lvl>
    <w:lvl w:ilvl="5" w:tplc="8202ED58" w:tentative="1">
      <w:start w:val="1"/>
      <w:numFmt w:val="bullet"/>
      <w:lvlText w:val=""/>
      <w:lvlJc w:val="left"/>
      <w:pPr>
        <w:ind w:left="4320" w:hanging="360"/>
      </w:pPr>
      <w:rPr>
        <w:rFonts w:ascii="Wingdings" w:hAnsi="Wingdings" w:hint="default"/>
      </w:rPr>
    </w:lvl>
    <w:lvl w:ilvl="6" w:tplc="FEE644B2" w:tentative="1">
      <w:start w:val="1"/>
      <w:numFmt w:val="bullet"/>
      <w:lvlText w:val=""/>
      <w:lvlJc w:val="left"/>
      <w:pPr>
        <w:ind w:left="5040" w:hanging="360"/>
      </w:pPr>
      <w:rPr>
        <w:rFonts w:ascii="Symbol" w:hAnsi="Symbol" w:hint="default"/>
      </w:rPr>
    </w:lvl>
    <w:lvl w:ilvl="7" w:tplc="B7B426FA" w:tentative="1">
      <w:start w:val="1"/>
      <w:numFmt w:val="bullet"/>
      <w:lvlText w:val="o"/>
      <w:lvlJc w:val="left"/>
      <w:pPr>
        <w:ind w:left="5760" w:hanging="360"/>
      </w:pPr>
      <w:rPr>
        <w:rFonts w:ascii="Courier New" w:hAnsi="Courier New" w:cs="Courier New" w:hint="default"/>
      </w:rPr>
    </w:lvl>
    <w:lvl w:ilvl="8" w:tplc="C8E0E09C"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27483D3A">
      <w:start w:val="1"/>
      <w:numFmt w:val="bullet"/>
      <w:lvlText w:val=""/>
      <w:lvlJc w:val="left"/>
      <w:pPr>
        <w:ind w:left="720" w:hanging="360"/>
      </w:pPr>
      <w:rPr>
        <w:rFonts w:ascii="Symbol" w:hAnsi="Symbol" w:hint="default"/>
      </w:rPr>
    </w:lvl>
    <w:lvl w:ilvl="1" w:tplc="681A3798" w:tentative="1">
      <w:start w:val="1"/>
      <w:numFmt w:val="bullet"/>
      <w:lvlText w:val="o"/>
      <w:lvlJc w:val="left"/>
      <w:pPr>
        <w:ind w:left="1440" w:hanging="360"/>
      </w:pPr>
      <w:rPr>
        <w:rFonts w:ascii="Courier New" w:hAnsi="Courier New" w:cs="Courier New" w:hint="default"/>
      </w:rPr>
    </w:lvl>
    <w:lvl w:ilvl="2" w:tplc="2034C420" w:tentative="1">
      <w:start w:val="1"/>
      <w:numFmt w:val="bullet"/>
      <w:lvlText w:val=""/>
      <w:lvlJc w:val="left"/>
      <w:pPr>
        <w:ind w:left="2160" w:hanging="360"/>
      </w:pPr>
      <w:rPr>
        <w:rFonts w:ascii="Wingdings" w:hAnsi="Wingdings" w:hint="default"/>
      </w:rPr>
    </w:lvl>
    <w:lvl w:ilvl="3" w:tplc="94F4F7A6" w:tentative="1">
      <w:start w:val="1"/>
      <w:numFmt w:val="bullet"/>
      <w:lvlText w:val=""/>
      <w:lvlJc w:val="left"/>
      <w:pPr>
        <w:ind w:left="2880" w:hanging="360"/>
      </w:pPr>
      <w:rPr>
        <w:rFonts w:ascii="Symbol" w:hAnsi="Symbol" w:hint="default"/>
      </w:rPr>
    </w:lvl>
    <w:lvl w:ilvl="4" w:tplc="3B5A3D04" w:tentative="1">
      <w:start w:val="1"/>
      <w:numFmt w:val="bullet"/>
      <w:lvlText w:val="o"/>
      <w:lvlJc w:val="left"/>
      <w:pPr>
        <w:ind w:left="3600" w:hanging="360"/>
      </w:pPr>
      <w:rPr>
        <w:rFonts w:ascii="Courier New" w:hAnsi="Courier New" w:cs="Courier New" w:hint="default"/>
      </w:rPr>
    </w:lvl>
    <w:lvl w:ilvl="5" w:tplc="3DE02516" w:tentative="1">
      <w:start w:val="1"/>
      <w:numFmt w:val="bullet"/>
      <w:lvlText w:val=""/>
      <w:lvlJc w:val="left"/>
      <w:pPr>
        <w:ind w:left="4320" w:hanging="360"/>
      </w:pPr>
      <w:rPr>
        <w:rFonts w:ascii="Wingdings" w:hAnsi="Wingdings" w:hint="default"/>
      </w:rPr>
    </w:lvl>
    <w:lvl w:ilvl="6" w:tplc="09F20B72" w:tentative="1">
      <w:start w:val="1"/>
      <w:numFmt w:val="bullet"/>
      <w:lvlText w:val=""/>
      <w:lvlJc w:val="left"/>
      <w:pPr>
        <w:ind w:left="5040" w:hanging="360"/>
      </w:pPr>
      <w:rPr>
        <w:rFonts w:ascii="Symbol" w:hAnsi="Symbol" w:hint="default"/>
      </w:rPr>
    </w:lvl>
    <w:lvl w:ilvl="7" w:tplc="82AEF190" w:tentative="1">
      <w:start w:val="1"/>
      <w:numFmt w:val="bullet"/>
      <w:lvlText w:val="o"/>
      <w:lvlJc w:val="left"/>
      <w:pPr>
        <w:ind w:left="5760" w:hanging="360"/>
      </w:pPr>
      <w:rPr>
        <w:rFonts w:ascii="Courier New" w:hAnsi="Courier New" w:cs="Courier New" w:hint="default"/>
      </w:rPr>
    </w:lvl>
    <w:lvl w:ilvl="8" w:tplc="AA10980A"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5B46F2A0">
      <w:start w:val="1"/>
      <w:numFmt w:val="bullet"/>
      <w:lvlText w:val=""/>
      <w:lvlJc w:val="left"/>
      <w:pPr>
        <w:ind w:left="720" w:hanging="360"/>
      </w:pPr>
      <w:rPr>
        <w:rFonts w:ascii="Symbol" w:hAnsi="Symbol" w:hint="default"/>
      </w:rPr>
    </w:lvl>
    <w:lvl w:ilvl="1" w:tplc="93883A7C" w:tentative="1">
      <w:start w:val="1"/>
      <w:numFmt w:val="bullet"/>
      <w:lvlText w:val="o"/>
      <w:lvlJc w:val="left"/>
      <w:pPr>
        <w:ind w:left="1440" w:hanging="360"/>
      </w:pPr>
      <w:rPr>
        <w:rFonts w:ascii="Courier New" w:hAnsi="Courier New" w:cs="Courier New" w:hint="default"/>
      </w:rPr>
    </w:lvl>
    <w:lvl w:ilvl="2" w:tplc="28B02D30" w:tentative="1">
      <w:start w:val="1"/>
      <w:numFmt w:val="bullet"/>
      <w:lvlText w:val=""/>
      <w:lvlJc w:val="left"/>
      <w:pPr>
        <w:ind w:left="2160" w:hanging="360"/>
      </w:pPr>
      <w:rPr>
        <w:rFonts w:ascii="Wingdings" w:hAnsi="Wingdings" w:hint="default"/>
      </w:rPr>
    </w:lvl>
    <w:lvl w:ilvl="3" w:tplc="0D20EF46" w:tentative="1">
      <w:start w:val="1"/>
      <w:numFmt w:val="bullet"/>
      <w:lvlText w:val=""/>
      <w:lvlJc w:val="left"/>
      <w:pPr>
        <w:ind w:left="2880" w:hanging="360"/>
      </w:pPr>
      <w:rPr>
        <w:rFonts w:ascii="Symbol" w:hAnsi="Symbol" w:hint="default"/>
      </w:rPr>
    </w:lvl>
    <w:lvl w:ilvl="4" w:tplc="0318E710" w:tentative="1">
      <w:start w:val="1"/>
      <w:numFmt w:val="bullet"/>
      <w:lvlText w:val="o"/>
      <w:lvlJc w:val="left"/>
      <w:pPr>
        <w:ind w:left="3600" w:hanging="360"/>
      </w:pPr>
      <w:rPr>
        <w:rFonts w:ascii="Courier New" w:hAnsi="Courier New" w:cs="Courier New" w:hint="default"/>
      </w:rPr>
    </w:lvl>
    <w:lvl w:ilvl="5" w:tplc="E23EF0EE" w:tentative="1">
      <w:start w:val="1"/>
      <w:numFmt w:val="bullet"/>
      <w:lvlText w:val=""/>
      <w:lvlJc w:val="left"/>
      <w:pPr>
        <w:ind w:left="4320" w:hanging="360"/>
      </w:pPr>
      <w:rPr>
        <w:rFonts w:ascii="Wingdings" w:hAnsi="Wingdings" w:hint="default"/>
      </w:rPr>
    </w:lvl>
    <w:lvl w:ilvl="6" w:tplc="80465C2E" w:tentative="1">
      <w:start w:val="1"/>
      <w:numFmt w:val="bullet"/>
      <w:lvlText w:val=""/>
      <w:lvlJc w:val="left"/>
      <w:pPr>
        <w:ind w:left="5040" w:hanging="360"/>
      </w:pPr>
      <w:rPr>
        <w:rFonts w:ascii="Symbol" w:hAnsi="Symbol" w:hint="default"/>
      </w:rPr>
    </w:lvl>
    <w:lvl w:ilvl="7" w:tplc="BBDEE1DA" w:tentative="1">
      <w:start w:val="1"/>
      <w:numFmt w:val="bullet"/>
      <w:lvlText w:val="o"/>
      <w:lvlJc w:val="left"/>
      <w:pPr>
        <w:ind w:left="5760" w:hanging="360"/>
      </w:pPr>
      <w:rPr>
        <w:rFonts w:ascii="Courier New" w:hAnsi="Courier New" w:cs="Courier New" w:hint="default"/>
      </w:rPr>
    </w:lvl>
    <w:lvl w:ilvl="8" w:tplc="28862198"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A8069776">
      <w:start w:val="1"/>
      <w:numFmt w:val="bullet"/>
      <w:pStyle w:val="DoubleIndentedBullet"/>
      <w:lvlText w:val=""/>
      <w:lvlJc w:val="left"/>
      <w:pPr>
        <w:ind w:left="1584" w:hanging="360"/>
      </w:pPr>
      <w:rPr>
        <w:rFonts w:ascii="Symbol" w:hAnsi="Symbol" w:hint="default"/>
      </w:rPr>
    </w:lvl>
    <w:lvl w:ilvl="1" w:tplc="140A1654" w:tentative="1">
      <w:start w:val="1"/>
      <w:numFmt w:val="bullet"/>
      <w:lvlText w:val="o"/>
      <w:lvlJc w:val="left"/>
      <w:pPr>
        <w:ind w:left="2304" w:hanging="360"/>
      </w:pPr>
      <w:rPr>
        <w:rFonts w:ascii="Courier New" w:hAnsi="Courier New" w:hint="default"/>
      </w:rPr>
    </w:lvl>
    <w:lvl w:ilvl="2" w:tplc="D6D06834" w:tentative="1">
      <w:start w:val="1"/>
      <w:numFmt w:val="bullet"/>
      <w:lvlText w:val=""/>
      <w:lvlJc w:val="left"/>
      <w:pPr>
        <w:ind w:left="3024" w:hanging="360"/>
      </w:pPr>
      <w:rPr>
        <w:rFonts w:ascii="Wingdings" w:hAnsi="Wingdings" w:hint="default"/>
      </w:rPr>
    </w:lvl>
    <w:lvl w:ilvl="3" w:tplc="1BA4B664" w:tentative="1">
      <w:start w:val="1"/>
      <w:numFmt w:val="bullet"/>
      <w:lvlText w:val=""/>
      <w:lvlJc w:val="left"/>
      <w:pPr>
        <w:ind w:left="3744" w:hanging="360"/>
      </w:pPr>
      <w:rPr>
        <w:rFonts w:ascii="Symbol" w:hAnsi="Symbol" w:hint="default"/>
      </w:rPr>
    </w:lvl>
    <w:lvl w:ilvl="4" w:tplc="CE3C78F2" w:tentative="1">
      <w:start w:val="1"/>
      <w:numFmt w:val="bullet"/>
      <w:lvlText w:val="o"/>
      <w:lvlJc w:val="left"/>
      <w:pPr>
        <w:ind w:left="4464" w:hanging="360"/>
      </w:pPr>
      <w:rPr>
        <w:rFonts w:ascii="Courier New" w:hAnsi="Courier New" w:hint="default"/>
      </w:rPr>
    </w:lvl>
    <w:lvl w:ilvl="5" w:tplc="6B2CE19C" w:tentative="1">
      <w:start w:val="1"/>
      <w:numFmt w:val="bullet"/>
      <w:lvlText w:val=""/>
      <w:lvlJc w:val="left"/>
      <w:pPr>
        <w:ind w:left="5184" w:hanging="360"/>
      </w:pPr>
      <w:rPr>
        <w:rFonts w:ascii="Wingdings" w:hAnsi="Wingdings" w:hint="default"/>
      </w:rPr>
    </w:lvl>
    <w:lvl w:ilvl="6" w:tplc="E36EA6D8" w:tentative="1">
      <w:start w:val="1"/>
      <w:numFmt w:val="bullet"/>
      <w:lvlText w:val=""/>
      <w:lvlJc w:val="left"/>
      <w:pPr>
        <w:ind w:left="5904" w:hanging="360"/>
      </w:pPr>
      <w:rPr>
        <w:rFonts w:ascii="Symbol" w:hAnsi="Symbol" w:hint="default"/>
      </w:rPr>
    </w:lvl>
    <w:lvl w:ilvl="7" w:tplc="5068F816" w:tentative="1">
      <w:start w:val="1"/>
      <w:numFmt w:val="bullet"/>
      <w:lvlText w:val="o"/>
      <w:lvlJc w:val="left"/>
      <w:pPr>
        <w:ind w:left="6624" w:hanging="360"/>
      </w:pPr>
      <w:rPr>
        <w:rFonts w:ascii="Courier New" w:hAnsi="Courier New" w:hint="default"/>
      </w:rPr>
    </w:lvl>
    <w:lvl w:ilvl="8" w:tplc="0A1E6090"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678AACD2">
      <w:start w:val="1"/>
      <w:numFmt w:val="bullet"/>
      <w:lvlText w:val=""/>
      <w:lvlJc w:val="left"/>
      <w:pPr>
        <w:ind w:left="720" w:hanging="360"/>
      </w:pPr>
      <w:rPr>
        <w:rFonts w:ascii="Symbol" w:hAnsi="Symbol" w:hint="default"/>
      </w:rPr>
    </w:lvl>
    <w:lvl w:ilvl="1" w:tplc="895AED10" w:tentative="1">
      <w:start w:val="1"/>
      <w:numFmt w:val="bullet"/>
      <w:lvlText w:val="o"/>
      <w:lvlJc w:val="left"/>
      <w:pPr>
        <w:ind w:left="1440" w:hanging="360"/>
      </w:pPr>
      <w:rPr>
        <w:rFonts w:ascii="Courier New" w:hAnsi="Courier New" w:cs="Courier New" w:hint="default"/>
      </w:rPr>
    </w:lvl>
    <w:lvl w:ilvl="2" w:tplc="44E4496C" w:tentative="1">
      <w:start w:val="1"/>
      <w:numFmt w:val="bullet"/>
      <w:lvlText w:val=""/>
      <w:lvlJc w:val="left"/>
      <w:pPr>
        <w:ind w:left="2160" w:hanging="360"/>
      </w:pPr>
      <w:rPr>
        <w:rFonts w:ascii="Wingdings" w:hAnsi="Wingdings" w:hint="default"/>
      </w:rPr>
    </w:lvl>
    <w:lvl w:ilvl="3" w:tplc="459E224A" w:tentative="1">
      <w:start w:val="1"/>
      <w:numFmt w:val="bullet"/>
      <w:lvlText w:val=""/>
      <w:lvlJc w:val="left"/>
      <w:pPr>
        <w:ind w:left="2880" w:hanging="360"/>
      </w:pPr>
      <w:rPr>
        <w:rFonts w:ascii="Symbol" w:hAnsi="Symbol" w:hint="default"/>
      </w:rPr>
    </w:lvl>
    <w:lvl w:ilvl="4" w:tplc="DB084EF6" w:tentative="1">
      <w:start w:val="1"/>
      <w:numFmt w:val="bullet"/>
      <w:lvlText w:val="o"/>
      <w:lvlJc w:val="left"/>
      <w:pPr>
        <w:ind w:left="3600" w:hanging="360"/>
      </w:pPr>
      <w:rPr>
        <w:rFonts w:ascii="Courier New" w:hAnsi="Courier New" w:cs="Courier New" w:hint="default"/>
      </w:rPr>
    </w:lvl>
    <w:lvl w:ilvl="5" w:tplc="8C10C52A" w:tentative="1">
      <w:start w:val="1"/>
      <w:numFmt w:val="bullet"/>
      <w:lvlText w:val=""/>
      <w:lvlJc w:val="left"/>
      <w:pPr>
        <w:ind w:left="4320" w:hanging="360"/>
      </w:pPr>
      <w:rPr>
        <w:rFonts w:ascii="Wingdings" w:hAnsi="Wingdings" w:hint="default"/>
      </w:rPr>
    </w:lvl>
    <w:lvl w:ilvl="6" w:tplc="6BF28592" w:tentative="1">
      <w:start w:val="1"/>
      <w:numFmt w:val="bullet"/>
      <w:lvlText w:val=""/>
      <w:lvlJc w:val="left"/>
      <w:pPr>
        <w:ind w:left="5040" w:hanging="360"/>
      </w:pPr>
      <w:rPr>
        <w:rFonts w:ascii="Symbol" w:hAnsi="Symbol" w:hint="default"/>
      </w:rPr>
    </w:lvl>
    <w:lvl w:ilvl="7" w:tplc="D1681A32" w:tentative="1">
      <w:start w:val="1"/>
      <w:numFmt w:val="bullet"/>
      <w:lvlText w:val="o"/>
      <w:lvlJc w:val="left"/>
      <w:pPr>
        <w:ind w:left="5760" w:hanging="360"/>
      </w:pPr>
      <w:rPr>
        <w:rFonts w:ascii="Courier New" w:hAnsi="Courier New" w:cs="Courier New" w:hint="default"/>
      </w:rPr>
    </w:lvl>
    <w:lvl w:ilvl="8" w:tplc="6874C03A"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BB985626">
      <w:start w:val="1"/>
      <w:numFmt w:val="bullet"/>
      <w:lvlText w:val=""/>
      <w:lvlJc w:val="left"/>
      <w:pPr>
        <w:ind w:left="720" w:hanging="360"/>
      </w:pPr>
      <w:rPr>
        <w:rFonts w:ascii="Symbol" w:hAnsi="Symbol" w:hint="default"/>
      </w:rPr>
    </w:lvl>
    <w:lvl w:ilvl="1" w:tplc="8490108E" w:tentative="1">
      <w:start w:val="1"/>
      <w:numFmt w:val="bullet"/>
      <w:lvlText w:val="o"/>
      <w:lvlJc w:val="left"/>
      <w:pPr>
        <w:ind w:left="1440" w:hanging="360"/>
      </w:pPr>
      <w:rPr>
        <w:rFonts w:ascii="Courier New" w:hAnsi="Courier New" w:cs="Courier New" w:hint="default"/>
      </w:rPr>
    </w:lvl>
    <w:lvl w:ilvl="2" w:tplc="7292B468" w:tentative="1">
      <w:start w:val="1"/>
      <w:numFmt w:val="bullet"/>
      <w:lvlText w:val=""/>
      <w:lvlJc w:val="left"/>
      <w:pPr>
        <w:ind w:left="2160" w:hanging="360"/>
      </w:pPr>
      <w:rPr>
        <w:rFonts w:ascii="Wingdings" w:hAnsi="Wingdings" w:hint="default"/>
      </w:rPr>
    </w:lvl>
    <w:lvl w:ilvl="3" w:tplc="AF46BAD0" w:tentative="1">
      <w:start w:val="1"/>
      <w:numFmt w:val="bullet"/>
      <w:lvlText w:val=""/>
      <w:lvlJc w:val="left"/>
      <w:pPr>
        <w:ind w:left="2880" w:hanging="360"/>
      </w:pPr>
      <w:rPr>
        <w:rFonts w:ascii="Symbol" w:hAnsi="Symbol" w:hint="default"/>
      </w:rPr>
    </w:lvl>
    <w:lvl w:ilvl="4" w:tplc="56CEAC90" w:tentative="1">
      <w:start w:val="1"/>
      <w:numFmt w:val="bullet"/>
      <w:lvlText w:val="o"/>
      <w:lvlJc w:val="left"/>
      <w:pPr>
        <w:ind w:left="3600" w:hanging="360"/>
      </w:pPr>
      <w:rPr>
        <w:rFonts w:ascii="Courier New" w:hAnsi="Courier New" w:cs="Courier New" w:hint="default"/>
      </w:rPr>
    </w:lvl>
    <w:lvl w:ilvl="5" w:tplc="86F01822" w:tentative="1">
      <w:start w:val="1"/>
      <w:numFmt w:val="bullet"/>
      <w:lvlText w:val=""/>
      <w:lvlJc w:val="left"/>
      <w:pPr>
        <w:ind w:left="4320" w:hanging="360"/>
      </w:pPr>
      <w:rPr>
        <w:rFonts w:ascii="Wingdings" w:hAnsi="Wingdings" w:hint="default"/>
      </w:rPr>
    </w:lvl>
    <w:lvl w:ilvl="6" w:tplc="0FF45468" w:tentative="1">
      <w:start w:val="1"/>
      <w:numFmt w:val="bullet"/>
      <w:lvlText w:val=""/>
      <w:lvlJc w:val="left"/>
      <w:pPr>
        <w:ind w:left="5040" w:hanging="360"/>
      </w:pPr>
      <w:rPr>
        <w:rFonts w:ascii="Symbol" w:hAnsi="Symbol" w:hint="default"/>
      </w:rPr>
    </w:lvl>
    <w:lvl w:ilvl="7" w:tplc="8F60E152" w:tentative="1">
      <w:start w:val="1"/>
      <w:numFmt w:val="bullet"/>
      <w:lvlText w:val="o"/>
      <w:lvlJc w:val="left"/>
      <w:pPr>
        <w:ind w:left="5760" w:hanging="360"/>
      </w:pPr>
      <w:rPr>
        <w:rFonts w:ascii="Courier New" w:hAnsi="Courier New" w:cs="Courier New" w:hint="default"/>
      </w:rPr>
    </w:lvl>
    <w:lvl w:ilvl="8" w:tplc="823EF672"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D8E68CF8">
      <w:start w:val="1"/>
      <w:numFmt w:val="bullet"/>
      <w:lvlText w:val=""/>
      <w:lvlJc w:val="left"/>
      <w:pPr>
        <w:ind w:left="720" w:hanging="360"/>
      </w:pPr>
      <w:rPr>
        <w:rFonts w:ascii="Symbol" w:hAnsi="Symbol" w:hint="default"/>
      </w:rPr>
    </w:lvl>
    <w:lvl w:ilvl="1" w:tplc="70D2A0EA">
      <w:start w:val="1"/>
      <w:numFmt w:val="bullet"/>
      <w:lvlText w:val="o"/>
      <w:lvlJc w:val="left"/>
      <w:pPr>
        <w:ind w:left="1440" w:hanging="360"/>
      </w:pPr>
      <w:rPr>
        <w:rFonts w:ascii="Courier New" w:hAnsi="Courier New" w:cs="Courier New" w:hint="default"/>
      </w:rPr>
    </w:lvl>
    <w:lvl w:ilvl="2" w:tplc="CBBEEAB2">
      <w:start w:val="1"/>
      <w:numFmt w:val="bullet"/>
      <w:lvlText w:val=""/>
      <w:lvlJc w:val="left"/>
      <w:pPr>
        <w:ind w:left="2160" w:hanging="360"/>
      </w:pPr>
      <w:rPr>
        <w:rFonts w:ascii="Wingdings" w:hAnsi="Wingdings" w:hint="default"/>
      </w:rPr>
    </w:lvl>
    <w:lvl w:ilvl="3" w:tplc="58FAE84C">
      <w:start w:val="1"/>
      <w:numFmt w:val="bullet"/>
      <w:lvlText w:val=""/>
      <w:lvlJc w:val="left"/>
      <w:pPr>
        <w:ind w:left="2880" w:hanging="360"/>
      </w:pPr>
      <w:rPr>
        <w:rFonts w:ascii="Symbol" w:hAnsi="Symbol" w:hint="default"/>
      </w:rPr>
    </w:lvl>
    <w:lvl w:ilvl="4" w:tplc="28129A8E">
      <w:start w:val="1"/>
      <w:numFmt w:val="bullet"/>
      <w:lvlText w:val="o"/>
      <w:lvlJc w:val="left"/>
      <w:pPr>
        <w:ind w:left="3600" w:hanging="360"/>
      </w:pPr>
      <w:rPr>
        <w:rFonts w:ascii="Courier New" w:hAnsi="Courier New" w:cs="Courier New" w:hint="default"/>
      </w:rPr>
    </w:lvl>
    <w:lvl w:ilvl="5" w:tplc="E15AC37E">
      <w:start w:val="1"/>
      <w:numFmt w:val="bullet"/>
      <w:lvlText w:val=""/>
      <w:lvlJc w:val="left"/>
      <w:pPr>
        <w:ind w:left="4320" w:hanging="360"/>
      </w:pPr>
      <w:rPr>
        <w:rFonts w:ascii="Wingdings" w:hAnsi="Wingdings" w:hint="default"/>
      </w:rPr>
    </w:lvl>
    <w:lvl w:ilvl="6" w:tplc="3006A40A">
      <w:start w:val="1"/>
      <w:numFmt w:val="bullet"/>
      <w:lvlText w:val=""/>
      <w:lvlJc w:val="left"/>
      <w:pPr>
        <w:ind w:left="5040" w:hanging="360"/>
      </w:pPr>
      <w:rPr>
        <w:rFonts w:ascii="Symbol" w:hAnsi="Symbol" w:hint="default"/>
      </w:rPr>
    </w:lvl>
    <w:lvl w:ilvl="7" w:tplc="A9E2F1E2">
      <w:start w:val="1"/>
      <w:numFmt w:val="bullet"/>
      <w:lvlText w:val="o"/>
      <w:lvlJc w:val="left"/>
      <w:pPr>
        <w:ind w:left="5760" w:hanging="360"/>
      </w:pPr>
      <w:rPr>
        <w:rFonts w:ascii="Courier New" w:hAnsi="Courier New" w:cs="Courier New" w:hint="default"/>
      </w:rPr>
    </w:lvl>
    <w:lvl w:ilvl="8" w:tplc="F390A5E2">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46885E94">
      <w:start w:val="1"/>
      <w:numFmt w:val="bullet"/>
      <w:lvlText w:val=""/>
      <w:lvlJc w:val="left"/>
      <w:pPr>
        <w:ind w:left="720" w:hanging="360"/>
      </w:pPr>
      <w:rPr>
        <w:rFonts w:ascii="Symbol" w:hAnsi="Symbol" w:hint="default"/>
      </w:rPr>
    </w:lvl>
    <w:lvl w:ilvl="1" w:tplc="E1DEA5E0">
      <w:start w:val="1"/>
      <w:numFmt w:val="bullet"/>
      <w:lvlText w:val="o"/>
      <w:lvlJc w:val="left"/>
      <w:pPr>
        <w:ind w:left="1440" w:hanging="360"/>
      </w:pPr>
      <w:rPr>
        <w:rFonts w:ascii="Courier New" w:hAnsi="Courier New" w:cs="Courier New" w:hint="default"/>
      </w:rPr>
    </w:lvl>
    <w:lvl w:ilvl="2" w:tplc="2D686FEA" w:tentative="1">
      <w:start w:val="1"/>
      <w:numFmt w:val="bullet"/>
      <w:lvlText w:val=""/>
      <w:lvlJc w:val="left"/>
      <w:pPr>
        <w:ind w:left="2160" w:hanging="360"/>
      </w:pPr>
      <w:rPr>
        <w:rFonts w:ascii="Wingdings" w:hAnsi="Wingdings" w:hint="default"/>
      </w:rPr>
    </w:lvl>
    <w:lvl w:ilvl="3" w:tplc="BCDCECDE" w:tentative="1">
      <w:start w:val="1"/>
      <w:numFmt w:val="bullet"/>
      <w:lvlText w:val=""/>
      <w:lvlJc w:val="left"/>
      <w:pPr>
        <w:ind w:left="2880" w:hanging="360"/>
      </w:pPr>
      <w:rPr>
        <w:rFonts w:ascii="Symbol" w:hAnsi="Symbol" w:hint="default"/>
      </w:rPr>
    </w:lvl>
    <w:lvl w:ilvl="4" w:tplc="87786630" w:tentative="1">
      <w:start w:val="1"/>
      <w:numFmt w:val="bullet"/>
      <w:lvlText w:val="o"/>
      <w:lvlJc w:val="left"/>
      <w:pPr>
        <w:ind w:left="3600" w:hanging="360"/>
      </w:pPr>
      <w:rPr>
        <w:rFonts w:ascii="Courier New" w:hAnsi="Courier New" w:cs="Courier New" w:hint="default"/>
      </w:rPr>
    </w:lvl>
    <w:lvl w:ilvl="5" w:tplc="AAF0478C" w:tentative="1">
      <w:start w:val="1"/>
      <w:numFmt w:val="bullet"/>
      <w:lvlText w:val=""/>
      <w:lvlJc w:val="left"/>
      <w:pPr>
        <w:ind w:left="4320" w:hanging="360"/>
      </w:pPr>
      <w:rPr>
        <w:rFonts w:ascii="Wingdings" w:hAnsi="Wingdings" w:hint="default"/>
      </w:rPr>
    </w:lvl>
    <w:lvl w:ilvl="6" w:tplc="28080834" w:tentative="1">
      <w:start w:val="1"/>
      <w:numFmt w:val="bullet"/>
      <w:lvlText w:val=""/>
      <w:lvlJc w:val="left"/>
      <w:pPr>
        <w:ind w:left="5040" w:hanging="360"/>
      </w:pPr>
      <w:rPr>
        <w:rFonts w:ascii="Symbol" w:hAnsi="Symbol" w:hint="default"/>
      </w:rPr>
    </w:lvl>
    <w:lvl w:ilvl="7" w:tplc="190C6824" w:tentative="1">
      <w:start w:val="1"/>
      <w:numFmt w:val="bullet"/>
      <w:lvlText w:val="o"/>
      <w:lvlJc w:val="left"/>
      <w:pPr>
        <w:ind w:left="5760" w:hanging="360"/>
      </w:pPr>
      <w:rPr>
        <w:rFonts w:ascii="Courier New" w:hAnsi="Courier New" w:cs="Courier New" w:hint="default"/>
      </w:rPr>
    </w:lvl>
    <w:lvl w:ilvl="8" w:tplc="A284519A"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BE8CA96A">
      <w:start w:val="1"/>
      <w:numFmt w:val="bullet"/>
      <w:lvlText w:val=""/>
      <w:lvlJc w:val="left"/>
      <w:pPr>
        <w:ind w:left="720" w:hanging="360"/>
      </w:pPr>
      <w:rPr>
        <w:rFonts w:ascii="Symbol" w:hAnsi="Symbol" w:hint="default"/>
      </w:rPr>
    </w:lvl>
    <w:lvl w:ilvl="1" w:tplc="D34458F4">
      <w:start w:val="1"/>
      <w:numFmt w:val="bullet"/>
      <w:lvlText w:val="o"/>
      <w:lvlJc w:val="left"/>
      <w:pPr>
        <w:ind w:left="1440" w:hanging="360"/>
      </w:pPr>
      <w:rPr>
        <w:rFonts w:ascii="Courier New" w:hAnsi="Courier New" w:cs="Courier New" w:hint="default"/>
      </w:rPr>
    </w:lvl>
    <w:lvl w:ilvl="2" w:tplc="DA547318" w:tentative="1">
      <w:start w:val="1"/>
      <w:numFmt w:val="bullet"/>
      <w:lvlText w:val=""/>
      <w:lvlJc w:val="left"/>
      <w:pPr>
        <w:ind w:left="2160" w:hanging="360"/>
      </w:pPr>
      <w:rPr>
        <w:rFonts w:ascii="Wingdings" w:hAnsi="Wingdings" w:hint="default"/>
      </w:rPr>
    </w:lvl>
    <w:lvl w:ilvl="3" w:tplc="BC6AD824" w:tentative="1">
      <w:start w:val="1"/>
      <w:numFmt w:val="bullet"/>
      <w:lvlText w:val=""/>
      <w:lvlJc w:val="left"/>
      <w:pPr>
        <w:ind w:left="2880" w:hanging="360"/>
      </w:pPr>
      <w:rPr>
        <w:rFonts w:ascii="Symbol" w:hAnsi="Symbol" w:hint="default"/>
      </w:rPr>
    </w:lvl>
    <w:lvl w:ilvl="4" w:tplc="6756C3B4" w:tentative="1">
      <w:start w:val="1"/>
      <w:numFmt w:val="bullet"/>
      <w:lvlText w:val="o"/>
      <w:lvlJc w:val="left"/>
      <w:pPr>
        <w:ind w:left="3600" w:hanging="360"/>
      </w:pPr>
      <w:rPr>
        <w:rFonts w:ascii="Courier New" w:hAnsi="Courier New" w:cs="Courier New" w:hint="default"/>
      </w:rPr>
    </w:lvl>
    <w:lvl w:ilvl="5" w:tplc="5474589E" w:tentative="1">
      <w:start w:val="1"/>
      <w:numFmt w:val="bullet"/>
      <w:lvlText w:val=""/>
      <w:lvlJc w:val="left"/>
      <w:pPr>
        <w:ind w:left="4320" w:hanging="360"/>
      </w:pPr>
      <w:rPr>
        <w:rFonts w:ascii="Wingdings" w:hAnsi="Wingdings" w:hint="default"/>
      </w:rPr>
    </w:lvl>
    <w:lvl w:ilvl="6" w:tplc="2242C308" w:tentative="1">
      <w:start w:val="1"/>
      <w:numFmt w:val="bullet"/>
      <w:lvlText w:val=""/>
      <w:lvlJc w:val="left"/>
      <w:pPr>
        <w:ind w:left="5040" w:hanging="360"/>
      </w:pPr>
      <w:rPr>
        <w:rFonts w:ascii="Symbol" w:hAnsi="Symbol" w:hint="default"/>
      </w:rPr>
    </w:lvl>
    <w:lvl w:ilvl="7" w:tplc="BC72F01A" w:tentative="1">
      <w:start w:val="1"/>
      <w:numFmt w:val="bullet"/>
      <w:lvlText w:val="o"/>
      <w:lvlJc w:val="left"/>
      <w:pPr>
        <w:ind w:left="5760" w:hanging="360"/>
      </w:pPr>
      <w:rPr>
        <w:rFonts w:ascii="Courier New" w:hAnsi="Courier New" w:cs="Courier New" w:hint="default"/>
      </w:rPr>
    </w:lvl>
    <w:lvl w:ilvl="8" w:tplc="D8D28FCA"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9CF54EA"/>
    <w:multiLevelType w:val="multilevel"/>
    <w:tmpl w:val="79CF54E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9CF54EB"/>
    <w:multiLevelType w:val="multilevel"/>
    <w:tmpl w:val="79CF54E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9CF54EC"/>
    <w:multiLevelType w:val="multilevel"/>
    <w:tmpl w:val="79CF54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9CF54ED"/>
    <w:multiLevelType w:val="multilevel"/>
    <w:tmpl w:val="79CF54E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9CF54EE"/>
    <w:multiLevelType w:val="multilevel"/>
    <w:tmpl w:val="79CF54EE"/>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EF"/>
    <w:multiLevelType w:val="hybridMultilevel"/>
    <w:tmpl w:val="79CF54EF"/>
    <w:lvl w:ilvl="0" w:tplc="22347620">
      <w:start w:val="1"/>
      <w:numFmt w:val="bullet"/>
      <w:lvlText w:val=""/>
      <w:lvlJc w:val="left"/>
      <w:pPr>
        <w:ind w:left="720" w:hanging="360"/>
      </w:pPr>
      <w:rPr>
        <w:rFonts w:ascii="Symbol" w:hAnsi="Symbol"/>
      </w:rPr>
    </w:lvl>
    <w:lvl w:ilvl="1" w:tplc="20D25944">
      <w:start w:val="1"/>
      <w:numFmt w:val="bullet"/>
      <w:lvlText w:val="o"/>
      <w:lvlJc w:val="left"/>
      <w:pPr>
        <w:tabs>
          <w:tab w:val="num" w:pos="1440"/>
        </w:tabs>
        <w:ind w:left="1440" w:hanging="360"/>
      </w:pPr>
      <w:rPr>
        <w:rFonts w:ascii="Courier New" w:hAnsi="Courier New"/>
      </w:rPr>
    </w:lvl>
    <w:lvl w:ilvl="2" w:tplc="FEF0F142">
      <w:start w:val="1"/>
      <w:numFmt w:val="bullet"/>
      <w:lvlText w:val=""/>
      <w:lvlJc w:val="left"/>
      <w:pPr>
        <w:tabs>
          <w:tab w:val="num" w:pos="2160"/>
        </w:tabs>
        <w:ind w:left="2160" w:hanging="360"/>
      </w:pPr>
      <w:rPr>
        <w:rFonts w:ascii="Wingdings" w:hAnsi="Wingdings"/>
      </w:rPr>
    </w:lvl>
    <w:lvl w:ilvl="3" w:tplc="1E16AA3C">
      <w:start w:val="1"/>
      <w:numFmt w:val="bullet"/>
      <w:lvlText w:val=""/>
      <w:lvlJc w:val="left"/>
      <w:pPr>
        <w:tabs>
          <w:tab w:val="num" w:pos="2880"/>
        </w:tabs>
        <w:ind w:left="2880" w:hanging="360"/>
      </w:pPr>
      <w:rPr>
        <w:rFonts w:ascii="Symbol" w:hAnsi="Symbol"/>
      </w:rPr>
    </w:lvl>
    <w:lvl w:ilvl="4" w:tplc="4592783E">
      <w:start w:val="1"/>
      <w:numFmt w:val="bullet"/>
      <w:lvlText w:val="o"/>
      <w:lvlJc w:val="left"/>
      <w:pPr>
        <w:tabs>
          <w:tab w:val="num" w:pos="3600"/>
        </w:tabs>
        <w:ind w:left="3600" w:hanging="360"/>
      </w:pPr>
      <w:rPr>
        <w:rFonts w:ascii="Courier New" w:hAnsi="Courier New"/>
      </w:rPr>
    </w:lvl>
    <w:lvl w:ilvl="5" w:tplc="776AA808">
      <w:start w:val="1"/>
      <w:numFmt w:val="bullet"/>
      <w:lvlText w:val=""/>
      <w:lvlJc w:val="left"/>
      <w:pPr>
        <w:tabs>
          <w:tab w:val="num" w:pos="4320"/>
        </w:tabs>
        <w:ind w:left="4320" w:hanging="360"/>
      </w:pPr>
      <w:rPr>
        <w:rFonts w:ascii="Wingdings" w:hAnsi="Wingdings"/>
      </w:rPr>
    </w:lvl>
    <w:lvl w:ilvl="6" w:tplc="C46E632A">
      <w:start w:val="1"/>
      <w:numFmt w:val="bullet"/>
      <w:lvlText w:val=""/>
      <w:lvlJc w:val="left"/>
      <w:pPr>
        <w:tabs>
          <w:tab w:val="num" w:pos="5040"/>
        </w:tabs>
        <w:ind w:left="5040" w:hanging="360"/>
      </w:pPr>
      <w:rPr>
        <w:rFonts w:ascii="Symbol" w:hAnsi="Symbol"/>
      </w:rPr>
    </w:lvl>
    <w:lvl w:ilvl="7" w:tplc="D7EAA356">
      <w:start w:val="1"/>
      <w:numFmt w:val="bullet"/>
      <w:lvlText w:val="o"/>
      <w:lvlJc w:val="left"/>
      <w:pPr>
        <w:tabs>
          <w:tab w:val="num" w:pos="5760"/>
        </w:tabs>
        <w:ind w:left="5760" w:hanging="360"/>
      </w:pPr>
      <w:rPr>
        <w:rFonts w:ascii="Courier New" w:hAnsi="Courier New"/>
      </w:rPr>
    </w:lvl>
    <w:lvl w:ilvl="8" w:tplc="9338632A">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3C584EF0">
      <w:start w:val="1"/>
      <w:numFmt w:val="bullet"/>
      <w:lvlText w:val=""/>
      <w:lvlJc w:val="left"/>
      <w:pPr>
        <w:ind w:left="720" w:hanging="360"/>
      </w:pPr>
      <w:rPr>
        <w:rFonts w:ascii="Symbol" w:hAnsi="Symbol"/>
      </w:rPr>
    </w:lvl>
    <w:lvl w:ilvl="1" w:tplc="BFB2B518">
      <w:start w:val="1"/>
      <w:numFmt w:val="bullet"/>
      <w:lvlText w:val="o"/>
      <w:lvlJc w:val="left"/>
      <w:pPr>
        <w:tabs>
          <w:tab w:val="num" w:pos="1440"/>
        </w:tabs>
        <w:ind w:left="1440" w:hanging="360"/>
      </w:pPr>
      <w:rPr>
        <w:rFonts w:ascii="Courier New" w:hAnsi="Courier New"/>
      </w:rPr>
    </w:lvl>
    <w:lvl w:ilvl="2" w:tplc="E340CEA4">
      <w:start w:val="1"/>
      <w:numFmt w:val="bullet"/>
      <w:lvlText w:val=""/>
      <w:lvlJc w:val="left"/>
      <w:pPr>
        <w:tabs>
          <w:tab w:val="num" w:pos="2160"/>
        </w:tabs>
        <w:ind w:left="2160" w:hanging="360"/>
      </w:pPr>
      <w:rPr>
        <w:rFonts w:ascii="Wingdings" w:hAnsi="Wingdings"/>
      </w:rPr>
    </w:lvl>
    <w:lvl w:ilvl="3" w:tplc="23DAE898">
      <w:start w:val="1"/>
      <w:numFmt w:val="bullet"/>
      <w:lvlText w:val=""/>
      <w:lvlJc w:val="left"/>
      <w:pPr>
        <w:tabs>
          <w:tab w:val="num" w:pos="2880"/>
        </w:tabs>
        <w:ind w:left="2880" w:hanging="360"/>
      </w:pPr>
      <w:rPr>
        <w:rFonts w:ascii="Symbol" w:hAnsi="Symbol"/>
      </w:rPr>
    </w:lvl>
    <w:lvl w:ilvl="4" w:tplc="9EE66F2A">
      <w:start w:val="1"/>
      <w:numFmt w:val="bullet"/>
      <w:lvlText w:val="o"/>
      <w:lvlJc w:val="left"/>
      <w:pPr>
        <w:tabs>
          <w:tab w:val="num" w:pos="3600"/>
        </w:tabs>
        <w:ind w:left="3600" w:hanging="360"/>
      </w:pPr>
      <w:rPr>
        <w:rFonts w:ascii="Courier New" w:hAnsi="Courier New"/>
      </w:rPr>
    </w:lvl>
    <w:lvl w:ilvl="5" w:tplc="1124FAFC">
      <w:start w:val="1"/>
      <w:numFmt w:val="bullet"/>
      <w:lvlText w:val=""/>
      <w:lvlJc w:val="left"/>
      <w:pPr>
        <w:tabs>
          <w:tab w:val="num" w:pos="4320"/>
        </w:tabs>
        <w:ind w:left="4320" w:hanging="360"/>
      </w:pPr>
      <w:rPr>
        <w:rFonts w:ascii="Wingdings" w:hAnsi="Wingdings"/>
      </w:rPr>
    </w:lvl>
    <w:lvl w:ilvl="6" w:tplc="59AC9FDC">
      <w:start w:val="1"/>
      <w:numFmt w:val="bullet"/>
      <w:lvlText w:val=""/>
      <w:lvlJc w:val="left"/>
      <w:pPr>
        <w:tabs>
          <w:tab w:val="num" w:pos="5040"/>
        </w:tabs>
        <w:ind w:left="5040" w:hanging="360"/>
      </w:pPr>
      <w:rPr>
        <w:rFonts w:ascii="Symbol" w:hAnsi="Symbol"/>
      </w:rPr>
    </w:lvl>
    <w:lvl w:ilvl="7" w:tplc="5936F11E">
      <w:start w:val="1"/>
      <w:numFmt w:val="bullet"/>
      <w:lvlText w:val="o"/>
      <w:lvlJc w:val="left"/>
      <w:pPr>
        <w:tabs>
          <w:tab w:val="num" w:pos="5760"/>
        </w:tabs>
        <w:ind w:left="5760" w:hanging="360"/>
      </w:pPr>
      <w:rPr>
        <w:rFonts w:ascii="Courier New" w:hAnsi="Courier New"/>
      </w:rPr>
    </w:lvl>
    <w:lvl w:ilvl="8" w:tplc="9670AAD8">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multilevel"/>
    <w:tmpl w:val="79CF54F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9CF54F2"/>
    <w:multiLevelType w:val="hybridMultilevel"/>
    <w:tmpl w:val="79CF54F2"/>
    <w:lvl w:ilvl="0" w:tplc="77EC1228">
      <w:start w:val="1"/>
      <w:numFmt w:val="bullet"/>
      <w:lvlText w:val=""/>
      <w:lvlJc w:val="left"/>
      <w:pPr>
        <w:ind w:left="720" w:hanging="360"/>
      </w:pPr>
      <w:rPr>
        <w:rFonts w:ascii="Symbol" w:hAnsi="Symbol"/>
      </w:rPr>
    </w:lvl>
    <w:lvl w:ilvl="1" w:tplc="FAE83DF2">
      <w:start w:val="1"/>
      <w:numFmt w:val="bullet"/>
      <w:lvlText w:val="o"/>
      <w:lvlJc w:val="left"/>
      <w:pPr>
        <w:tabs>
          <w:tab w:val="num" w:pos="1440"/>
        </w:tabs>
        <w:ind w:left="1440" w:hanging="360"/>
      </w:pPr>
      <w:rPr>
        <w:rFonts w:ascii="Courier New" w:hAnsi="Courier New"/>
      </w:rPr>
    </w:lvl>
    <w:lvl w:ilvl="2" w:tplc="B686B40A">
      <w:start w:val="1"/>
      <w:numFmt w:val="bullet"/>
      <w:lvlText w:val=""/>
      <w:lvlJc w:val="left"/>
      <w:pPr>
        <w:tabs>
          <w:tab w:val="num" w:pos="2160"/>
        </w:tabs>
        <w:ind w:left="2160" w:hanging="360"/>
      </w:pPr>
      <w:rPr>
        <w:rFonts w:ascii="Wingdings" w:hAnsi="Wingdings"/>
      </w:rPr>
    </w:lvl>
    <w:lvl w:ilvl="3" w:tplc="6EDA1574">
      <w:start w:val="1"/>
      <w:numFmt w:val="bullet"/>
      <w:lvlText w:val=""/>
      <w:lvlJc w:val="left"/>
      <w:pPr>
        <w:tabs>
          <w:tab w:val="num" w:pos="2880"/>
        </w:tabs>
        <w:ind w:left="2880" w:hanging="360"/>
      </w:pPr>
      <w:rPr>
        <w:rFonts w:ascii="Symbol" w:hAnsi="Symbol"/>
      </w:rPr>
    </w:lvl>
    <w:lvl w:ilvl="4" w:tplc="4C1647EA">
      <w:start w:val="1"/>
      <w:numFmt w:val="bullet"/>
      <w:lvlText w:val="o"/>
      <w:lvlJc w:val="left"/>
      <w:pPr>
        <w:tabs>
          <w:tab w:val="num" w:pos="3600"/>
        </w:tabs>
        <w:ind w:left="3600" w:hanging="360"/>
      </w:pPr>
      <w:rPr>
        <w:rFonts w:ascii="Courier New" w:hAnsi="Courier New"/>
      </w:rPr>
    </w:lvl>
    <w:lvl w:ilvl="5" w:tplc="644C1E82">
      <w:start w:val="1"/>
      <w:numFmt w:val="bullet"/>
      <w:lvlText w:val=""/>
      <w:lvlJc w:val="left"/>
      <w:pPr>
        <w:tabs>
          <w:tab w:val="num" w:pos="4320"/>
        </w:tabs>
        <w:ind w:left="4320" w:hanging="360"/>
      </w:pPr>
      <w:rPr>
        <w:rFonts w:ascii="Wingdings" w:hAnsi="Wingdings"/>
      </w:rPr>
    </w:lvl>
    <w:lvl w:ilvl="6" w:tplc="ADE83FCA">
      <w:start w:val="1"/>
      <w:numFmt w:val="bullet"/>
      <w:lvlText w:val=""/>
      <w:lvlJc w:val="left"/>
      <w:pPr>
        <w:tabs>
          <w:tab w:val="num" w:pos="5040"/>
        </w:tabs>
        <w:ind w:left="5040" w:hanging="360"/>
      </w:pPr>
      <w:rPr>
        <w:rFonts w:ascii="Symbol" w:hAnsi="Symbol"/>
      </w:rPr>
    </w:lvl>
    <w:lvl w:ilvl="7" w:tplc="AEDA8BD0">
      <w:start w:val="1"/>
      <w:numFmt w:val="bullet"/>
      <w:lvlText w:val="o"/>
      <w:lvlJc w:val="left"/>
      <w:pPr>
        <w:tabs>
          <w:tab w:val="num" w:pos="5760"/>
        </w:tabs>
        <w:ind w:left="5760" w:hanging="360"/>
      </w:pPr>
      <w:rPr>
        <w:rFonts w:ascii="Courier New" w:hAnsi="Courier New"/>
      </w:rPr>
    </w:lvl>
    <w:lvl w:ilvl="8" w:tplc="4E34A5F8">
      <w:start w:val="1"/>
      <w:numFmt w:val="bullet"/>
      <w:lvlText w:val=""/>
      <w:lvlJc w:val="left"/>
      <w:pPr>
        <w:tabs>
          <w:tab w:val="num" w:pos="6480"/>
        </w:tabs>
        <w:ind w:left="6480" w:hanging="360"/>
      </w:pPr>
      <w:rPr>
        <w:rFonts w:ascii="Wingdings" w:hAnsi="Wingdings"/>
      </w:rPr>
    </w:lvl>
  </w:abstractNum>
  <w:abstractNum w:abstractNumId="26" w15:restartNumberingAfterBreak="0">
    <w:nsid w:val="79CF54F3"/>
    <w:multiLevelType w:val="hybridMultilevel"/>
    <w:tmpl w:val="79CF54F3"/>
    <w:lvl w:ilvl="0" w:tplc="228CA1DA">
      <w:start w:val="1"/>
      <w:numFmt w:val="bullet"/>
      <w:lvlText w:val=""/>
      <w:lvlJc w:val="left"/>
      <w:pPr>
        <w:ind w:left="720" w:hanging="360"/>
      </w:pPr>
      <w:rPr>
        <w:rFonts w:ascii="Symbol" w:hAnsi="Symbol"/>
      </w:rPr>
    </w:lvl>
    <w:lvl w:ilvl="1" w:tplc="DA44E808">
      <w:start w:val="1"/>
      <w:numFmt w:val="bullet"/>
      <w:lvlText w:val="o"/>
      <w:lvlJc w:val="left"/>
      <w:pPr>
        <w:tabs>
          <w:tab w:val="num" w:pos="1440"/>
        </w:tabs>
        <w:ind w:left="1440" w:hanging="360"/>
      </w:pPr>
      <w:rPr>
        <w:rFonts w:ascii="Courier New" w:hAnsi="Courier New"/>
      </w:rPr>
    </w:lvl>
    <w:lvl w:ilvl="2" w:tplc="0FE6368A">
      <w:start w:val="1"/>
      <w:numFmt w:val="bullet"/>
      <w:lvlText w:val=""/>
      <w:lvlJc w:val="left"/>
      <w:pPr>
        <w:tabs>
          <w:tab w:val="num" w:pos="2160"/>
        </w:tabs>
        <w:ind w:left="2160" w:hanging="360"/>
      </w:pPr>
      <w:rPr>
        <w:rFonts w:ascii="Wingdings" w:hAnsi="Wingdings"/>
      </w:rPr>
    </w:lvl>
    <w:lvl w:ilvl="3" w:tplc="DCE277EE">
      <w:start w:val="1"/>
      <w:numFmt w:val="bullet"/>
      <w:lvlText w:val=""/>
      <w:lvlJc w:val="left"/>
      <w:pPr>
        <w:tabs>
          <w:tab w:val="num" w:pos="2880"/>
        </w:tabs>
        <w:ind w:left="2880" w:hanging="360"/>
      </w:pPr>
      <w:rPr>
        <w:rFonts w:ascii="Symbol" w:hAnsi="Symbol"/>
      </w:rPr>
    </w:lvl>
    <w:lvl w:ilvl="4" w:tplc="80E4170C">
      <w:start w:val="1"/>
      <w:numFmt w:val="bullet"/>
      <w:lvlText w:val="o"/>
      <w:lvlJc w:val="left"/>
      <w:pPr>
        <w:tabs>
          <w:tab w:val="num" w:pos="3600"/>
        </w:tabs>
        <w:ind w:left="3600" w:hanging="360"/>
      </w:pPr>
      <w:rPr>
        <w:rFonts w:ascii="Courier New" w:hAnsi="Courier New"/>
      </w:rPr>
    </w:lvl>
    <w:lvl w:ilvl="5" w:tplc="A91C3244">
      <w:start w:val="1"/>
      <w:numFmt w:val="bullet"/>
      <w:lvlText w:val=""/>
      <w:lvlJc w:val="left"/>
      <w:pPr>
        <w:tabs>
          <w:tab w:val="num" w:pos="4320"/>
        </w:tabs>
        <w:ind w:left="4320" w:hanging="360"/>
      </w:pPr>
      <w:rPr>
        <w:rFonts w:ascii="Wingdings" w:hAnsi="Wingdings"/>
      </w:rPr>
    </w:lvl>
    <w:lvl w:ilvl="6" w:tplc="DFB0E76C">
      <w:start w:val="1"/>
      <w:numFmt w:val="bullet"/>
      <w:lvlText w:val=""/>
      <w:lvlJc w:val="left"/>
      <w:pPr>
        <w:tabs>
          <w:tab w:val="num" w:pos="5040"/>
        </w:tabs>
        <w:ind w:left="5040" w:hanging="360"/>
      </w:pPr>
      <w:rPr>
        <w:rFonts w:ascii="Symbol" w:hAnsi="Symbol"/>
      </w:rPr>
    </w:lvl>
    <w:lvl w:ilvl="7" w:tplc="D4A6952C">
      <w:start w:val="1"/>
      <w:numFmt w:val="bullet"/>
      <w:lvlText w:val="o"/>
      <w:lvlJc w:val="left"/>
      <w:pPr>
        <w:tabs>
          <w:tab w:val="num" w:pos="5760"/>
        </w:tabs>
        <w:ind w:left="5760" w:hanging="360"/>
      </w:pPr>
      <w:rPr>
        <w:rFonts w:ascii="Courier New" w:hAnsi="Courier New"/>
      </w:rPr>
    </w:lvl>
    <w:lvl w:ilvl="8" w:tplc="5A1653F6">
      <w:start w:val="1"/>
      <w:numFmt w:val="bullet"/>
      <w:lvlText w:val=""/>
      <w:lvlJc w:val="left"/>
      <w:pPr>
        <w:tabs>
          <w:tab w:val="num" w:pos="6480"/>
        </w:tabs>
        <w:ind w:left="6480" w:hanging="360"/>
      </w:pPr>
      <w:rPr>
        <w:rFonts w:ascii="Wingdings" w:hAnsi="Wingdings"/>
      </w:rPr>
    </w:lvl>
  </w:abstractNum>
  <w:abstractNum w:abstractNumId="27" w15:restartNumberingAfterBreak="0">
    <w:nsid w:val="79CF54F4"/>
    <w:multiLevelType w:val="multilevel"/>
    <w:tmpl w:val="79CF54F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9CF54F5"/>
    <w:multiLevelType w:val="multilevel"/>
    <w:tmpl w:val="79CF54F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9CF54F6"/>
    <w:multiLevelType w:val="hybridMultilevel"/>
    <w:tmpl w:val="79CF54F6"/>
    <w:lvl w:ilvl="0" w:tplc="8674B668">
      <w:start w:val="1"/>
      <w:numFmt w:val="bullet"/>
      <w:lvlText w:val=""/>
      <w:lvlJc w:val="left"/>
      <w:pPr>
        <w:tabs>
          <w:tab w:val="num" w:pos="720"/>
        </w:tabs>
        <w:ind w:left="720" w:hanging="360"/>
      </w:pPr>
      <w:rPr>
        <w:rFonts w:ascii="Symbol" w:hAnsi="Symbol"/>
      </w:rPr>
    </w:lvl>
    <w:lvl w:ilvl="1" w:tplc="53A40CFE">
      <w:start w:val="1"/>
      <w:numFmt w:val="bullet"/>
      <w:lvlText w:val="o"/>
      <w:lvlJc w:val="left"/>
      <w:pPr>
        <w:tabs>
          <w:tab w:val="num" w:pos="1440"/>
        </w:tabs>
        <w:ind w:left="1440" w:hanging="360"/>
      </w:pPr>
      <w:rPr>
        <w:rFonts w:ascii="Courier New" w:hAnsi="Courier New"/>
      </w:rPr>
    </w:lvl>
    <w:lvl w:ilvl="2" w:tplc="A662A7F8">
      <w:start w:val="1"/>
      <w:numFmt w:val="bullet"/>
      <w:lvlText w:val=""/>
      <w:lvlJc w:val="left"/>
      <w:pPr>
        <w:ind w:left="2160" w:hanging="360"/>
      </w:pPr>
      <w:rPr>
        <w:rFonts w:ascii="Wingdings" w:hAnsi="Wingdings"/>
      </w:rPr>
    </w:lvl>
    <w:lvl w:ilvl="3" w:tplc="663C92A4">
      <w:start w:val="1"/>
      <w:numFmt w:val="bullet"/>
      <w:lvlText w:val=""/>
      <w:lvlJc w:val="left"/>
      <w:pPr>
        <w:tabs>
          <w:tab w:val="num" w:pos="2880"/>
        </w:tabs>
        <w:ind w:left="2880" w:hanging="360"/>
      </w:pPr>
      <w:rPr>
        <w:rFonts w:ascii="Symbol" w:hAnsi="Symbol"/>
      </w:rPr>
    </w:lvl>
    <w:lvl w:ilvl="4" w:tplc="2BC0E544">
      <w:start w:val="1"/>
      <w:numFmt w:val="bullet"/>
      <w:lvlText w:val="o"/>
      <w:lvlJc w:val="left"/>
      <w:pPr>
        <w:tabs>
          <w:tab w:val="num" w:pos="3600"/>
        </w:tabs>
        <w:ind w:left="3600" w:hanging="360"/>
      </w:pPr>
      <w:rPr>
        <w:rFonts w:ascii="Courier New" w:hAnsi="Courier New"/>
      </w:rPr>
    </w:lvl>
    <w:lvl w:ilvl="5" w:tplc="DE46B374">
      <w:start w:val="1"/>
      <w:numFmt w:val="bullet"/>
      <w:lvlText w:val=""/>
      <w:lvlJc w:val="left"/>
      <w:pPr>
        <w:tabs>
          <w:tab w:val="num" w:pos="4320"/>
        </w:tabs>
        <w:ind w:left="4320" w:hanging="360"/>
      </w:pPr>
      <w:rPr>
        <w:rFonts w:ascii="Wingdings" w:hAnsi="Wingdings"/>
      </w:rPr>
    </w:lvl>
    <w:lvl w:ilvl="6" w:tplc="EAF8E4E0">
      <w:start w:val="1"/>
      <w:numFmt w:val="bullet"/>
      <w:lvlText w:val=""/>
      <w:lvlJc w:val="left"/>
      <w:pPr>
        <w:tabs>
          <w:tab w:val="num" w:pos="5040"/>
        </w:tabs>
        <w:ind w:left="5040" w:hanging="360"/>
      </w:pPr>
      <w:rPr>
        <w:rFonts w:ascii="Symbol" w:hAnsi="Symbol"/>
      </w:rPr>
    </w:lvl>
    <w:lvl w:ilvl="7" w:tplc="EFE6D63C">
      <w:start w:val="1"/>
      <w:numFmt w:val="bullet"/>
      <w:lvlText w:val="o"/>
      <w:lvlJc w:val="left"/>
      <w:pPr>
        <w:tabs>
          <w:tab w:val="num" w:pos="5760"/>
        </w:tabs>
        <w:ind w:left="5760" w:hanging="360"/>
      </w:pPr>
      <w:rPr>
        <w:rFonts w:ascii="Courier New" w:hAnsi="Courier New"/>
      </w:rPr>
    </w:lvl>
    <w:lvl w:ilvl="8" w:tplc="6B4E0510">
      <w:start w:val="1"/>
      <w:numFmt w:val="bullet"/>
      <w:lvlText w:val=""/>
      <w:lvlJc w:val="left"/>
      <w:pPr>
        <w:tabs>
          <w:tab w:val="num" w:pos="6480"/>
        </w:tabs>
        <w:ind w:left="6480" w:hanging="360"/>
      </w:pPr>
      <w:rPr>
        <w:rFonts w:ascii="Wingdings" w:hAnsi="Wingdings"/>
      </w:rPr>
    </w:lvl>
  </w:abstractNum>
  <w:abstractNum w:abstractNumId="30" w15:restartNumberingAfterBreak="0">
    <w:nsid w:val="79CF54F7"/>
    <w:multiLevelType w:val="hybridMultilevel"/>
    <w:tmpl w:val="79CF54F7"/>
    <w:lvl w:ilvl="0" w:tplc="367ED470">
      <w:start w:val="1"/>
      <w:numFmt w:val="bullet"/>
      <w:lvlText w:val=""/>
      <w:lvlJc w:val="left"/>
      <w:pPr>
        <w:ind w:left="720" w:hanging="360"/>
      </w:pPr>
      <w:rPr>
        <w:rFonts w:ascii="Symbol" w:hAnsi="Symbol"/>
      </w:rPr>
    </w:lvl>
    <w:lvl w:ilvl="1" w:tplc="4C3E5588">
      <w:start w:val="1"/>
      <w:numFmt w:val="bullet"/>
      <w:lvlText w:val="o"/>
      <w:lvlJc w:val="left"/>
      <w:pPr>
        <w:tabs>
          <w:tab w:val="num" w:pos="1440"/>
        </w:tabs>
        <w:ind w:left="1440" w:hanging="360"/>
      </w:pPr>
      <w:rPr>
        <w:rFonts w:ascii="Courier New" w:hAnsi="Courier New"/>
      </w:rPr>
    </w:lvl>
    <w:lvl w:ilvl="2" w:tplc="A0C2C34A">
      <w:start w:val="1"/>
      <w:numFmt w:val="bullet"/>
      <w:lvlText w:val=""/>
      <w:lvlJc w:val="left"/>
      <w:pPr>
        <w:tabs>
          <w:tab w:val="num" w:pos="2160"/>
        </w:tabs>
        <w:ind w:left="2160" w:hanging="360"/>
      </w:pPr>
      <w:rPr>
        <w:rFonts w:ascii="Wingdings" w:hAnsi="Wingdings"/>
      </w:rPr>
    </w:lvl>
    <w:lvl w:ilvl="3" w:tplc="70444F96">
      <w:start w:val="1"/>
      <w:numFmt w:val="bullet"/>
      <w:lvlText w:val=""/>
      <w:lvlJc w:val="left"/>
      <w:pPr>
        <w:tabs>
          <w:tab w:val="num" w:pos="2880"/>
        </w:tabs>
        <w:ind w:left="2880" w:hanging="360"/>
      </w:pPr>
      <w:rPr>
        <w:rFonts w:ascii="Symbol" w:hAnsi="Symbol"/>
      </w:rPr>
    </w:lvl>
    <w:lvl w:ilvl="4" w:tplc="C0F874D6">
      <w:start w:val="1"/>
      <w:numFmt w:val="bullet"/>
      <w:lvlText w:val="o"/>
      <w:lvlJc w:val="left"/>
      <w:pPr>
        <w:tabs>
          <w:tab w:val="num" w:pos="3600"/>
        </w:tabs>
        <w:ind w:left="3600" w:hanging="360"/>
      </w:pPr>
      <w:rPr>
        <w:rFonts w:ascii="Courier New" w:hAnsi="Courier New"/>
      </w:rPr>
    </w:lvl>
    <w:lvl w:ilvl="5" w:tplc="AE06CA66">
      <w:start w:val="1"/>
      <w:numFmt w:val="bullet"/>
      <w:lvlText w:val=""/>
      <w:lvlJc w:val="left"/>
      <w:pPr>
        <w:tabs>
          <w:tab w:val="num" w:pos="4320"/>
        </w:tabs>
        <w:ind w:left="4320" w:hanging="360"/>
      </w:pPr>
      <w:rPr>
        <w:rFonts w:ascii="Wingdings" w:hAnsi="Wingdings"/>
      </w:rPr>
    </w:lvl>
    <w:lvl w:ilvl="6" w:tplc="2E361CC4">
      <w:start w:val="1"/>
      <w:numFmt w:val="bullet"/>
      <w:lvlText w:val=""/>
      <w:lvlJc w:val="left"/>
      <w:pPr>
        <w:tabs>
          <w:tab w:val="num" w:pos="5040"/>
        </w:tabs>
        <w:ind w:left="5040" w:hanging="360"/>
      </w:pPr>
      <w:rPr>
        <w:rFonts w:ascii="Symbol" w:hAnsi="Symbol"/>
      </w:rPr>
    </w:lvl>
    <w:lvl w:ilvl="7" w:tplc="D8E66BEE">
      <w:start w:val="1"/>
      <w:numFmt w:val="bullet"/>
      <w:lvlText w:val="o"/>
      <w:lvlJc w:val="left"/>
      <w:pPr>
        <w:tabs>
          <w:tab w:val="num" w:pos="5760"/>
        </w:tabs>
        <w:ind w:left="5760" w:hanging="360"/>
      </w:pPr>
      <w:rPr>
        <w:rFonts w:ascii="Courier New" w:hAnsi="Courier New"/>
      </w:rPr>
    </w:lvl>
    <w:lvl w:ilvl="8" w:tplc="0E484756">
      <w:start w:val="1"/>
      <w:numFmt w:val="bullet"/>
      <w:lvlText w:val=""/>
      <w:lvlJc w:val="left"/>
      <w:pPr>
        <w:tabs>
          <w:tab w:val="num" w:pos="6480"/>
        </w:tabs>
        <w:ind w:left="6480" w:hanging="360"/>
      </w:pPr>
      <w:rPr>
        <w:rFonts w:ascii="Wingdings" w:hAnsi="Wingdings"/>
      </w:rPr>
    </w:lvl>
  </w:abstractNum>
  <w:abstractNum w:abstractNumId="31" w15:restartNumberingAfterBreak="0">
    <w:nsid w:val="79CF54F8"/>
    <w:multiLevelType w:val="multilevel"/>
    <w:tmpl w:val="79CF54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9CF54F9"/>
    <w:multiLevelType w:val="multilevel"/>
    <w:tmpl w:val="79CF54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94561497">
    <w:abstractNumId w:val="10"/>
  </w:num>
  <w:num w:numId="2" w16cid:durableId="1164515257">
    <w:abstractNumId w:val="6"/>
  </w:num>
  <w:num w:numId="3" w16cid:durableId="178548949">
    <w:abstractNumId w:val="3"/>
  </w:num>
  <w:num w:numId="4" w16cid:durableId="800466644">
    <w:abstractNumId w:val="4"/>
  </w:num>
  <w:num w:numId="5" w16cid:durableId="149031837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2827196">
    <w:abstractNumId w:val="5"/>
  </w:num>
  <w:num w:numId="7" w16cid:durableId="44717814">
    <w:abstractNumId w:val="2"/>
  </w:num>
  <w:num w:numId="8" w16cid:durableId="445000925">
    <w:abstractNumId w:val="10"/>
  </w:num>
  <w:num w:numId="9" w16cid:durableId="169179705">
    <w:abstractNumId w:val="11"/>
  </w:num>
  <w:num w:numId="10" w16cid:durableId="673189454">
    <w:abstractNumId w:val="13"/>
  </w:num>
  <w:num w:numId="11" w16cid:durableId="674839634">
    <w:abstractNumId w:val="8"/>
  </w:num>
  <w:num w:numId="12" w16cid:durableId="1050763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5873393">
    <w:abstractNumId w:val="14"/>
  </w:num>
  <w:num w:numId="14" w16cid:durableId="420880586">
    <w:abstractNumId w:val="15"/>
  </w:num>
  <w:num w:numId="15" w16cid:durableId="909660700">
    <w:abstractNumId w:val="1"/>
  </w:num>
  <w:num w:numId="16" w16cid:durableId="121388001">
    <w:abstractNumId w:val="7"/>
  </w:num>
  <w:num w:numId="17" w16cid:durableId="16741280">
    <w:abstractNumId w:val="12"/>
  </w:num>
  <w:num w:numId="18" w16cid:durableId="1982880624">
    <w:abstractNumId w:val="9"/>
  </w:num>
  <w:num w:numId="19" w16cid:durableId="1620137889">
    <w:abstractNumId w:val="0"/>
  </w:num>
  <w:num w:numId="20" w16cid:durableId="544410744">
    <w:abstractNumId w:val="16"/>
  </w:num>
  <w:num w:numId="21" w16cid:durableId="335378612">
    <w:abstractNumId w:val="17"/>
  </w:num>
  <w:num w:numId="22" w16cid:durableId="823813246">
    <w:abstractNumId w:val="18"/>
  </w:num>
  <w:num w:numId="23" w16cid:durableId="777066767">
    <w:abstractNumId w:val="19"/>
  </w:num>
  <w:num w:numId="24" w16cid:durableId="1046759289">
    <w:abstractNumId w:val="20"/>
  </w:num>
  <w:num w:numId="25" w16cid:durableId="1752505984">
    <w:abstractNumId w:val="21"/>
  </w:num>
  <w:num w:numId="26" w16cid:durableId="1066758194">
    <w:abstractNumId w:val="22"/>
  </w:num>
  <w:num w:numId="27" w16cid:durableId="1191335488">
    <w:abstractNumId w:val="23"/>
  </w:num>
  <w:num w:numId="28" w16cid:durableId="304818126">
    <w:abstractNumId w:val="24"/>
  </w:num>
  <w:num w:numId="29" w16cid:durableId="1985233904">
    <w:abstractNumId w:val="25"/>
  </w:num>
  <w:num w:numId="30" w16cid:durableId="1959408347">
    <w:abstractNumId w:val="26"/>
  </w:num>
  <w:num w:numId="31" w16cid:durableId="727529301">
    <w:abstractNumId w:val="27"/>
  </w:num>
  <w:num w:numId="32" w16cid:durableId="1784299456">
    <w:abstractNumId w:val="28"/>
  </w:num>
  <w:num w:numId="33" w16cid:durableId="1817526884">
    <w:abstractNumId w:val="29"/>
  </w:num>
  <w:num w:numId="34" w16cid:durableId="2001302463">
    <w:abstractNumId w:val="30"/>
  </w:num>
  <w:num w:numId="35" w16cid:durableId="1121875829">
    <w:abstractNumId w:val="31"/>
  </w:num>
  <w:num w:numId="36" w16cid:durableId="614291747">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saveSubsetFonts/>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4F"/>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57E69"/>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FFF0"/>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rPr>
      <w:szCs w:val="24"/>
    </w:rPr>
  </w:style>
  <w:style w:type="paragraph" w:customStyle="1" w:styleId="h1Heading1">
    <w:name w:val="h1_Heading1"/>
    <w:basedOn w:val="Heading1"/>
    <w:pPr>
      <w:pBdr>
        <w:top w:val="none" w:sz="0" w:space="2" w:color="auto"/>
        <w:left w:val="none" w:sz="0" w:space="2" w:color="auto"/>
        <w:bottom w:val="none" w:sz="0" w:space="2" w:color="auto"/>
        <w:right w:val="none" w:sz="0" w:space="2" w:color="auto"/>
      </w:pBdr>
      <w:shd w:val="clear" w:color="auto" w:fill="BCDFFB"/>
    </w:pPr>
    <w:rPr>
      <w:rFonts w:cs="Times New Roman"/>
      <w:sz w:val="24"/>
      <w:szCs w:val="24"/>
      <w:shd w:val="clear" w:color="auto" w:fill="BCDFFB"/>
    </w:rPr>
  </w:style>
  <w:style w:type="paragraph" w:customStyle="1" w:styleId="Normal0">
    <w:name w:val="Normal_0"/>
    <w:basedOn w:val="Normal"/>
    <w:rPr>
      <w:rFonts w:ascii="Helvetica" w:eastAsia="Helvetica" w:hAnsi="Helvetica" w:cs="Helvetica"/>
      <w:sz w:val="20"/>
      <w:szCs w:val="20"/>
    </w:rPr>
  </w:style>
  <w:style w:type="paragraph" w:customStyle="1" w:styleId="h2Heading2">
    <w:name w:val="h2_Heading2"/>
    <w:basedOn w:val="Heading2"/>
    <w:pPr>
      <w:pBdr>
        <w:top w:val="none" w:sz="0" w:space="2" w:color="auto"/>
        <w:left w:val="none" w:sz="0" w:space="2" w:color="auto"/>
        <w:bottom w:val="none" w:sz="0" w:space="2" w:color="auto"/>
        <w:right w:val="none" w:sz="0" w:space="2" w:color="auto"/>
      </w:pBdr>
      <w:shd w:val="clear" w:color="auto" w:fill="E0E0E0"/>
    </w:pPr>
    <w:rPr>
      <w:rFonts w:cs="Times New Roman"/>
      <w:sz w:val="24"/>
      <w:szCs w:val="24"/>
      <w:shd w:val="clear" w:color="auto" w:fill="E0E0E0"/>
    </w:rPr>
  </w:style>
  <w:style w:type="paragraph" w:customStyle="1" w:styleId="highlight">
    <w:name w:val="highlight"/>
    <w:basedOn w:val="Normal"/>
    <w:pPr>
      <w:shd w:val="clear" w:color="auto" w:fill="FFF7D5"/>
    </w:pPr>
    <w:rPr>
      <w:shd w:val="clear" w:color="auto" w:fill="FFF7D5"/>
    </w:rPr>
  </w:style>
  <w:style w:type="character" w:customStyle="1" w:styleId="highlightany">
    <w:name w:val="highlight_any"/>
    <w:basedOn w:val="DefaultParagraphFont"/>
    <w:rPr>
      <w:shd w:val="clear" w:color="auto" w:fill="FFF7D5"/>
    </w:rPr>
  </w:style>
  <w:style w:type="paragraph" w:customStyle="1" w:styleId="highlightanyParagraph">
    <w:name w:val="highlight_any Paragraph"/>
    <w:basedOn w:val="Normal"/>
    <w:pPr>
      <w:shd w:val="clear" w:color="auto" w:fill="FFF7D5"/>
    </w:pPr>
    <w:rPr>
      <w:shd w:val="clear" w:color="auto" w:fill="FFF7D5"/>
    </w:rPr>
  </w:style>
  <w:style w:type="paragraph" w:customStyle="1" w:styleId="p">
    <w:name w:val="p"/>
    <w:basedOn w:val="Hidden"/>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div0">
    <w:name w:val="div_0"/>
    <w:basedOn w:val="Hidden"/>
    <w:rPr>
      <w:rFonts w:cs="Times New Roman"/>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tabletable">
    <w:name w:val="table_table"/>
    <w:basedOn w:val="TableNormal"/>
    <w:tblPr/>
  </w:style>
  <w:style w:type="table" w:customStyle="1" w:styleId="tablecriteria-linked-element">
    <w:name w:val="table_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grants.gov/web/grants/applicants/adobe-software-compatibility.html" TargetMode="External"/><Relationship Id="rId39" Type="http://schemas.openxmlformats.org/officeDocument/2006/relationships/hyperlink" Target="https://harvester.census.gov/facdissem/Main.aspx" TargetMode="External"/><Relationship Id="rId21" Type="http://schemas.openxmlformats.org/officeDocument/2006/relationships/hyperlink" Target="https://www.grants.gov/web/grants/applicants/registration.html" TargetMode="External"/><Relationship Id="rId34" Type="http://schemas.openxmlformats.org/officeDocument/2006/relationships/hyperlink" Target="http://www.grants.gov/web/grants/forms.html" TargetMode="External"/><Relationship Id="rId42" Type="http://schemas.openxmlformats.org/officeDocument/2006/relationships/hyperlink" Target="https://www.grants.gov/web/grants/forms/post-award-reporting-forms.html" TargetMode="External"/><Relationship Id="rId47" Type="http://schemas.openxmlformats.org/officeDocument/2006/relationships/hyperlink" Target="https://www.whitehouse.gov/omb/management/office-federal-financial-management/" TargetMode="External"/><Relationship Id="rId50" Type="http://schemas.openxmlformats.org/officeDocument/2006/relationships/hyperlink" Target="https://www.ecfr.gov/cgi-bin/text-idx?SID=1bfd0da1190f850482e94794cca23a5d&amp;mc=true&amp;node=20190830y1.1" TargetMode="External"/><Relationship Id="rId55" Type="http://schemas.openxmlformats.org/officeDocument/2006/relationships/hyperlink" Target="https://www.grants.gov/web/grants/forms/post-award-reporting-forms.htm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grants.gov/web/grants/applicants/workspace-overview.html" TargetMode="External"/><Relationship Id="rId33" Type="http://schemas.openxmlformats.org/officeDocument/2006/relationships/hyperlink" Target="mailto:support@grants.gov" TargetMode="External"/><Relationship Id="rId38" Type="http://schemas.openxmlformats.org/officeDocument/2006/relationships/hyperlink" Target="https://harvester.census.gov/facides/Account/Login.aspx" TargetMode="External"/><Relationship Id="rId46" Type="http://schemas.openxmlformats.org/officeDocument/2006/relationships/hyperlink" Target="https://www.ecfr.gov/cgi-bin/text-idx?SID=218f645087dd2472c433c6c29ca0362f&amp;mc=true&amp;node=pt2.1.200&amp;rgn=div5"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rants.gov/web/grants/applicants/organization-registration/step-2-register-with-sam.html" TargetMode="External"/><Relationship Id="rId29" Type="http://schemas.openxmlformats.org/officeDocument/2006/relationships/hyperlink" Target="https://sam.gov/content/duns-uei" TargetMode="External"/><Relationship Id="rId41" Type="http://schemas.openxmlformats.org/officeDocument/2006/relationships/hyperlink" Target="http://www.ecfr.gov/cgi-bin/text-idx?SID=683823273fc0da6a1060883eda593fb8&amp;mc=true&amp;node=pt43.1.18&amp;rgn=div5" TargetMode="External"/><Relationship Id="rId54" Type="http://schemas.openxmlformats.org/officeDocument/2006/relationships/hyperlink" Target="https://www.doi.gov/grants/doi-standard-terms-and-condition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rants.gov/web/grants/applicants/registration/track-role-status.html" TargetMode="External"/><Relationship Id="rId32" Type="http://schemas.openxmlformats.org/officeDocument/2006/relationships/hyperlink" Target="https://www.grants.gov/web/grants/forms/sf424-fid.html?formId=713" TargetMode="External"/><Relationship Id="rId37" Type="http://schemas.openxmlformats.org/officeDocument/2006/relationships/hyperlink" Target="https://harvester.census.gov/facides/Account/Login.aspx" TargetMode="External"/><Relationship Id="rId40" Type="http://schemas.openxmlformats.org/officeDocument/2006/relationships/hyperlink" Target="https://harvester.census.gov/facdissem/Main.aspx" TargetMode="External"/><Relationship Id="rId45" Type="http://schemas.openxmlformats.org/officeDocument/2006/relationships/hyperlink" Target="https://www.grants.gov/help/html/help/Register/RegisterWithSAM.htm" TargetMode="External"/><Relationship Id="rId53" Type="http://schemas.openxmlformats.org/officeDocument/2006/relationships/hyperlink" Target="https://www.ecfr.gov/cgi-bin/text-idx?SID=1bfd0da1190f850482e94794cca23a5d&amp;mc=true&amp;node=20190830y1.1" TargetMode="External"/><Relationship Id="rId58"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grants.gov/web/grants/applicants/registration/authorize-roles.html" TargetMode="External"/><Relationship Id="rId28" Type="http://schemas.openxmlformats.org/officeDocument/2006/relationships/hyperlink" Target="mailto:support@grants.gov" TargetMode="External"/><Relationship Id="rId36" Type="http://schemas.openxmlformats.org/officeDocument/2006/relationships/hyperlink" Target="https://www.ecfr.gov/cgi-bin/text-idx?SID=1bfd0da1190f850482e94794cca23a5d&amp;mc=true&amp;node=20190830y1.1" TargetMode="External"/><Relationship Id="rId49" Type="http://schemas.openxmlformats.org/officeDocument/2006/relationships/hyperlink" Target="https://www.ecfr.gov/cgi-bin/text-idx?SID=0bb1f5386f36f965f85dc05b2ad8a804&amp;mc=true&amp;node=pt2.1.200&amp;rgn=div5" TargetMode="External"/><Relationship Id="rId57" Type="http://schemas.openxmlformats.org/officeDocument/2006/relationships/hyperlink" Target="https://oge.gov/" TargetMode="External"/><Relationship Id="rId10" Type="http://schemas.openxmlformats.org/officeDocument/2006/relationships/footnotes" Target="footnotes.xml"/><Relationship Id="rId19" Type="http://schemas.openxmlformats.org/officeDocument/2006/relationships/hyperlink" Target="https://www.grants.gov/web/grants/applicants/organization-registration/step-2-register-with-sam.html" TargetMode="External"/><Relationship Id="rId31" Type="http://schemas.openxmlformats.org/officeDocument/2006/relationships/hyperlink" Target="https://www.grants.gov/web/grants/forms/sf424-fid.html?formId=713" TargetMode="External"/><Relationship Id="rId44" Type="http://schemas.openxmlformats.org/officeDocument/2006/relationships/hyperlink" Target="http://www.sam.gov" TargetMode="External"/><Relationship Id="rId52" Type="http://schemas.openxmlformats.org/officeDocument/2006/relationships/hyperlink" Target="https://www.doi.gov/grants/doi-standard-terms-and-conditions"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rants.gov/web/grants/applicants/registration/add-profile.html" TargetMode="External"/><Relationship Id="rId27" Type="http://schemas.openxmlformats.org/officeDocument/2006/relationships/hyperlink" Target="https://www.grants.gov/web/grants/applicants/applicant-training.html" TargetMode="External"/><Relationship Id="rId30" Type="http://schemas.openxmlformats.org/officeDocument/2006/relationships/hyperlink" Target="https://sam.gov/content/help" TargetMode="External"/><Relationship Id="rId35" Type="http://schemas.openxmlformats.org/officeDocument/2006/relationships/hyperlink" Target="https://www.usgs.gov/products/data-and-tools/data-management/data-management-plans" TargetMode="External"/><Relationship Id="rId43"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48" Type="http://schemas.openxmlformats.org/officeDocument/2006/relationships/hyperlink" Target="https://www.ecfr.gov/cgi-bin/text-idx?SID=0bb1f5386f36f965f85dc05b2ad8a804&amp;mc=true&amp;node=pt2.1.200&amp;rgn=div5" TargetMode="External"/><Relationship Id="rId56" Type="http://schemas.openxmlformats.org/officeDocument/2006/relationships/hyperlink" Target="https://www.ecfr.gov/cgi-bin/text-idx?SID=5b780f92f79c2d0136bebc473f65c8a9&amp;mc=true&amp;node=pt2.1.200&amp;rgn=div5" TargetMode="External"/><Relationship Id="rId8" Type="http://schemas.openxmlformats.org/officeDocument/2006/relationships/settings" Target="settings.xml"/><Relationship Id="rId51" Type="http://schemas.openxmlformats.org/officeDocument/2006/relationships/hyperlink" Target="https://www.doi.gov/grants/doi-standard-terms-and-conditions" TargetMode="Externa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3.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5.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17324</Words>
  <Characters>98748</Characters>
  <Application>Microsoft Office Word</Application>
  <DocSecurity>4</DocSecurity>
  <Lines>822</Lines>
  <Paragraphs>231</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115841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Eastman, Margaret</cp:lastModifiedBy>
  <cp:revision>2</cp:revision>
  <cp:lastPrinted>2015-12-22T13:15:00Z</cp:lastPrinted>
  <dcterms:created xsi:type="dcterms:W3CDTF">2023-03-15T17:21:00Z</dcterms:created>
  <dcterms:modified xsi:type="dcterms:W3CDTF">2023-03-15T17:21:00Z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