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583F917" w14:textId="7556CB93" w:rsidR="00871EF3" w:rsidRPr="00B31AF0" w:rsidRDefault="002607E8" w:rsidP="00871EF3">
      <w:pPr>
        <w:ind w:left="1440" w:hanging="1440"/>
        <w:rPr>
          <w:rFonts w:ascii="Times New Roman" w:hAnsi="Times New Roman"/>
          <w:sz w:val="24"/>
          <w:szCs w:val="24"/>
        </w:rPr>
      </w:pPr>
      <w:r>
        <w:rPr>
          <w:rFonts w:ascii="Times New Roman" w:eastAsia="Times New Roman" w:hAnsi="Times New Roman" w:cs="Times New Roman"/>
          <w:b/>
          <w:sz w:val="24"/>
          <w:szCs w:val="24"/>
        </w:rPr>
        <w:t xml:space="preserve">Notice of Funding Opportunity (NOFO): </w:t>
      </w:r>
      <w:r w:rsidR="00B31AF0">
        <w:rPr>
          <w:rFonts w:ascii="Times New Roman" w:eastAsia="Times New Roman" w:hAnsi="Times New Roman" w:cs="Times New Roman"/>
          <w:sz w:val="24"/>
          <w:szCs w:val="24"/>
        </w:rPr>
        <w:t xml:space="preserve">DRL </w:t>
      </w:r>
      <w:r w:rsidR="00871EF3" w:rsidRPr="00B31AF0">
        <w:rPr>
          <w:rFonts w:ascii="Times New Roman" w:hAnsi="Times New Roman"/>
          <w:sz w:val="24"/>
          <w:szCs w:val="24"/>
        </w:rPr>
        <w:t>Women’s Workforce Participation Program</w:t>
      </w:r>
    </w:p>
    <w:p w14:paraId="7ED66348" w14:textId="31A32A78" w:rsidR="00290D8C" w:rsidRDefault="00290D8C" w:rsidP="003C1039">
      <w:pPr>
        <w:spacing w:after="0" w:line="240" w:lineRule="auto"/>
      </w:pPr>
    </w:p>
    <w:p w14:paraId="01ABC376" w14:textId="79700C89"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3C1039" w:rsidRPr="003C1039">
        <w:rPr>
          <w:rFonts w:ascii="Times New Roman" w:eastAsia="Times New Roman" w:hAnsi="Times New Roman" w:cs="Times New Roman"/>
          <w:sz w:val="24"/>
          <w:szCs w:val="24"/>
        </w:rPr>
        <w:t>SFOP0005607</w:t>
      </w:r>
    </w:p>
    <w:p w14:paraId="3576348C" w14:textId="77777777" w:rsidR="00290D8C" w:rsidRDefault="00290D8C">
      <w:pPr>
        <w:spacing w:after="0" w:line="240" w:lineRule="auto"/>
        <w:jc w:val="center"/>
      </w:pPr>
    </w:p>
    <w:p w14:paraId="12CABEE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sidRPr="00093F6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19.345</w:t>
      </w:r>
    </w:p>
    <w:p w14:paraId="070B28F9" w14:textId="77777777" w:rsidR="00290D8C" w:rsidRDefault="00290D8C">
      <w:pPr>
        <w:spacing w:after="0" w:line="240" w:lineRule="auto"/>
      </w:pPr>
    </w:p>
    <w:p w14:paraId="522F85A3" w14:textId="76FB569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ED5B4F">
        <w:rPr>
          <w:rFonts w:ascii="Times New Roman" w:eastAsia="Times New Roman" w:hAnsi="Times New Roman" w:cs="Times New Roman"/>
          <w:sz w:val="24"/>
          <w:szCs w:val="24"/>
        </w:rPr>
        <w:t>Open Source</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0B605E3D" w14:textId="174433DC" w:rsidR="009B305D"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Pr="00093F6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71EF3">
        <w:rPr>
          <w:rFonts w:ascii="Times New Roman" w:eastAsia="Times New Roman" w:hAnsi="Times New Roman" w:cs="Times New Roman"/>
          <w:sz w:val="24"/>
          <w:szCs w:val="24"/>
        </w:rPr>
        <w:t>April 23</w:t>
      </w:r>
      <w:r w:rsidR="00ED5B4F">
        <w:rPr>
          <w:rFonts w:ascii="Times New Roman" w:eastAsia="Times New Roman" w:hAnsi="Times New Roman" w:cs="Times New Roman"/>
          <w:sz w:val="24"/>
          <w:szCs w:val="24"/>
        </w:rPr>
        <w:t>, 2019</w:t>
      </w:r>
    </w:p>
    <w:p w14:paraId="68562BE9" w14:textId="77777777" w:rsidR="00ED5B4F" w:rsidRDefault="00ED5B4F">
      <w:pPr>
        <w:spacing w:after="0" w:line="240" w:lineRule="auto"/>
        <w:rPr>
          <w:rFonts w:ascii="Times New Roman" w:eastAsia="Times New Roman" w:hAnsi="Times New Roman" w:cs="Times New Roman"/>
          <w:sz w:val="24"/>
          <w:szCs w:val="24"/>
        </w:rPr>
      </w:pPr>
    </w:p>
    <w:p w14:paraId="0B0C0AD4" w14:textId="5555CF2D"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value</w:t>
      </w:r>
      <w:r w:rsidR="00443D30" w:rsidRPr="00ED5B4F">
        <w:rPr>
          <w:rFonts w:ascii="Times New Roman" w:eastAsia="Times New Roman" w:hAnsi="Times New Roman" w:cs="Times New Roman"/>
          <w:b/>
          <w:sz w:val="24"/>
          <w:szCs w:val="24"/>
        </w:rPr>
        <w:t>)</w:t>
      </w:r>
      <w:r w:rsidR="003221AC" w:rsidRPr="00ED5B4F">
        <w:rPr>
          <w:rFonts w:ascii="Times New Roman" w:eastAsia="Times New Roman" w:hAnsi="Times New Roman" w:cs="Times New Roman"/>
          <w:sz w:val="24"/>
          <w:szCs w:val="24"/>
        </w:rPr>
        <w:t>:</w:t>
      </w:r>
      <w:r w:rsidR="00ED5B4F" w:rsidRPr="00ED5B4F">
        <w:rPr>
          <w:rFonts w:ascii="Times New Roman" w:eastAsia="Times New Roman" w:hAnsi="Times New Roman" w:cs="Times New Roman"/>
          <w:b/>
          <w:sz w:val="24"/>
          <w:szCs w:val="24"/>
        </w:rPr>
        <w:t xml:space="preserve"> </w:t>
      </w:r>
      <w:r w:rsidR="00ED5B4F" w:rsidRPr="00ED5B4F">
        <w:rPr>
          <w:rFonts w:ascii="Times New Roman" w:eastAsia="Times New Roman" w:hAnsi="Times New Roman" w:cs="Times New Roman"/>
          <w:sz w:val="24"/>
          <w:szCs w:val="24"/>
        </w:rPr>
        <w:t>$1,000,000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65F6F3DA"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443D30">
        <w:rPr>
          <w:rFonts w:ascii="Times New Roman" w:eastAsia="Times New Roman" w:hAnsi="Times New Roman" w:cs="Times New Roman"/>
          <w:b/>
          <w:sz w:val="24"/>
          <w:szCs w:val="24"/>
        </w:rPr>
        <w:t xml:space="preserve"> (highest $$ value)</w:t>
      </w:r>
      <w:r w:rsidRPr="003221AC">
        <w:rPr>
          <w:rFonts w:ascii="Times New Roman" w:eastAsia="Times New Roman" w:hAnsi="Times New Roman" w:cs="Times New Roman"/>
          <w:sz w:val="24"/>
          <w:szCs w:val="24"/>
        </w:rPr>
        <w:t>:</w:t>
      </w:r>
      <w:r w:rsidR="00ED5B4F" w:rsidRPr="00ED5B4F">
        <w:rPr>
          <w:rFonts w:ascii="Times New Roman" w:eastAsia="Times New Roman" w:hAnsi="Times New Roman" w:cs="Times New Roman"/>
          <w:sz w:val="24"/>
          <w:szCs w:val="24"/>
        </w:rPr>
        <w:t xml:space="preserve"> $1,000,000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4A921337"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Pr="00093F63">
        <w:rPr>
          <w:rFonts w:ascii="Times New Roman" w:eastAsia="Times New Roman" w:hAnsi="Times New Roman" w:cs="Times New Roman"/>
          <w:sz w:val="24"/>
          <w:szCs w:val="24"/>
        </w:rPr>
        <w:t>:</w:t>
      </w:r>
      <w:r w:rsidR="00ED5B4F">
        <w:rPr>
          <w:rFonts w:ascii="Times New Roman" w:eastAsia="Times New Roman" w:hAnsi="Times New Roman" w:cs="Times New Roman"/>
          <w:b/>
          <w:sz w:val="24"/>
          <w:szCs w:val="24"/>
        </w:rPr>
        <w:t xml:space="preserve"> </w:t>
      </w:r>
      <w:r w:rsidR="00ED5B4F" w:rsidRPr="00ED5B4F">
        <w:rPr>
          <w:rFonts w:ascii="Times New Roman" w:eastAsia="Times New Roman" w:hAnsi="Times New Roman" w:cs="Times New Roman"/>
          <w:sz w:val="24"/>
          <w:szCs w:val="24"/>
        </w:rPr>
        <w:t>1</w:t>
      </w:r>
    </w:p>
    <w:p w14:paraId="73D17870" w14:textId="77777777" w:rsidR="003221AC" w:rsidRDefault="003221AC" w:rsidP="003221AC">
      <w:pPr>
        <w:spacing w:after="0" w:line="240" w:lineRule="auto"/>
        <w:rPr>
          <w:rFonts w:ascii="Times New Roman" w:hAnsi="Times New Roman" w:cs="Times New Roman"/>
        </w:rPr>
      </w:pPr>
    </w:p>
    <w:p w14:paraId="46065859" w14:textId="6EE448A2" w:rsidR="003221AC" w:rsidRPr="003221AC" w:rsidRDefault="003221AC" w:rsidP="003221AC">
      <w:pPr>
        <w:spacing w:after="0" w:line="240" w:lineRule="auto"/>
        <w:rPr>
          <w:rFonts w:ascii="Times New Roman" w:hAnsi="Times New Roman" w:cs="Times New Roman"/>
        </w:rPr>
      </w:pPr>
      <w:r w:rsidRPr="003221AC">
        <w:rPr>
          <w:rFonts w:ascii="Times New Roman" w:hAnsi="Times New Roman" w:cs="Times New Roman"/>
          <w:b/>
        </w:rPr>
        <w:t>Type of Award</w:t>
      </w:r>
      <w:r w:rsidRPr="003221AC">
        <w:rPr>
          <w:rFonts w:ascii="Times New Roman" w:hAnsi="Times New Roman" w:cs="Times New Roman"/>
        </w:rPr>
        <w:t xml:space="preserve">: </w:t>
      </w:r>
      <w:r w:rsidR="00ED5B4F">
        <w:rPr>
          <w:rFonts w:ascii="Times New Roman" w:hAnsi="Times New Roman" w:cs="Times New Roman"/>
        </w:rPr>
        <w:t>Grant/Cooperative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229145B1"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00ED5B4F" w:rsidRPr="00093F63">
        <w:rPr>
          <w:rFonts w:ascii="Times New Roman" w:eastAsia="Times New Roman" w:hAnsi="Times New Roman" w:cs="Times New Roman"/>
          <w:sz w:val="24"/>
          <w:szCs w:val="24"/>
        </w:rPr>
        <w:t>:</w:t>
      </w:r>
      <w:r w:rsidR="00ED5B4F">
        <w:rPr>
          <w:rFonts w:ascii="Times New Roman" w:eastAsia="Times New Roman" w:hAnsi="Times New Roman" w:cs="Times New Roman"/>
          <w:b/>
          <w:sz w:val="24"/>
          <w:szCs w:val="24"/>
        </w:rPr>
        <w:t xml:space="preserve"> </w:t>
      </w:r>
      <w:r w:rsidR="00ED5B4F" w:rsidRPr="00ED5B4F">
        <w:rPr>
          <w:rFonts w:ascii="Times New Roman" w:eastAsia="Times New Roman" w:hAnsi="Times New Roman" w:cs="Times New Roman"/>
          <w:sz w:val="24"/>
          <w:szCs w:val="24"/>
        </w:rPr>
        <w:t>30-48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624AE532" w14:textId="77777777" w:rsidR="00ED5B4F" w:rsidRPr="00A04450" w:rsidRDefault="00EC3DE8" w:rsidP="00ED5B4F">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w:t>
      </w:r>
      <w:r w:rsidR="00ED5B4F">
        <w:rPr>
          <w:rFonts w:ascii="Times New Roman" w:eastAsia="Times New Roman" w:hAnsi="Times New Roman" w:cs="Times New Roman"/>
          <w:b/>
          <w:sz w:val="24"/>
          <w:szCs w:val="24"/>
        </w:rPr>
        <w:t xml:space="preserve"> </w:t>
      </w:r>
      <w:r w:rsidR="00ED5B4F" w:rsidRPr="00ED5B4F">
        <w:rPr>
          <w:rFonts w:ascii="Times New Roman" w:eastAsia="Times New Roman" w:hAnsi="Times New Roman" w:cs="Times New Roman"/>
          <w:sz w:val="24"/>
          <w:szCs w:val="24"/>
        </w:rPr>
        <w:t>August – September 2019</w:t>
      </w:r>
    </w:p>
    <w:p w14:paraId="30C86FD0" w14:textId="1796C158" w:rsidR="006607EC" w:rsidRDefault="006607EC">
      <w:pPr>
        <w:spacing w:after="0" w:line="240" w:lineRule="auto"/>
        <w:rPr>
          <w:rFonts w:ascii="Times New Roman" w:eastAsia="Times New Roman" w:hAnsi="Times New Roman" w:cs="Times New Roman"/>
          <w:b/>
          <w:sz w:val="24"/>
          <w:szCs w:val="24"/>
        </w:rPr>
      </w:pPr>
    </w:p>
    <w:p w14:paraId="0D84161A" w14:textId="77777777" w:rsidR="00ED5B4F" w:rsidRDefault="00ED5B4F">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1B08D259" w14:textId="77777777" w:rsidR="00ED5B4F" w:rsidRPr="00DC3792" w:rsidRDefault="00ED5B4F" w:rsidP="00ED5B4F">
      <w:pPr>
        <w:spacing w:after="0" w:line="240" w:lineRule="auto"/>
        <w:rPr>
          <w:rFonts w:ascii="Times New Roman" w:hAnsi="Times New Roman" w:cs="Times New Roman"/>
          <w:color w:val="auto"/>
          <w:sz w:val="24"/>
          <w:szCs w:val="24"/>
        </w:rPr>
      </w:pPr>
      <w:r w:rsidRPr="00DC3792">
        <w:rPr>
          <w:rFonts w:ascii="Times New Roman" w:eastAsia="Times New Roman" w:hAnsi="Times New Roman" w:cs="Times New Roman"/>
          <w:color w:val="auto"/>
          <w:sz w:val="24"/>
          <w:szCs w:val="24"/>
        </w:rPr>
        <w:t>The U.S. Department of State, Bureau of Democracy, Human Rights and Labor (DRL) announces an open competition for organizations interested in submitting applications for projects to</w:t>
      </w:r>
      <w:r>
        <w:rPr>
          <w:rFonts w:ascii="Times New Roman" w:hAnsi="Times New Roman" w:cs="Times New Roman"/>
          <w:color w:val="auto"/>
          <w:sz w:val="24"/>
          <w:szCs w:val="24"/>
          <w:shd w:val="clear" w:color="auto" w:fill="FFFFFF"/>
        </w:rPr>
        <w:t xml:space="preserve"> </w:t>
      </w:r>
      <w:r>
        <w:rPr>
          <w:rFonts w:ascii="Times New Roman" w:eastAsia="Times New Roman" w:hAnsi="Times New Roman" w:cs="Times New Roman"/>
          <w:color w:val="auto"/>
          <w:sz w:val="24"/>
          <w:szCs w:val="24"/>
        </w:rPr>
        <w:t xml:space="preserve">promote international labor standards and </w:t>
      </w:r>
      <w:r w:rsidRPr="00DC3792">
        <w:rPr>
          <w:rFonts w:ascii="Times New Roman" w:eastAsia="Times New Roman" w:hAnsi="Times New Roman" w:cs="Times New Roman"/>
          <w:color w:val="auto"/>
          <w:sz w:val="24"/>
          <w:szCs w:val="24"/>
        </w:rPr>
        <w:t xml:space="preserve">women’s </w:t>
      </w:r>
      <w:r>
        <w:rPr>
          <w:rFonts w:ascii="Times New Roman" w:eastAsia="Times New Roman" w:hAnsi="Times New Roman" w:cs="Times New Roman"/>
          <w:color w:val="auto"/>
          <w:sz w:val="24"/>
          <w:szCs w:val="24"/>
        </w:rPr>
        <w:t xml:space="preserve">right to </w:t>
      </w:r>
      <w:r w:rsidRPr="00DC3792">
        <w:rPr>
          <w:rFonts w:ascii="Times New Roman" w:eastAsia="Times New Roman" w:hAnsi="Times New Roman" w:cs="Times New Roman"/>
          <w:color w:val="auto"/>
          <w:sz w:val="24"/>
          <w:szCs w:val="24"/>
        </w:rPr>
        <w:t xml:space="preserve">equal, safe, and full participation in the workforce. </w:t>
      </w:r>
      <w:r w:rsidRPr="00DC3792">
        <w:rPr>
          <w:rFonts w:ascii="Times New Roman" w:hAnsi="Times New Roman" w:cs="Times New Roman"/>
          <w:color w:val="auto"/>
          <w:sz w:val="24"/>
          <w:szCs w:val="24"/>
        </w:rPr>
        <w:t xml:space="preserve"> </w:t>
      </w:r>
    </w:p>
    <w:p w14:paraId="3C7A69EA" w14:textId="77777777" w:rsidR="00ED5B4F" w:rsidRDefault="00ED5B4F" w:rsidP="00ED5B4F">
      <w:pPr>
        <w:spacing w:after="0" w:line="240" w:lineRule="auto"/>
        <w:rPr>
          <w:rFonts w:ascii="Times New Roman" w:hAnsi="Times New Roman" w:cs="Times New Roman"/>
          <w:sz w:val="24"/>
          <w:szCs w:val="24"/>
        </w:rPr>
      </w:pPr>
    </w:p>
    <w:p w14:paraId="3F3DF7B8" w14:textId="77777777" w:rsidR="00ED5B4F" w:rsidRPr="00AD3BC1" w:rsidRDefault="00ED5B4F" w:rsidP="00ED5B4F">
      <w:pPr>
        <w:spacing w:after="0" w:line="240" w:lineRule="auto"/>
        <w:rPr>
          <w:rFonts w:ascii="Times New Roman" w:hAnsi="Times New Roman" w:cs="Times New Roman"/>
          <w:sz w:val="24"/>
          <w:szCs w:val="24"/>
        </w:rPr>
      </w:pPr>
      <w:r w:rsidRPr="00AD3BC1">
        <w:rPr>
          <w:rFonts w:ascii="Times New Roman" w:hAnsi="Times New Roman" w:cs="Times New Roman"/>
          <w:sz w:val="24"/>
          <w:szCs w:val="24"/>
        </w:rPr>
        <w:t>Women around the globe face multiple barriers to their full and free participation in the economy</w:t>
      </w:r>
      <w:r>
        <w:rPr>
          <w:rFonts w:ascii="Times New Roman" w:hAnsi="Times New Roman" w:cs="Times New Roman"/>
          <w:sz w:val="24"/>
          <w:szCs w:val="24"/>
        </w:rPr>
        <w:t xml:space="preserve">, such as: unequal pay and lack of wage transparency; discrimination in hiring and job evaluation; family demand and expectations;  sexual harassment and assault; safe and accessible transportation; lack of parental leave and affordable care for children and family; inadequate representation in worker organizations; inflexible or unpredictable hours and scheduling; and unsafe and unsanitary work conditions. Consequently, women have significantly higher rates of unemployment and vulnerable employment than men, including in the informal economy, despite research showing that </w:t>
      </w:r>
      <w:r w:rsidRPr="00AD3BC1">
        <w:rPr>
          <w:rFonts w:ascii="Times New Roman" w:hAnsi="Times New Roman" w:cs="Times New Roman"/>
          <w:sz w:val="24"/>
          <w:szCs w:val="24"/>
        </w:rPr>
        <w:t>women’s labor force participation is critical to economic growth.</w:t>
      </w:r>
      <w:r>
        <w:rPr>
          <w:rFonts w:ascii="Times New Roman" w:hAnsi="Times New Roman" w:cs="Times New Roman"/>
          <w:sz w:val="24"/>
          <w:szCs w:val="24"/>
        </w:rPr>
        <w:t xml:space="preserve"> </w:t>
      </w:r>
      <w:r w:rsidRPr="00AD3BC1">
        <w:rPr>
          <w:rFonts w:ascii="Times New Roman" w:hAnsi="Times New Roman" w:cs="Times New Roman"/>
          <w:sz w:val="24"/>
          <w:szCs w:val="24"/>
        </w:rPr>
        <w:t>Obtaining a job is more difficult for women and when employed, women are more likely to work in low-quality jobs in vulnerable conditions.</w:t>
      </w:r>
      <w:r>
        <w:rPr>
          <w:rFonts w:ascii="Times New Roman" w:hAnsi="Times New Roman" w:cs="Times New Roman"/>
          <w:sz w:val="24"/>
          <w:szCs w:val="24"/>
        </w:rPr>
        <w:t xml:space="preserve"> </w:t>
      </w:r>
    </w:p>
    <w:p w14:paraId="47553326" w14:textId="77777777" w:rsidR="00ED5B4F" w:rsidRPr="00AD3BC1" w:rsidRDefault="00ED5B4F" w:rsidP="00ED5B4F">
      <w:pPr>
        <w:spacing w:after="0" w:line="240" w:lineRule="auto"/>
        <w:rPr>
          <w:rFonts w:ascii="Times New Roman" w:hAnsi="Times New Roman" w:cs="Times New Roman"/>
          <w:sz w:val="24"/>
          <w:szCs w:val="24"/>
        </w:rPr>
      </w:pPr>
    </w:p>
    <w:p w14:paraId="2A980276" w14:textId="167E0F8A" w:rsidR="00ED5B4F" w:rsidRPr="00AD3BC1" w:rsidRDefault="00ED5B4F" w:rsidP="00ED5B4F">
      <w:pPr>
        <w:spacing w:after="0" w:line="240" w:lineRule="auto"/>
        <w:rPr>
          <w:rFonts w:ascii="Times New Roman" w:hAnsi="Times New Roman" w:cs="Times New Roman"/>
          <w:i/>
          <w:sz w:val="24"/>
          <w:szCs w:val="24"/>
        </w:rPr>
      </w:pPr>
      <w:r w:rsidRPr="00AD3BC1">
        <w:rPr>
          <w:rFonts w:ascii="Times New Roman" w:hAnsi="Times New Roman" w:cs="Times New Roman"/>
          <w:sz w:val="24"/>
          <w:szCs w:val="24"/>
        </w:rPr>
        <w:t>The National Security Strategy of the United States recognizes the critical role that women play in the economy, prioritizing the advancement of women’s equality and stating that “</w:t>
      </w:r>
      <w:r>
        <w:rPr>
          <w:rFonts w:ascii="Times New Roman" w:hAnsi="Times New Roman" w:cs="Times New Roman"/>
          <w:i/>
          <w:sz w:val="24"/>
          <w:szCs w:val="24"/>
        </w:rPr>
        <w:t>s</w:t>
      </w:r>
      <w:r w:rsidRPr="00AD3BC1">
        <w:rPr>
          <w:rFonts w:ascii="Times New Roman" w:hAnsi="Times New Roman" w:cs="Times New Roman"/>
          <w:i/>
          <w:sz w:val="24"/>
          <w:szCs w:val="24"/>
        </w:rPr>
        <w:t xml:space="preserve">ocieties that empower women to participate fully in civic and economic life are more prosperous and </w:t>
      </w:r>
      <w:r w:rsidRPr="00AD3BC1">
        <w:rPr>
          <w:rFonts w:ascii="Times New Roman" w:hAnsi="Times New Roman" w:cs="Times New Roman"/>
          <w:i/>
          <w:sz w:val="24"/>
          <w:szCs w:val="24"/>
        </w:rPr>
        <w:lastRenderedPageBreak/>
        <w:t>peaceful.</w:t>
      </w:r>
      <w:r w:rsidR="00093F63" w:rsidRPr="00AD3BC1">
        <w:rPr>
          <w:rFonts w:ascii="Times New Roman" w:hAnsi="Times New Roman" w:cs="Times New Roman"/>
          <w:i/>
          <w:sz w:val="24"/>
          <w:szCs w:val="24"/>
        </w:rPr>
        <w:t xml:space="preserve">”  </w:t>
      </w:r>
      <w:r w:rsidRPr="00AD3BC1">
        <w:rPr>
          <w:rFonts w:ascii="Times New Roman" w:hAnsi="Times New Roman" w:cs="Times New Roman"/>
          <w:sz w:val="24"/>
          <w:szCs w:val="24"/>
        </w:rPr>
        <w:t xml:space="preserve">Removing constraints to women’s workforce participation </w:t>
      </w:r>
      <w:r>
        <w:rPr>
          <w:rFonts w:ascii="Times New Roman" w:hAnsi="Times New Roman" w:cs="Times New Roman"/>
          <w:sz w:val="24"/>
          <w:szCs w:val="24"/>
        </w:rPr>
        <w:t xml:space="preserve">therefore </w:t>
      </w:r>
      <w:r w:rsidRPr="00AD3BC1">
        <w:rPr>
          <w:rFonts w:ascii="Times New Roman" w:hAnsi="Times New Roman" w:cs="Times New Roman"/>
          <w:sz w:val="24"/>
          <w:szCs w:val="24"/>
        </w:rPr>
        <w:t>is essential to strengthening economies, families, and communities, and achieving stability and peace.</w:t>
      </w:r>
      <w:r>
        <w:rPr>
          <w:rFonts w:ascii="Times New Roman" w:hAnsi="Times New Roman" w:cs="Times New Roman"/>
          <w:i/>
          <w:sz w:val="24"/>
          <w:szCs w:val="24"/>
        </w:rPr>
        <w:t xml:space="preserve"> </w:t>
      </w:r>
      <w:r>
        <w:rPr>
          <w:rFonts w:ascii="Times New Roman" w:hAnsi="Times New Roman" w:cs="Times New Roman"/>
          <w:sz w:val="24"/>
          <w:szCs w:val="24"/>
        </w:rPr>
        <w:t>As stated by Ivanka Trump, Advisor to the President, “</w:t>
      </w:r>
      <w:r w:rsidRPr="008F2DC6">
        <w:rPr>
          <w:rFonts w:ascii="Book Antiqua" w:hAnsi="Book Antiqua"/>
          <w:i/>
        </w:rPr>
        <w:t>When we invest in women, our economies soar, our communities flourish, and our nations achieve greater stability and peace.”</w:t>
      </w:r>
    </w:p>
    <w:p w14:paraId="24A3318D" w14:textId="77777777" w:rsidR="00ED5B4F" w:rsidRDefault="00ED5B4F" w:rsidP="00ED5B4F">
      <w:pPr>
        <w:spacing w:after="0" w:line="240" w:lineRule="auto"/>
      </w:pPr>
    </w:p>
    <w:p w14:paraId="23B0A90B" w14:textId="444FBB8F" w:rsidR="00ED5B4F" w:rsidRPr="00551C70" w:rsidRDefault="00ED5B4F" w:rsidP="00ED5B4F">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sz w:val="24"/>
          <w:szCs w:val="24"/>
        </w:rPr>
        <w:t>In support of the Administration’s Women’s Global Development and Prosperity Initiative (W-GDP), in particular Pillar Three: Women Enabled in the Economy, DRL requests proposals for p</w:t>
      </w:r>
      <w:r w:rsidRPr="00C83A77">
        <w:rPr>
          <w:rFonts w:ascii="Times New Roman" w:eastAsia="Times New Roman" w:hAnsi="Times New Roman" w:cs="Times New Roman"/>
          <w:sz w:val="24"/>
          <w:szCs w:val="24"/>
        </w:rPr>
        <w:t>rojects</w:t>
      </w:r>
      <w:r>
        <w:rPr>
          <w:rFonts w:ascii="Times New Roman" w:eastAsia="Times New Roman" w:hAnsi="Times New Roman" w:cs="Times New Roman"/>
          <w:sz w:val="24"/>
          <w:szCs w:val="24"/>
        </w:rPr>
        <w:t xml:space="preserve"> that empower </w:t>
      </w:r>
      <w:r>
        <w:rPr>
          <w:rFonts w:ascii="Times New Roman" w:eastAsia="Times New Roman" w:hAnsi="Times New Roman" w:cs="Times New Roman"/>
          <w:color w:val="auto"/>
          <w:sz w:val="24"/>
          <w:szCs w:val="24"/>
        </w:rPr>
        <w:t xml:space="preserve">women to meet their full economic potential </w:t>
      </w:r>
      <w:r w:rsidRPr="00A36765">
        <w:rPr>
          <w:rFonts w:ascii="Times New Roman" w:eastAsia="Times New Roman" w:hAnsi="Times New Roman" w:cs="Times New Roman"/>
          <w:color w:val="auto"/>
          <w:sz w:val="24"/>
          <w:szCs w:val="24"/>
        </w:rPr>
        <w:t xml:space="preserve">by </w:t>
      </w:r>
      <w:r>
        <w:rPr>
          <w:rFonts w:ascii="Times New Roman" w:eastAsia="Times New Roman" w:hAnsi="Times New Roman" w:cs="Times New Roman"/>
          <w:color w:val="auto"/>
          <w:sz w:val="24"/>
          <w:szCs w:val="24"/>
        </w:rPr>
        <w:t xml:space="preserve">promoting international labor </w:t>
      </w:r>
      <w:r w:rsidRPr="00B31AF0">
        <w:rPr>
          <w:rFonts w:ascii="Times New Roman" w:eastAsia="Times New Roman" w:hAnsi="Times New Roman" w:cs="Times New Roman"/>
          <w:color w:val="auto"/>
          <w:sz w:val="24"/>
          <w:szCs w:val="24"/>
        </w:rPr>
        <w:t>rights and reducing legal, regulatory</w:t>
      </w:r>
      <w:r w:rsidRPr="00A36765">
        <w:rPr>
          <w:rFonts w:ascii="Times New Roman" w:eastAsia="Times New Roman" w:hAnsi="Times New Roman" w:cs="Times New Roman"/>
          <w:color w:val="auto"/>
          <w:sz w:val="24"/>
          <w:szCs w:val="24"/>
        </w:rPr>
        <w:t>, and soci</w:t>
      </w:r>
      <w:r>
        <w:rPr>
          <w:rFonts w:ascii="Times New Roman" w:eastAsia="Times New Roman" w:hAnsi="Times New Roman" w:cs="Times New Roman"/>
          <w:color w:val="auto"/>
          <w:sz w:val="24"/>
          <w:szCs w:val="24"/>
        </w:rPr>
        <w:t>ocultural</w:t>
      </w:r>
      <w:r w:rsidRPr="00A36765">
        <w:rPr>
          <w:rFonts w:ascii="Times New Roman" w:eastAsia="Times New Roman" w:hAnsi="Times New Roman" w:cs="Times New Roman"/>
          <w:color w:val="auto"/>
          <w:sz w:val="24"/>
          <w:szCs w:val="24"/>
        </w:rPr>
        <w:t xml:space="preserve"> barriers to </w:t>
      </w:r>
      <w:r>
        <w:rPr>
          <w:rFonts w:ascii="Times New Roman" w:eastAsia="Times New Roman" w:hAnsi="Times New Roman" w:cs="Times New Roman"/>
          <w:color w:val="auto"/>
          <w:sz w:val="24"/>
          <w:szCs w:val="24"/>
        </w:rPr>
        <w:t>women’s</w:t>
      </w:r>
      <w:r w:rsidRPr="00A36765">
        <w:rPr>
          <w:rFonts w:ascii="Times New Roman" w:eastAsia="Times New Roman" w:hAnsi="Times New Roman" w:cs="Times New Roman"/>
          <w:color w:val="auto"/>
          <w:sz w:val="24"/>
          <w:szCs w:val="24"/>
        </w:rPr>
        <w:t xml:space="preserve"> participation </w:t>
      </w:r>
      <w:r>
        <w:rPr>
          <w:rFonts w:ascii="Times New Roman" w:eastAsia="Times New Roman" w:hAnsi="Times New Roman" w:cs="Times New Roman"/>
          <w:color w:val="auto"/>
          <w:sz w:val="24"/>
          <w:szCs w:val="24"/>
        </w:rPr>
        <w:t>in the workforce</w:t>
      </w:r>
      <w:r w:rsidR="00093F63">
        <w:rPr>
          <w:rFonts w:ascii="Times New Roman" w:eastAsia="Times New Roman" w:hAnsi="Times New Roman" w:cs="Times New Roman"/>
          <w:color w:val="auto"/>
          <w:sz w:val="24"/>
          <w:szCs w:val="24"/>
        </w:rPr>
        <w:t xml:space="preserve">.  </w:t>
      </w:r>
      <w:r w:rsidRPr="00A36765">
        <w:rPr>
          <w:rFonts w:ascii="Times New Roman" w:eastAsia="Times New Roman" w:hAnsi="Times New Roman" w:cs="Times New Roman"/>
          <w:color w:val="auto"/>
          <w:sz w:val="24"/>
          <w:szCs w:val="24"/>
        </w:rPr>
        <w:t xml:space="preserve">Projects should focus </w:t>
      </w:r>
      <w:r>
        <w:rPr>
          <w:rFonts w:ascii="Times New Roman" w:eastAsia="Times New Roman" w:hAnsi="Times New Roman" w:cs="Times New Roman"/>
          <w:color w:val="auto"/>
          <w:sz w:val="24"/>
          <w:szCs w:val="24"/>
        </w:rPr>
        <w:t xml:space="preserve">on up to </w:t>
      </w:r>
      <w:r w:rsidRPr="00A36765">
        <w:rPr>
          <w:rFonts w:ascii="Times New Roman" w:eastAsia="Times New Roman" w:hAnsi="Times New Roman" w:cs="Times New Roman"/>
          <w:color w:val="auto"/>
          <w:sz w:val="24"/>
          <w:szCs w:val="24"/>
        </w:rPr>
        <w:t xml:space="preserve">two countries </w:t>
      </w:r>
      <w:r>
        <w:rPr>
          <w:rFonts w:ascii="Times New Roman" w:eastAsia="Times New Roman" w:hAnsi="Times New Roman" w:cs="Times New Roman"/>
          <w:color w:val="auto"/>
          <w:sz w:val="24"/>
          <w:szCs w:val="24"/>
        </w:rPr>
        <w:t xml:space="preserve">in one region of the world </w:t>
      </w:r>
      <w:r w:rsidRPr="00A36765">
        <w:rPr>
          <w:rFonts w:ascii="Times New Roman" w:eastAsia="Times New Roman" w:hAnsi="Times New Roman" w:cs="Times New Roman"/>
          <w:color w:val="auto"/>
          <w:sz w:val="24"/>
          <w:szCs w:val="24"/>
        </w:rPr>
        <w:t>and target specific industries or sectors</w:t>
      </w:r>
      <w:r w:rsidR="00093F63" w:rsidRPr="00A36765">
        <w:rPr>
          <w:rFonts w:ascii="Times New Roman" w:eastAsia="Times New Roman" w:hAnsi="Times New Roman" w:cs="Times New Roman"/>
          <w:color w:val="auto"/>
          <w:sz w:val="24"/>
          <w:szCs w:val="24"/>
        </w:rPr>
        <w:t xml:space="preserve">.  </w:t>
      </w:r>
      <w:r w:rsidRPr="00A36765">
        <w:rPr>
          <w:rFonts w:ascii="Times New Roman" w:eastAsia="Times New Roman" w:hAnsi="Times New Roman" w:cs="Times New Roman"/>
          <w:color w:val="auto"/>
          <w:sz w:val="24"/>
          <w:szCs w:val="24"/>
        </w:rPr>
        <w:t xml:space="preserve">Proposed </w:t>
      </w:r>
      <w:r>
        <w:rPr>
          <w:rFonts w:ascii="Times New Roman" w:eastAsia="Times New Roman" w:hAnsi="Times New Roman" w:cs="Times New Roman"/>
          <w:color w:val="auto"/>
          <w:sz w:val="24"/>
          <w:szCs w:val="24"/>
        </w:rPr>
        <w:t xml:space="preserve">projects should address the barriers women face in obtaining dignified, productive, fair, and secure work that allows them to voice their concerns, organize, and participate in decisions affecting their lives and equal treatment and opportunities for women and men. </w:t>
      </w:r>
      <w:r w:rsidRPr="00C83A77">
        <w:rPr>
          <w:rFonts w:ascii="Times New Roman" w:eastAsia="Times New Roman" w:hAnsi="Times New Roman" w:cs="Times New Roman"/>
          <w:color w:val="auto"/>
          <w:sz w:val="24"/>
          <w:szCs w:val="24"/>
        </w:rPr>
        <w:t>Program approaches may include, but are not limited to: assessing women's work</w:t>
      </w:r>
      <w:r w:rsidRPr="00557DE7">
        <w:rPr>
          <w:rFonts w:ascii="Times New Roman" w:eastAsia="Times New Roman" w:hAnsi="Times New Roman" w:cs="Times New Roman"/>
          <w:color w:val="auto"/>
          <w:sz w:val="24"/>
          <w:szCs w:val="24"/>
        </w:rPr>
        <w:t xml:space="preserve"> experience in the sector (s) of focus; identifying and advocating for key legal or regulatory reforms; advancing women's leadership and representation in the workplace and in worker organizations; educating and raising awareness among workers, employers, government, and the public about workplace gender inequality and labor standards; reducing gender inequality at work through collective bargaining agreements; </w:t>
      </w:r>
      <w:r w:rsidRPr="00557DE7">
        <w:rPr>
          <w:rFonts w:ascii="Times New Roman" w:hAnsi="Times New Roman" w:cs="Times New Roman"/>
          <w:sz w:val="24"/>
          <w:szCs w:val="24"/>
        </w:rPr>
        <w:t xml:space="preserve">removing barriers to women’s participation in the formal economy and building the capacity of women in the informal sector to transition to formal work; </w:t>
      </w:r>
      <w:r w:rsidRPr="00557DE7">
        <w:rPr>
          <w:rFonts w:ascii="Times New Roman" w:eastAsia="Times New Roman" w:hAnsi="Times New Roman" w:cs="Times New Roman"/>
          <w:color w:val="auto"/>
          <w:sz w:val="24"/>
          <w:szCs w:val="24"/>
        </w:rPr>
        <w:t>and developing mechanisms to report and remediate workplace inequities and violations</w:t>
      </w:r>
      <w:r>
        <w:rPr>
          <w:rFonts w:ascii="Times New Roman" w:eastAsia="Times New Roman" w:hAnsi="Times New Roman" w:cs="Times New Roman"/>
          <w:color w:val="auto"/>
          <w:sz w:val="24"/>
          <w:szCs w:val="24"/>
        </w:rPr>
        <w:t>.</w:t>
      </w:r>
    </w:p>
    <w:p w14:paraId="4B51D506" w14:textId="77777777" w:rsidR="00ED5B4F" w:rsidRDefault="00ED5B4F" w:rsidP="00ED5B4F">
      <w:pPr>
        <w:spacing w:after="0" w:line="240" w:lineRule="auto"/>
        <w:rPr>
          <w:rFonts w:ascii="Times New Roman" w:eastAsia="Times New Roman" w:hAnsi="Times New Roman" w:cs="Times New Roman"/>
          <w:color w:val="auto"/>
          <w:sz w:val="24"/>
          <w:szCs w:val="24"/>
        </w:rPr>
      </w:pPr>
    </w:p>
    <w:p w14:paraId="1D6632B4" w14:textId="77777777" w:rsidR="00ED5B4F" w:rsidRDefault="00ED5B4F" w:rsidP="00ED5B4F">
      <w:pPr>
        <w:spacing w:after="0" w:line="240" w:lineRule="auto"/>
        <w:rPr>
          <w:rFonts w:ascii="Times New Roman" w:eastAsia="Times New Roman" w:hAnsi="Times New Roman" w:cs="Times New Roman"/>
          <w:color w:val="auto"/>
          <w:sz w:val="24"/>
          <w:szCs w:val="24"/>
        </w:rPr>
      </w:pPr>
      <w:r>
        <w:rPr>
          <w:rFonts w:ascii="Times New Roman" w:hAnsi="Times New Roman" w:cs="Times New Roman"/>
          <w:sz w:val="24"/>
          <w:szCs w:val="24"/>
        </w:rPr>
        <w:t>Competitive proposals will identify local groups with whom the project will partner.</w:t>
      </w:r>
    </w:p>
    <w:p w14:paraId="1842FD0A" w14:textId="77777777" w:rsidR="00290D8C" w:rsidRPr="00AA661A" w:rsidRDefault="00290D8C">
      <w:pPr>
        <w:spacing w:after="0" w:line="240" w:lineRule="auto"/>
        <w:rPr>
          <w:color w:val="auto"/>
        </w:rPr>
      </w:pPr>
    </w:p>
    <w:p w14:paraId="0D9E6475" w14:textId="7ADD9F6D" w:rsidR="00AA3639" w:rsidRPr="00871EF3" w:rsidRDefault="00AA3639" w:rsidP="00871EF3">
      <w:pPr>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w:t>
      </w:r>
      <w:r w:rsidR="000C0483">
        <w:rPr>
          <w:rFonts w:ascii="Times New Roman" w:hAnsi="Times New Roman" w:cs="Times New Roman"/>
          <w:sz w:val="24"/>
          <w:szCs w:val="24"/>
        </w:rPr>
        <w:t>mming to be non-discriminatory</w:t>
      </w:r>
      <w:r>
        <w:rPr>
          <w:rFonts w:ascii="Times New Roman" w:hAnsi="Times New Roman" w:cs="Times New Roman"/>
          <w:sz w:val="24"/>
          <w:szCs w:val="24"/>
        </w:rPr>
        <w:t xml:space="preserve">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AA3639">
      <w:pPr>
        <w:pStyle w:val="NormalWeb"/>
        <w:shd w:val="clear" w:color="auto" w:fill="FFFFFF"/>
        <w:spacing w:before="0" w:beforeAutospacing="0" w:after="0" w:afterAutospacing="0"/>
        <w:ind w:firstLine="0"/>
      </w:pPr>
      <w:r>
        <w:t xml:space="preserve">Where appropriate, competitive proposals may include: </w:t>
      </w:r>
    </w:p>
    <w:p w14:paraId="2E9F07AD" w14:textId="77777777" w:rsidR="00AA3639" w:rsidRDefault="00AA3639" w:rsidP="00AA363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A3639">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A3639">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AA3639">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A3639">
      <w:pPr>
        <w:pStyle w:val="NormalWeb"/>
        <w:numPr>
          <w:ilvl w:val="0"/>
          <w:numId w:val="26"/>
        </w:numPr>
        <w:shd w:val="clear" w:color="auto" w:fill="FFFFFF"/>
        <w:spacing w:before="0" w:beforeAutospacing="0" w:after="0" w:afterAutospacing="0"/>
      </w:pPr>
      <w:r>
        <w:lastRenderedPageBreak/>
        <w:t>Joint identification and definition of key concepts with relevant stakeholders and stakeholder input into project activities.</w:t>
      </w:r>
    </w:p>
    <w:p w14:paraId="6C24008C" w14:textId="77777777" w:rsidR="00AA3639" w:rsidRDefault="00AA3639" w:rsidP="00AA3639">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pPr>
        <w:spacing w:after="0" w:line="240" w:lineRule="auto"/>
        <w:rPr>
          <w:rFonts w:ascii="Times New Roman" w:hAnsi="Times New Roman" w:cs="Times New Roman"/>
          <w:sz w:val="24"/>
          <w:szCs w:val="24"/>
        </w:rPr>
      </w:pPr>
    </w:p>
    <w:p w14:paraId="79EE1499" w14:textId="625D0E00"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Default="004021B5">
      <w:pPr>
        <w:spacing w:after="0" w:line="240" w:lineRule="auto"/>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645868F4" w14:textId="21E0D01E" w:rsidR="00290D8C" w:rsidRDefault="005D0A7F">
      <w:pPr>
        <w:spacing w:after="0" w:line="240" w:lineRule="auto"/>
      </w:pPr>
      <w:r>
        <w:rPr>
          <w:rFonts w:ascii="Times New Roman" w:eastAsia="Times New Roman" w:hAnsi="Times New Roman" w:cs="Times New Roman"/>
          <w:sz w:val="24"/>
          <w:szCs w:val="24"/>
        </w:rPr>
        <w:t xml:space="preserve">Primary organizations </w:t>
      </w:r>
      <w:r w:rsidR="00093F63">
        <w:rPr>
          <w:rFonts w:ascii="Times New Roman" w:eastAsia="Times New Roman" w:hAnsi="Times New Roman" w:cs="Times New Roman"/>
          <w:sz w:val="24"/>
          <w:szCs w:val="24"/>
        </w:rPr>
        <w:t>can submit one</w:t>
      </w:r>
      <w:r w:rsidR="00401EC8">
        <w:rPr>
          <w:rFonts w:ascii="Times New Roman" w:eastAsia="Times New Roman" w:hAnsi="Times New Roman" w:cs="Times New Roman"/>
          <w:sz w:val="24"/>
          <w:szCs w:val="24"/>
        </w:rPr>
        <w:t xml:space="preserve"> </w:t>
      </w:r>
      <w:r w:rsidR="0018014C">
        <w:rPr>
          <w:rFonts w:ascii="Times New Roman" w:eastAsia="Times New Roman" w:hAnsi="Times New Roman" w:cs="Times New Roman"/>
          <w:sz w:val="24"/>
          <w:szCs w:val="24"/>
        </w:rPr>
        <w:t>application</w:t>
      </w:r>
      <w:bookmarkStart w:id="0" w:name="_GoBack"/>
      <w:bookmarkEnd w:id="0"/>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1A7FE384"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36345D5E" w14:textId="0B32A154" w:rsidR="005219E9" w:rsidRDefault="00E25DBC" w:rsidP="00871EF3">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3063C040" w14:textId="77777777" w:rsidR="00871EF3" w:rsidRPr="00871EF3" w:rsidRDefault="00871EF3" w:rsidP="00871EF3">
      <w:pPr>
        <w:spacing w:after="0" w:line="240" w:lineRule="auto"/>
        <w:rPr>
          <w:rFonts w:ascii="Times New Roman" w:hAnsi="Times New Roman" w:cs="Times New Roman"/>
          <w:sz w:val="24"/>
          <w:szCs w:val="24"/>
        </w:rPr>
      </w:pP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is defined as any amount in excess of allowable direct and indirect costs.  The allowability of costs incurred by commercial </w:t>
      </w:r>
      <w:r w:rsidR="002607E8">
        <w:rPr>
          <w:rFonts w:ascii="Times New Roman" w:eastAsia="Times New Roman" w:hAnsi="Times New Roman" w:cs="Times New Roman"/>
          <w:sz w:val="24"/>
          <w:szCs w:val="24"/>
        </w:rPr>
        <w:lastRenderedPageBreak/>
        <w:t>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05C3AE9F"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780F46">
        <w:rPr>
          <w:rFonts w:ascii="Times New Roman" w:eastAsia="Times New Roman" w:hAnsi="Times New Roman" w:cs="Times New Roman"/>
          <w:sz w:val="24"/>
          <w:szCs w:val="24"/>
        </w:rPr>
        <w:t>“</w:t>
      </w:r>
      <w:r w:rsidR="00780F46" w:rsidRPr="00780F46">
        <w:rPr>
          <w:rFonts w:ascii="Times New Roman" w:eastAsia="Times New Roman" w:hAnsi="Times New Roman" w:cs="Times New Roman"/>
          <w:sz w:val="24"/>
          <w:szCs w:val="24"/>
        </w:rPr>
        <w:t>DRL Women’s Workforce Participation Program</w:t>
      </w:r>
      <w:r w:rsidR="00780F46">
        <w:rPr>
          <w:rFonts w:ascii="Times New Roman" w:eastAsia="Times New Roman" w:hAnsi="Times New Roman" w:cs="Times New Roman"/>
          <w:sz w:val="24"/>
          <w:szCs w:val="24"/>
        </w:rPr>
        <w:t xml:space="preserve">”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3C1039" w:rsidRPr="003C1039">
        <w:rPr>
          <w:rFonts w:ascii="Times New Roman" w:eastAsia="Times New Roman" w:hAnsi="Times New Roman" w:cs="Times New Roman"/>
          <w:sz w:val="24"/>
          <w:szCs w:val="24"/>
        </w:rPr>
        <w:t>SFOP0005607</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if </w:t>
      </w:r>
      <w:r>
        <w:rPr>
          <w:rFonts w:ascii="Times New Roman" w:eastAsia="Times New Roman" w:hAnsi="Times New Roman" w:cs="Times New Roman"/>
          <w:sz w:val="24"/>
          <w:szCs w:val="24"/>
        </w:rPr>
        <w:lastRenderedPageBreak/>
        <w:t>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w:t>
      </w:r>
      <w:r w:rsidRPr="00B12CD2">
        <w:rPr>
          <w:rFonts w:ascii="Times New Roman" w:eastAsia="Times New Roman" w:hAnsi="Times New Roman" w:cs="Times New Roman"/>
          <w:sz w:val="24"/>
          <w:szCs w:val="24"/>
        </w:rPr>
        <w:lastRenderedPageBreak/>
        <w:t xml:space="preserve">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w:t>
      </w:r>
      <w:r w:rsidRPr="00115681">
        <w:rPr>
          <w:rFonts w:ascii="Times New Roman" w:eastAsia="Times New Roman" w:hAnsi="Times New Roman" w:cs="Times New Roman"/>
          <w:sz w:val="24"/>
          <w:szCs w:val="24"/>
        </w:rPr>
        <w:lastRenderedPageBreak/>
        <w:t>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5CC3FD22" w14:textId="6B73AFFB" w:rsidR="006448FC" w:rsidRPr="00F77180" w:rsidRDefault="006448FC" w:rsidP="00F77180">
      <w:pPr>
        <w:pStyle w:val="NoSpacing"/>
        <w:numPr>
          <w:ilvl w:val="0"/>
          <w:numId w:val="17"/>
        </w:numPr>
        <w:rPr>
          <w:rFonts w:ascii="Times New Roman" w:eastAsia="Times New Roman" w:hAnsi="Times New Roman" w:cs="Times New Roman"/>
          <w:b/>
          <w:sz w:val="24"/>
          <w:szCs w:val="24"/>
        </w:rPr>
      </w:pPr>
      <w:r w:rsidRPr="00871EF3">
        <w:rPr>
          <w:rFonts w:ascii="Times New Roman" w:eastAsia="Times New Roman" w:hAnsi="Times New Roman" w:cs="Times New Roman"/>
          <w:b/>
          <w:sz w:val="24"/>
          <w:szCs w:val="24"/>
        </w:rPr>
        <w:t>Burma Due Diligence Assessment</w:t>
      </w:r>
      <w:r w:rsidRPr="00871EF3">
        <w:rPr>
          <w:rFonts w:ascii="Times New Roman" w:eastAsia="Times New Roman" w:hAnsi="Times New Roman" w:cs="Times New Roman"/>
          <w:sz w:val="24"/>
          <w:szCs w:val="24"/>
        </w:rPr>
        <w:t xml:space="preserve"> (not to exceed one [1] page, preferably </w:t>
      </w:r>
      <w:r w:rsidR="000B5C07" w:rsidRPr="00871EF3">
        <w:rPr>
          <w:rFonts w:ascii="Times New Roman" w:eastAsia="Times New Roman" w:hAnsi="Times New Roman" w:cs="Times New Roman"/>
          <w:sz w:val="24"/>
          <w:szCs w:val="24"/>
        </w:rPr>
        <w:t>as a Word Document</w:t>
      </w:r>
      <w:r w:rsidRPr="00871EF3">
        <w:rPr>
          <w:rFonts w:ascii="Times New Roman" w:eastAsia="Times New Roman" w:hAnsi="Times New Roman" w:cs="Times New Roman"/>
          <w:sz w:val="24"/>
          <w:szCs w:val="24"/>
        </w:rPr>
        <w:t>) that outlines existing organizational practices for vetting program beneficiaries and capacity to conduct due diligence vetting as outlined in the NOFO.</w:t>
      </w:r>
      <w:r w:rsidR="00E03771" w:rsidRPr="00871EF3">
        <w:rPr>
          <w:rFonts w:ascii="Times New Roman" w:eastAsia="Times New Roman" w:hAnsi="Times New Roman" w:cs="Times New Roman"/>
          <w:sz w:val="24"/>
          <w:szCs w:val="24"/>
        </w:rPr>
        <w:t xml:space="preserve"> </w:t>
      </w:r>
      <w:r w:rsidR="00871EF3">
        <w:rPr>
          <w:rFonts w:ascii="Times New Roman" w:eastAsia="Times New Roman" w:hAnsi="Times New Roman" w:cs="Times New Roman"/>
          <w:sz w:val="24"/>
          <w:szCs w:val="24"/>
        </w:rPr>
        <w:t>(If applicable to your program.)</w:t>
      </w:r>
      <w:r w:rsidR="00871EF3" w:rsidRPr="00871EF3">
        <w:rPr>
          <w:rFonts w:ascii="Times New Roman" w:eastAsia="Times New Roman" w:hAnsi="Times New Roman" w:cs="Times New Roman"/>
          <w:sz w:val="24"/>
          <w:szCs w:val="24"/>
        </w:rPr>
        <w:t xml:space="preserve">  </w:t>
      </w:r>
      <w:r w:rsidR="009C52FE">
        <w:rPr>
          <w:rFonts w:ascii="Times New Roman" w:eastAsia="Times New Roman" w:hAnsi="Times New Roman" w:cs="Times New Roman"/>
          <w:b/>
          <w:sz w:val="24"/>
          <w:szCs w:val="24"/>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lastRenderedPageBreak/>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w:t>
      </w:r>
      <w:r>
        <w:rPr>
          <w:rFonts w:ascii="Times New Roman" w:eastAsia="Times New Roman" w:hAnsi="Times New Roman" w:cs="Times New Roman"/>
          <w:sz w:val="24"/>
          <w:szCs w:val="24"/>
        </w:rPr>
        <w:lastRenderedPageBreak/>
        <w:t>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3CE17FA" w14:textId="77777777" w:rsidR="00290D8C" w:rsidRDefault="00290D8C">
      <w:pPr>
        <w:spacing w:after="0" w:line="240" w:lineRule="auto"/>
      </w:pPr>
    </w:p>
    <w:p w14:paraId="347AA1D8"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lastRenderedPageBreak/>
        <w:t xml:space="preserve">D.4 Submission Dates and Times  </w:t>
      </w:r>
    </w:p>
    <w:p w14:paraId="0CEFE9E4" w14:textId="77777777" w:rsidR="00290D8C" w:rsidRDefault="00290D8C">
      <w:pPr>
        <w:spacing w:after="0" w:line="240" w:lineRule="auto"/>
      </w:pPr>
    </w:p>
    <w:p w14:paraId="6AEC9356" w14:textId="449C1BC3"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780F46">
        <w:rPr>
          <w:rFonts w:ascii="Times New Roman" w:eastAsia="Times New Roman" w:hAnsi="Times New Roman" w:cs="Times New Roman"/>
          <w:b/>
          <w:sz w:val="24"/>
          <w:szCs w:val="24"/>
        </w:rPr>
        <w:t xml:space="preserve">April 23, 2019 </w:t>
      </w:r>
      <w:r>
        <w:rPr>
          <w:rFonts w:ascii="Times New Roman" w:eastAsia="Times New Roman" w:hAnsi="Times New Roman" w:cs="Times New Roman"/>
          <w:b/>
          <w:sz w:val="24"/>
          <w:szCs w:val="24"/>
        </w:rPr>
        <w:t xml:space="preserve">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780F46" w:rsidRPr="00780F46">
        <w:rPr>
          <w:rFonts w:ascii="Times New Roman" w:eastAsia="Times New Roman" w:hAnsi="Times New Roman" w:cs="Times New Roman"/>
          <w:b/>
          <w:sz w:val="24"/>
          <w:szCs w:val="24"/>
        </w:rPr>
        <w:t>DRL Women’s Workforce Participation Program</w:t>
      </w:r>
      <w:r>
        <w:rPr>
          <w:rFonts w:ascii="Times New Roman" w:eastAsia="Times New Roman" w:hAnsi="Times New Roman" w:cs="Times New Roman"/>
          <w:b/>
          <w:sz w:val="24"/>
          <w:szCs w:val="24"/>
        </w:rPr>
        <w:t>” funding opportunity number “</w:t>
      </w:r>
      <w:r w:rsidR="003C1039" w:rsidRPr="003C1039">
        <w:rPr>
          <w:rFonts w:ascii="Times New Roman" w:eastAsia="Times New Roman" w:hAnsi="Times New Roman" w:cs="Times New Roman"/>
          <w:b/>
          <w:sz w:val="24"/>
          <w:szCs w:val="24"/>
        </w:rPr>
        <w:t>SFOP0005607</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pPr>
        <w:spacing w:after="0" w:line="240" w:lineRule="auto"/>
      </w:pPr>
    </w:p>
    <w:p w14:paraId="3E6FE582" w14:textId="77777777" w:rsidR="001B436C" w:rsidRDefault="00E37084" w:rsidP="00A87EF2">
      <w:pPr>
        <w:spacing w:after="0" w:line="240" w:lineRule="auto"/>
        <w:rPr>
          <w:rFonts w:ascii="Times New Roman" w:eastAsia="Times New Roman" w:hAnsi="Times New Roman" w:cs="Times New Roman"/>
          <w:sz w:val="24"/>
          <w:szCs w:val="24"/>
        </w:rPr>
      </w:pPr>
      <w:r w:rsidRPr="001B436C">
        <w:rPr>
          <w:rFonts w:ascii="Times New Roman" w:hAnsi="Times New Roman" w:cs="Times New Roman"/>
        </w:rPr>
        <w:t>The Leahy Law prohibits Department foreign assistance funds from supporting foreign security force units if the Secretary of State has credible information that the unit has committed a gross violation of human rights</w:t>
      </w:r>
      <w:r w:rsidR="00D7136E" w:rsidRPr="001B436C">
        <w:rPr>
          <w:rFonts w:ascii="Times New Roman" w:hAnsi="Times New Roman" w:cs="Times New Roman"/>
        </w:rPr>
        <w:t xml:space="preserve">.  </w:t>
      </w:r>
      <w:r w:rsidRPr="001B436C">
        <w:rPr>
          <w:rFonts w:ascii="Times New Roman" w:hAnsi="Times New Roman" w:cs="Times New Roman"/>
        </w:rPr>
        <w:t xml:space="preserve">Per </w:t>
      </w:r>
      <w:hyperlink r:id="rId19" w:history="1">
        <w:r w:rsidRPr="001B436C">
          <w:rPr>
            <w:rStyle w:val="Hyperlink"/>
            <w:rFonts w:ascii="Times New Roman" w:hAnsi="Times New Roman" w:cs="Times New Roman"/>
            <w:sz w:val="24"/>
            <w:szCs w:val="24"/>
          </w:rPr>
          <w:t>22 USC §2378d(a) (2015),</w:t>
        </w:r>
      </w:hyperlink>
      <w:r w:rsidRPr="001B436C">
        <w:rPr>
          <w:rFonts w:ascii="Times New Roman" w:hAnsi="Times New Roman" w:cs="Times New Roman"/>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1B436C">
        <w:rPr>
          <w:rFonts w:ascii="Times New Roman" w:hAnsi="Times New Roman" w:cs="Times New Roman"/>
        </w:rPr>
        <w:t xml:space="preserve"> </w:t>
      </w:r>
      <w:r w:rsidR="002607E8" w:rsidRPr="001B436C">
        <w:rPr>
          <w:rFonts w:ascii="Times New Roman" w:eastAsia="Times New Roman" w:hAnsi="Times New Roman" w:cs="Times New Roman"/>
        </w:rPr>
        <w:t>Restrictions may apply to any proposed assistance to police or other law enforcement.  Among these, pursuant to section 620M of the Foreign Assistance Act of 1961, as amended</w:t>
      </w:r>
      <w:r w:rsidRPr="001B436C">
        <w:rPr>
          <w:rFonts w:ascii="Times New Roman" w:eastAsia="Times New Roman" w:hAnsi="Times New Roman" w:cs="Times New Roman"/>
          <w:sz w:val="24"/>
          <w:szCs w:val="24"/>
        </w:rPr>
        <w:t xml:space="preserve"> </w:t>
      </w:r>
      <w:r w:rsidR="002607E8" w:rsidRPr="001B436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1B436C">
        <w:rPr>
          <w:rFonts w:ascii="Times New Roman" w:eastAsia="Times New Roman" w:hAnsi="Times New Roman" w:cs="Times New Roman"/>
          <w:sz w:val="24"/>
          <w:szCs w:val="24"/>
        </w:rPr>
        <w:t xml:space="preserve"> </w:t>
      </w:r>
      <w:r w:rsidR="00020597" w:rsidRPr="001B436C">
        <w:rPr>
          <w:rFonts w:ascii="Times New Roman" w:eastAsia="Times New Roman" w:hAnsi="Times New Roman" w:cs="Times New Roman"/>
          <w:sz w:val="24"/>
          <w:szCs w:val="24"/>
        </w:rPr>
        <w:t xml:space="preserve"> </w:t>
      </w:r>
      <w:r w:rsidR="00581E19" w:rsidRPr="001B436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1B436C">
        <w:rPr>
          <w:rFonts w:ascii="Times New Roman" w:hAnsi="Times New Roman" w:cs="Times New Roman"/>
          <w:sz w:val="24"/>
          <w:szCs w:val="24"/>
        </w:rPr>
        <w:t>.</w:t>
      </w:r>
      <w:r w:rsidR="00D7136E" w:rsidRPr="001B436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1C0BC5F2" w14:textId="77777777" w:rsidR="00A87EF2" w:rsidRPr="00D63A08" w:rsidRDefault="00A87EF2" w:rsidP="00DF521F">
      <w:pPr>
        <w:pStyle w:val="Default"/>
        <w:rPr>
          <w:rFonts w:eastAsia="Times New Roman"/>
        </w:rPr>
      </w:pPr>
      <w:r w:rsidRPr="00D63A08">
        <w:rPr>
          <w:rFonts w:eastAsia="Times New Roman"/>
        </w:rPr>
        <w:t xml:space="preserve">U.S. foreign assistance for Burma or Burmese beneficiaries is subject to restrictions.  This includes restrictions, pursuant to section 7043(a)(1)(B) of the Department of State, Foreign Operations, and Related Programs Appropriations Act, 2018 (Div. K, P.L. 115-141)(SFOAA), on funds appropriated under title III of the act for assistance for Burma.  Section 7043(a)(1)(B) provides that such funds “may not be made available to any individual or organization if the Secretary of State has credible information that such individual or </w:t>
      </w:r>
      <w:r w:rsidRPr="00D63A08">
        <w:t>organization</w:t>
      </w:r>
      <w:r w:rsidRPr="00D63A08">
        <w:rPr>
          <w:rFonts w:eastAsia="Times New Roman"/>
        </w:rPr>
        <w:t xml:space="preserve"> has committed a gross violation of human rights (GVHR), including against Rohingya and other minority groups, </w:t>
      </w:r>
      <w:r w:rsidRPr="00D63A08">
        <w:rPr>
          <w:rFonts w:eastAsia="Times New Roman"/>
        </w:rPr>
        <w:lastRenderedPageBreak/>
        <w:t xml:space="preserve">or that advocates violence against ethnic or religious groups or individuals in Burma.”  It further provides that such funds “may not be made available to any organization or entity controlled by the armed forces of Burma.”  </w:t>
      </w:r>
    </w:p>
    <w:p w14:paraId="0AB58805" w14:textId="77777777" w:rsidR="00DF521F" w:rsidRPr="00D63A08" w:rsidRDefault="00DF521F" w:rsidP="00DF521F">
      <w:pPr>
        <w:pStyle w:val="Default"/>
        <w:rPr>
          <w:rFonts w:eastAsia="Times New Roman"/>
        </w:rPr>
      </w:pPr>
    </w:p>
    <w:p w14:paraId="712FD6A5" w14:textId="77777777" w:rsidR="00A87EF2" w:rsidRDefault="00A87EF2" w:rsidP="00DF521F">
      <w:pPr>
        <w:pStyle w:val="Default"/>
        <w:rPr>
          <w:rFonts w:eastAsia="Times New Roman"/>
        </w:rPr>
      </w:pPr>
      <w:r w:rsidRPr="00D63A08">
        <w:rPr>
          <w:rFonts w:eastAsia="Times New Roman"/>
        </w:rPr>
        <w:t xml:space="preserve">Organizations should be cognizant of these restrictions when developing project proposals as these restrictions will appropriate due diligence of program beneficiaries and collaboration with DRL to ensure compliance with these restrictions.  Program beneficiaries subject to GVHR due diligence vetting will include any individuals who are part of or were formerly </w:t>
      </w:r>
      <w:r w:rsidRPr="00D63A08">
        <w:t xml:space="preserve">part of the government, military, or nongovernmental armed groups.  Program beneficiaries subject to advocating violence due diligence vetting will include any individuals or entities that are beneficiaries of foreign assistance funding or support.  Due diligence vetting will </w:t>
      </w:r>
      <w:r w:rsidRPr="00D63A08">
        <w:rPr>
          <w:rFonts w:eastAsia="Times New Roman"/>
        </w:rPr>
        <w:t>include a review of open source materials, as well as U.S. government vetting of all individuals or entities subject to GVHR due diligence.</w:t>
      </w:r>
      <w:r w:rsidRPr="005B1B41">
        <w:rPr>
          <w:rFonts w:eastAsia="Times New Roman"/>
        </w:rPr>
        <w:t xml:space="preserve"> </w:t>
      </w:r>
    </w:p>
    <w:p w14:paraId="6ABB2B8A" w14:textId="77777777" w:rsidR="00D63A08" w:rsidRDefault="00D63A08">
      <w:pPr>
        <w:spacing w:after="0" w:line="240" w:lineRule="auto"/>
        <w:rPr>
          <w:rFonts w:ascii="Times New Roman" w:eastAsia="Times New Roman" w:hAnsi="Times New Roman" w:cs="Times New Roman"/>
          <w:sz w:val="24"/>
          <w:szCs w:val="24"/>
        </w:rPr>
      </w:pPr>
    </w:p>
    <w:p w14:paraId="65C4AF7E" w14:textId="11404C48"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w:t>
      </w:r>
      <w:r w:rsidRPr="004E3E0C">
        <w:rPr>
          <w:rFonts w:ascii="Times New Roman" w:eastAsia="Times New Roman" w:hAnsi="Times New Roman" w:cs="Times New Roman"/>
          <w:color w:val="auto"/>
          <w:sz w:val="24"/>
          <w:szCs w:val="24"/>
        </w:rPr>
        <w:lastRenderedPageBreak/>
        <w:t xml:space="preserve">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lastRenderedPageBreak/>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F4DC819" w14:textId="77777777" w:rsidR="005328BF" w:rsidRDefault="005328BF" w:rsidP="00863457">
      <w:pPr>
        <w:pStyle w:val="NoSpacing"/>
        <w:rPr>
          <w:rFonts w:ascii="Times New Roman" w:hAnsi="Times New Roman" w:cs="Times New Roman"/>
          <w:color w:val="auto"/>
          <w:sz w:val="24"/>
          <w:szCs w:val="24"/>
          <w:u w:val="single"/>
        </w:rPr>
      </w:pPr>
    </w:p>
    <w:p w14:paraId="360226D9" w14:textId="77777777" w:rsidR="005328BF" w:rsidRDefault="005328BF" w:rsidP="00863457">
      <w:pPr>
        <w:pStyle w:val="NoSpacing"/>
        <w:rPr>
          <w:rFonts w:ascii="Times New Roman" w:hAnsi="Times New Roman" w:cs="Times New Roman"/>
          <w:color w:val="auto"/>
          <w:sz w:val="24"/>
          <w:szCs w:val="24"/>
          <w:u w:val="single"/>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77777777"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50FC69C8" w14:textId="77777777" w:rsidR="00AE506E" w:rsidRPr="00F77180" w:rsidRDefault="00AE506E" w:rsidP="00AE506E">
      <w:pPr>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w:t>
      </w:r>
      <w:r w:rsidRPr="00F77180">
        <w:rPr>
          <w:rFonts w:ascii="Times New Roman" w:hAnsi="Times New Roman" w:cs="Times New Roman"/>
          <w:color w:val="auto"/>
          <w:sz w:val="24"/>
          <w:szCs w:val="24"/>
        </w:rPr>
        <w:lastRenderedPageBreak/>
        <w:t>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77777777" w:rsidR="0057151D" w:rsidRDefault="00AE506E" w:rsidP="00F77180">
      <w:pPr>
        <w:spacing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63B57B37" w14:textId="1E5714E0" w:rsidR="0057151D" w:rsidRDefault="0057151D" w:rsidP="00D63A08">
      <w:pPr>
        <w:spacing w:after="0" w:line="240" w:lineRule="auto"/>
        <w:rPr>
          <w:rFonts w:ascii="Times New Roman" w:hAnsi="Times New Roman" w:cs="Times New Roman"/>
          <w:color w:val="auto"/>
          <w:sz w:val="24"/>
          <w:szCs w:val="24"/>
          <w:highlight w:val="green"/>
        </w:rPr>
      </w:pPr>
      <w:r w:rsidRPr="00D63A08">
        <w:rPr>
          <w:rFonts w:ascii="Times New Roman" w:hAnsi="Times New Roman" w:cs="Times New Roman"/>
          <w:color w:val="auto"/>
          <w:sz w:val="24"/>
          <w:szCs w:val="24"/>
        </w:rPr>
        <w:t>Due to the determination made under the Trafficking Victims Protection Act (TVPA) for FY 2019, certain assistance that benefits the following countries may be subject to a restriction under the TVPA:</w:t>
      </w:r>
      <w:r w:rsidR="00D63A08" w:rsidRPr="00D63A08">
        <w:rPr>
          <w:rFonts w:ascii="Times New Roman" w:hAnsi="Times New Roman" w:cs="Times New Roman"/>
          <w:color w:val="auto"/>
          <w:sz w:val="24"/>
          <w:szCs w:val="24"/>
        </w:rPr>
        <w:t xml:space="preserve"> Burundi, Comoros, DRC, Equatorial Guinea, Gabon, Mauritania, South Sudan, Republic of Congo, Burma, China, Laos, DPRK, Russia, Iran, Syria Bolivia, Venezuela</w:t>
      </w:r>
      <w:r w:rsidRPr="00D63A08">
        <w:rPr>
          <w:rFonts w:ascii="Times New Roman" w:hAnsi="Times New Roman" w:cs="Times New Roman"/>
          <w:color w:val="auto"/>
          <w:sz w:val="24"/>
          <w:szCs w:val="24"/>
        </w:rPr>
        <w:t>.  Because the TVPA restriction applies only to assistance to governments, activities proposed for these countries should not include government beneficiaries.</w:t>
      </w:r>
    </w:p>
    <w:p w14:paraId="0DC8A181" w14:textId="77777777" w:rsidR="00D63A08" w:rsidRPr="00D63A08" w:rsidRDefault="00D63A08" w:rsidP="00D63A08">
      <w:pPr>
        <w:spacing w:after="0" w:line="240" w:lineRule="auto"/>
        <w:rPr>
          <w:rFonts w:ascii="Times New Roman" w:hAnsi="Times New Roman" w:cs="Times New Roman"/>
          <w:color w:val="auto"/>
          <w:sz w:val="24"/>
          <w:szCs w:val="24"/>
          <w:highlight w:val="green"/>
        </w:rPr>
      </w:pPr>
    </w:p>
    <w:p w14:paraId="4444CB9D" w14:textId="77777777" w:rsidR="000D26B1" w:rsidRPr="000D26B1" w:rsidRDefault="00AE506E" w:rsidP="00F77180">
      <w:pPr>
        <w:spacing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26B48D54"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sidR="00D63A08">
        <w:rPr>
          <w:rFonts w:ascii="Times New Roman" w:eastAsia="Times New Roman" w:hAnsi="Times New Roman" w:cs="Times New Roman"/>
          <w:b/>
          <w:sz w:val="24"/>
          <w:szCs w:val="24"/>
        </w:rPr>
        <w:t xml:space="preserve"> </w:t>
      </w:r>
      <w:hyperlink r:id="rId31" w:history="1">
        <w:r w:rsidR="00D63A08" w:rsidRPr="00D63A08">
          <w:rPr>
            <w:rStyle w:val="Hyperlink"/>
            <w:rFonts w:ascii="Times New Roman" w:eastAsia="Times New Roman" w:hAnsi="Times New Roman" w:cs="Times New Roman"/>
            <w:sz w:val="24"/>
            <w:szCs w:val="24"/>
          </w:rPr>
          <w:t>DRLLaborGrants@state.gov</w:t>
        </w:r>
      </w:hyperlink>
      <w:r w:rsidR="00D63A08">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18014C" w:rsidP="00DA36CE">
      <w:pPr>
        <w:pStyle w:val="NoSpacing"/>
      </w:pPr>
      <w:hyperlink r:id="rId33">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lastRenderedPageBreak/>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4"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5"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6">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7">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132E8637"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18014C">
          <w:rPr>
            <w:rFonts w:ascii="Times New Roman" w:hAnsi="Times New Roman" w:cs="Times New Roman"/>
            <w:noProof/>
            <w:sz w:val="24"/>
          </w:rPr>
          <w:t>3</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3F63"/>
    <w:rsid w:val="00095F36"/>
    <w:rsid w:val="000966EC"/>
    <w:rsid w:val="000A1394"/>
    <w:rsid w:val="000A2F2E"/>
    <w:rsid w:val="000A592E"/>
    <w:rsid w:val="000A7586"/>
    <w:rsid w:val="000B4325"/>
    <w:rsid w:val="000B5C07"/>
    <w:rsid w:val="000C0483"/>
    <w:rsid w:val="000C12FA"/>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8014C"/>
    <w:rsid w:val="00190B19"/>
    <w:rsid w:val="00194E41"/>
    <w:rsid w:val="001B2EAC"/>
    <w:rsid w:val="001B36CD"/>
    <w:rsid w:val="001B436C"/>
    <w:rsid w:val="001B509C"/>
    <w:rsid w:val="001B7BFA"/>
    <w:rsid w:val="001D1E2D"/>
    <w:rsid w:val="001E1561"/>
    <w:rsid w:val="00200BA4"/>
    <w:rsid w:val="002052A7"/>
    <w:rsid w:val="002078EA"/>
    <w:rsid w:val="002349F8"/>
    <w:rsid w:val="00235399"/>
    <w:rsid w:val="00237E13"/>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C1039"/>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C5DCC"/>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6C29"/>
    <w:rsid w:val="00710D2F"/>
    <w:rsid w:val="0071577A"/>
    <w:rsid w:val="00732C31"/>
    <w:rsid w:val="0073441D"/>
    <w:rsid w:val="007422E4"/>
    <w:rsid w:val="00744B12"/>
    <w:rsid w:val="007510CE"/>
    <w:rsid w:val="00754E7B"/>
    <w:rsid w:val="00755065"/>
    <w:rsid w:val="00755BE2"/>
    <w:rsid w:val="00760AB9"/>
    <w:rsid w:val="00774BD8"/>
    <w:rsid w:val="00780F46"/>
    <w:rsid w:val="0078635C"/>
    <w:rsid w:val="00794982"/>
    <w:rsid w:val="007B3A35"/>
    <w:rsid w:val="007C6BC0"/>
    <w:rsid w:val="007D0163"/>
    <w:rsid w:val="007D435F"/>
    <w:rsid w:val="007D658D"/>
    <w:rsid w:val="007D6F18"/>
    <w:rsid w:val="007E106C"/>
    <w:rsid w:val="007E33F8"/>
    <w:rsid w:val="007E454F"/>
    <w:rsid w:val="007E68A4"/>
    <w:rsid w:val="007F0A30"/>
    <w:rsid w:val="007F1096"/>
    <w:rsid w:val="008337E3"/>
    <w:rsid w:val="00843562"/>
    <w:rsid w:val="00843769"/>
    <w:rsid w:val="00854673"/>
    <w:rsid w:val="00856B38"/>
    <w:rsid w:val="00863457"/>
    <w:rsid w:val="00871EF3"/>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31AF0"/>
    <w:rsid w:val="00B52C91"/>
    <w:rsid w:val="00B53BCE"/>
    <w:rsid w:val="00B54475"/>
    <w:rsid w:val="00B62E7B"/>
    <w:rsid w:val="00B64551"/>
    <w:rsid w:val="00B70A15"/>
    <w:rsid w:val="00B7128F"/>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63A08"/>
    <w:rsid w:val="00D7136E"/>
    <w:rsid w:val="00D76C67"/>
    <w:rsid w:val="00D83829"/>
    <w:rsid w:val="00D92953"/>
    <w:rsid w:val="00D94EB7"/>
    <w:rsid w:val="00D9639A"/>
    <w:rsid w:val="00DA36CE"/>
    <w:rsid w:val="00DB00C4"/>
    <w:rsid w:val="00DC6FF0"/>
    <w:rsid w:val="00DD59E3"/>
    <w:rsid w:val="00DD72F9"/>
    <w:rsid w:val="00DE5B4D"/>
    <w:rsid w:val="00DE7F64"/>
    <w:rsid w:val="00DF261E"/>
    <w:rsid w:val="00DF4C00"/>
    <w:rsid w:val="00DF521F"/>
    <w:rsid w:val="00E03771"/>
    <w:rsid w:val="00E07E1F"/>
    <w:rsid w:val="00E1217F"/>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D5B4F"/>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DRLLaborGrants@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BFE73-DFB2-4CB7-AB86-10D90358E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20</Pages>
  <Words>9056</Words>
  <Characters>51621</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Hernandez, Veronica</cp:lastModifiedBy>
  <cp:revision>8</cp:revision>
  <cp:lastPrinted>2018-11-19T16:01:00Z</cp:lastPrinted>
  <dcterms:created xsi:type="dcterms:W3CDTF">2019-02-15T14:22:00Z</dcterms:created>
  <dcterms:modified xsi:type="dcterms:W3CDTF">2019-02-21T12:42:00Z</dcterms:modified>
</cp:coreProperties>
</file>