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C69E0" w14:textId="43A5AE50" w:rsidR="00B60D38" w:rsidRPr="00F04D2D" w:rsidRDefault="004A6F79" w:rsidP="004A6F79">
      <w:pPr>
        <w:pStyle w:val="Heading1"/>
      </w:pPr>
      <w:r w:rsidRPr="00F04D2D">
        <w:t>Questions on NOFO</w:t>
      </w:r>
      <w:r w:rsidR="00772F4D" w:rsidRPr="00F04D2D">
        <w:t xml:space="preserve">: </w:t>
      </w:r>
      <w:r w:rsidR="00850D97" w:rsidRPr="00850D97">
        <w:t xml:space="preserve">Building Capacity to Counter Illegal Mining </w:t>
      </w:r>
    </w:p>
    <w:p w14:paraId="5CB68101" w14:textId="6C30F47F" w:rsidR="00772F4D" w:rsidRPr="00F04D2D" w:rsidRDefault="00772F4D" w:rsidP="00772F4D">
      <w:pPr>
        <w:pStyle w:val="Heading2"/>
        <w:rPr>
          <w:rStyle w:val="SubtleEmphasis"/>
          <w:i w:val="0"/>
          <w:iCs w:val="0"/>
          <w:color w:val="365F91" w:themeColor="accent1" w:themeShade="BF"/>
        </w:rPr>
      </w:pPr>
      <w:r w:rsidRPr="00F04D2D">
        <w:rPr>
          <w:rStyle w:val="SubtleEmphasis"/>
          <w:i w:val="0"/>
          <w:iCs w:val="0"/>
          <w:color w:val="365F91" w:themeColor="accent1" w:themeShade="BF"/>
        </w:rPr>
        <w:t xml:space="preserve">Opportunity # </w:t>
      </w:r>
      <w:r w:rsidR="00850D97" w:rsidRPr="005273E8">
        <w:rPr>
          <w:rFonts w:ascii="Times New Roman" w:hAnsi="Times New Roman"/>
          <w:sz w:val="24"/>
          <w:szCs w:val="24"/>
        </w:rPr>
        <w:t>SFOP0006949</w:t>
      </w:r>
    </w:p>
    <w:p w14:paraId="607FD9E7" w14:textId="5845FA52" w:rsidR="004A6F79" w:rsidRPr="00F04D2D" w:rsidRDefault="00850D97">
      <w:pPr>
        <w:rPr>
          <w:rStyle w:val="SubtleEmphasis"/>
        </w:rPr>
      </w:pPr>
      <w:r>
        <w:rPr>
          <w:rStyle w:val="SubtleEmphasis"/>
        </w:rPr>
        <w:t>June 17, 2020</w:t>
      </w:r>
    </w:p>
    <w:p w14:paraId="23D76B41" w14:textId="77777777" w:rsidR="004A6F79" w:rsidRPr="00F04D2D" w:rsidRDefault="004A6F79">
      <w:pPr>
        <w:rPr>
          <w:rStyle w:val="SubtleEmphasis"/>
        </w:rPr>
      </w:pPr>
    </w:p>
    <w:p w14:paraId="406A727C" w14:textId="54CD3C52" w:rsidR="007D2762" w:rsidRPr="003C6B75" w:rsidRDefault="00850D97" w:rsidP="003827F6">
      <w:pPr>
        <w:numPr>
          <w:ilvl w:val="0"/>
          <w:numId w:val="4"/>
        </w:numPr>
        <w:spacing w:before="100" w:beforeAutospacing="1" w:after="100" w:afterAutospacing="1"/>
        <w:jc w:val="both"/>
        <w:rPr>
          <w:rFonts w:eastAsia="Times New Roman"/>
        </w:rPr>
      </w:pPr>
      <w:r w:rsidRPr="00850D97">
        <w:rPr>
          <w:rFonts w:eastAsia="Times New Roman"/>
        </w:rPr>
        <w:t>Can applicants focus on just one area (e.g. West Africa) and not cover Southeast Asia or Mongolia, or must applicants cover both West Africa and Southeast Asia, with Mongolia as an optional third?</w:t>
      </w:r>
    </w:p>
    <w:p w14:paraId="7101953E" w14:textId="131DA203" w:rsidR="00367963" w:rsidRDefault="007D2762" w:rsidP="003827F6">
      <w:pPr>
        <w:pStyle w:val="ListParagraph"/>
        <w:jc w:val="both"/>
        <w:rPr>
          <w:iCs/>
          <w:color w:val="FF0000"/>
        </w:rPr>
      </w:pPr>
      <w:r w:rsidRPr="007D2762">
        <w:rPr>
          <w:rStyle w:val="SubtleEmphasis"/>
          <w:color w:val="FF0000"/>
        </w:rPr>
        <w:t xml:space="preserve">Answer: </w:t>
      </w:r>
      <w:r w:rsidR="00850D97" w:rsidRPr="00850D97">
        <w:rPr>
          <w:iCs/>
          <w:color w:val="FF0000"/>
        </w:rPr>
        <w:t>Applicants can cover one area, they do not need to cover both West Africa and Southeast Asia.</w:t>
      </w:r>
    </w:p>
    <w:p w14:paraId="4E383A84" w14:textId="5E29BDAE" w:rsidR="003C6B75" w:rsidRDefault="003C6B75" w:rsidP="003827F6">
      <w:pPr>
        <w:pStyle w:val="ListParagraph"/>
        <w:jc w:val="both"/>
      </w:pPr>
    </w:p>
    <w:p w14:paraId="025EB35A" w14:textId="04F245F1" w:rsidR="003C6B75" w:rsidRPr="003C6B75" w:rsidRDefault="00850D97" w:rsidP="003827F6">
      <w:pPr>
        <w:pStyle w:val="ListParagraph"/>
        <w:numPr>
          <w:ilvl w:val="0"/>
          <w:numId w:val="4"/>
        </w:numPr>
        <w:contextualSpacing w:val="0"/>
        <w:jc w:val="both"/>
        <w:rPr>
          <w:rStyle w:val="SubtleEmphasis"/>
          <w:i w:val="0"/>
          <w:iCs w:val="0"/>
          <w:color w:val="auto"/>
          <w:sz w:val="20"/>
        </w:rPr>
      </w:pPr>
      <w:r w:rsidRPr="00850D97">
        <w:t>Should applicants focus on one country for capacity-building, or would a regional approach be acceptable?</w:t>
      </w:r>
    </w:p>
    <w:p w14:paraId="33BBE6D9" w14:textId="0303D64B" w:rsidR="003C6B75" w:rsidRDefault="003C6B75" w:rsidP="003827F6">
      <w:pPr>
        <w:jc w:val="both"/>
        <w:rPr>
          <w:rStyle w:val="SubtleEmphasis"/>
          <w:i w:val="0"/>
          <w:color w:val="auto"/>
        </w:rPr>
      </w:pPr>
    </w:p>
    <w:p w14:paraId="5AC7000C" w14:textId="1E71ED08" w:rsidR="003C6B75" w:rsidRDefault="003C6B75" w:rsidP="003827F6">
      <w:pPr>
        <w:pStyle w:val="ListParagraph"/>
        <w:jc w:val="both"/>
        <w:rPr>
          <w:iCs/>
          <w:color w:val="FF0000"/>
        </w:rPr>
      </w:pPr>
      <w:r w:rsidRPr="007D2762">
        <w:rPr>
          <w:rStyle w:val="SubtleEmphasis"/>
          <w:color w:val="FF0000"/>
        </w:rPr>
        <w:t xml:space="preserve">Answer: </w:t>
      </w:r>
      <w:r w:rsidR="00850D97" w:rsidRPr="00850D97">
        <w:rPr>
          <w:iCs/>
          <w:color w:val="FF0000"/>
        </w:rPr>
        <w:t>The intent is for the implementer to identify a country or countries as described in the project goals section of the NOFO; a country or regional approach is acceptable.</w:t>
      </w:r>
    </w:p>
    <w:p w14:paraId="0BF0F323" w14:textId="35AC3046" w:rsidR="00F46064" w:rsidRDefault="00F46064" w:rsidP="003827F6">
      <w:pPr>
        <w:pStyle w:val="ListParagraph"/>
        <w:jc w:val="both"/>
        <w:rPr>
          <w:iCs/>
          <w:color w:val="FF0000"/>
        </w:rPr>
      </w:pPr>
    </w:p>
    <w:p w14:paraId="439A3B69" w14:textId="7DB74517" w:rsidR="00BF4296" w:rsidRPr="00BF4296" w:rsidRDefault="00850D97" w:rsidP="003827F6">
      <w:pPr>
        <w:pStyle w:val="ListParagraph"/>
        <w:numPr>
          <w:ilvl w:val="0"/>
          <w:numId w:val="4"/>
        </w:numPr>
        <w:jc w:val="both"/>
        <w:rPr>
          <w:iCs/>
        </w:rPr>
      </w:pPr>
      <w:r w:rsidRPr="00850D97">
        <w:rPr>
          <w:lang w:val="en-ZA"/>
        </w:rPr>
        <w:t>To what extent should proposals focus on ASM supply chain formalization? I.e., is there a rough percentage of activities that should focus on capacity-building</w:t>
      </w:r>
      <w:r>
        <w:rPr>
          <w:lang w:val="en-ZA"/>
        </w:rPr>
        <w:t xml:space="preserve"> for law </w:t>
      </w:r>
      <w:r w:rsidRPr="00850D97">
        <w:rPr>
          <w:lang w:val="en-ZA"/>
        </w:rPr>
        <w:t>enforcement versus formalization, as these involve would different actors.</w:t>
      </w:r>
    </w:p>
    <w:p w14:paraId="5622596D" w14:textId="165397A5" w:rsidR="00F46064" w:rsidRDefault="00F46064" w:rsidP="003827F6">
      <w:pPr>
        <w:pStyle w:val="ListParagraph"/>
        <w:jc w:val="both"/>
        <w:rPr>
          <w:iCs/>
        </w:rPr>
      </w:pPr>
    </w:p>
    <w:p w14:paraId="5DCE563C" w14:textId="1C9B4124" w:rsidR="00BF4296" w:rsidRDefault="00BF4296" w:rsidP="003827F6">
      <w:pPr>
        <w:pStyle w:val="ListParagraph"/>
        <w:jc w:val="both"/>
        <w:rPr>
          <w:lang w:val="en-ZA"/>
        </w:rPr>
      </w:pPr>
      <w:r w:rsidRPr="007D2762">
        <w:rPr>
          <w:rStyle w:val="SubtleEmphasis"/>
          <w:color w:val="FF0000"/>
        </w:rPr>
        <w:t xml:space="preserve">Answer: </w:t>
      </w:r>
      <w:r w:rsidR="00850D97" w:rsidRPr="00850D97">
        <w:rPr>
          <w:color w:val="FF0000"/>
          <w:lang w:val="en-ZA"/>
        </w:rPr>
        <w:t>There is not a specific percentage of activities that should focus on capacity building versus formalization.  Although we prefer to see a program design that places an emphasis on justice sector capacity building activities, supply chain formalization activities can also be included in proposed programs.</w:t>
      </w:r>
    </w:p>
    <w:p w14:paraId="71C7FEE1" w14:textId="208A0523" w:rsidR="006D0A7E" w:rsidRDefault="006D0A7E" w:rsidP="003827F6">
      <w:pPr>
        <w:pStyle w:val="ListParagraph"/>
        <w:jc w:val="both"/>
        <w:rPr>
          <w:iCs/>
          <w:color w:val="FF0000"/>
        </w:rPr>
      </w:pPr>
    </w:p>
    <w:p w14:paraId="1B48FB9D" w14:textId="00136B07" w:rsidR="006D0A7E" w:rsidRPr="00850D97" w:rsidRDefault="00850D97" w:rsidP="003827F6">
      <w:pPr>
        <w:numPr>
          <w:ilvl w:val="0"/>
          <w:numId w:val="4"/>
        </w:numPr>
        <w:spacing w:after="160" w:line="252" w:lineRule="auto"/>
        <w:contextualSpacing/>
        <w:jc w:val="both"/>
        <w:rPr>
          <w:color w:val="000000"/>
          <w:sz w:val="22"/>
        </w:rPr>
      </w:pPr>
      <w:r w:rsidRPr="00850D97">
        <w:rPr>
          <w:color w:val="000000"/>
        </w:rPr>
        <w:t>For the purposes of this program, can Papua New Guinea be considered as part of South east Asia?</w:t>
      </w:r>
    </w:p>
    <w:p w14:paraId="03FD9F06" w14:textId="77777777" w:rsidR="00850D97" w:rsidRDefault="00850D97" w:rsidP="003827F6">
      <w:pPr>
        <w:spacing w:after="160" w:line="252" w:lineRule="auto"/>
        <w:ind w:left="720"/>
        <w:contextualSpacing/>
        <w:jc w:val="both"/>
        <w:rPr>
          <w:color w:val="000000"/>
          <w:sz w:val="22"/>
        </w:rPr>
      </w:pPr>
      <w:bookmarkStart w:id="0" w:name="_GoBack"/>
      <w:bookmarkEnd w:id="0"/>
    </w:p>
    <w:p w14:paraId="27BFE5BE" w14:textId="7544D804" w:rsidR="006D0A7E" w:rsidRDefault="00850D97" w:rsidP="003827F6">
      <w:pPr>
        <w:spacing w:after="160" w:line="252" w:lineRule="auto"/>
        <w:ind w:left="720"/>
        <w:contextualSpacing/>
        <w:jc w:val="both"/>
        <w:rPr>
          <w:color w:val="FF0000"/>
        </w:rPr>
      </w:pPr>
      <w:r w:rsidRPr="00850D97">
        <w:rPr>
          <w:i/>
          <w:color w:val="FF0000"/>
        </w:rPr>
        <w:t>Answer</w:t>
      </w:r>
      <w:r w:rsidR="006D0A7E" w:rsidRPr="00850D97">
        <w:rPr>
          <w:i/>
          <w:color w:val="FF0000"/>
        </w:rPr>
        <w:t>:</w:t>
      </w:r>
      <w:r w:rsidR="006D0A7E">
        <w:rPr>
          <w:color w:val="FF0000"/>
        </w:rPr>
        <w:t xml:space="preserve"> </w:t>
      </w:r>
      <w:r w:rsidRPr="00850D97">
        <w:rPr>
          <w:color w:val="FF0000"/>
        </w:rPr>
        <w:t>Yes, Papua New Guinea can be considered part of Southeast Asia.</w:t>
      </w:r>
    </w:p>
    <w:p w14:paraId="6D201121" w14:textId="023E1827" w:rsidR="00CC2E32" w:rsidRDefault="00CC2E32" w:rsidP="003827F6">
      <w:pPr>
        <w:spacing w:after="160" w:line="252" w:lineRule="auto"/>
        <w:ind w:left="720"/>
        <w:contextualSpacing/>
        <w:jc w:val="both"/>
        <w:rPr>
          <w:color w:val="FF0000"/>
        </w:rPr>
      </w:pPr>
    </w:p>
    <w:p w14:paraId="555DE821" w14:textId="18A8C71A" w:rsidR="00CC2E32" w:rsidRPr="00850D97" w:rsidRDefault="00CC2E32" w:rsidP="00CC2E32">
      <w:pPr>
        <w:numPr>
          <w:ilvl w:val="0"/>
          <w:numId w:val="4"/>
        </w:numPr>
        <w:spacing w:after="160" w:line="252" w:lineRule="auto"/>
        <w:contextualSpacing/>
        <w:jc w:val="both"/>
        <w:rPr>
          <w:color w:val="000000"/>
          <w:sz w:val="22"/>
        </w:rPr>
      </w:pPr>
      <w:r w:rsidRPr="00CC2E32">
        <w:rPr>
          <w:color w:val="000000"/>
        </w:rPr>
        <w:t>Can INL please confirm our understanding that for-profit companies are eligible to bid as subs, provided that no fee or profit is included?</w:t>
      </w:r>
    </w:p>
    <w:p w14:paraId="0E9F163A" w14:textId="77777777" w:rsidR="00CC2E32" w:rsidRDefault="00CC2E32" w:rsidP="00CC2E32">
      <w:pPr>
        <w:spacing w:after="160" w:line="252" w:lineRule="auto"/>
        <w:ind w:left="720"/>
        <w:contextualSpacing/>
        <w:jc w:val="both"/>
        <w:rPr>
          <w:color w:val="000000"/>
          <w:sz w:val="22"/>
        </w:rPr>
      </w:pPr>
    </w:p>
    <w:p w14:paraId="0824798E" w14:textId="603054A3" w:rsidR="00CC2E32" w:rsidRDefault="00CC2E32" w:rsidP="00CC2E32">
      <w:pPr>
        <w:spacing w:after="160" w:line="252" w:lineRule="auto"/>
        <w:ind w:left="720"/>
        <w:contextualSpacing/>
        <w:jc w:val="both"/>
        <w:rPr>
          <w:color w:val="FF0000"/>
        </w:rPr>
      </w:pPr>
      <w:r w:rsidRPr="00850D97">
        <w:rPr>
          <w:i/>
          <w:color w:val="FF0000"/>
        </w:rPr>
        <w:t>Answer:</w:t>
      </w:r>
      <w:r>
        <w:rPr>
          <w:color w:val="FF0000"/>
        </w:rPr>
        <w:t xml:space="preserve"> </w:t>
      </w:r>
      <w:r w:rsidRPr="00CC2E32">
        <w:rPr>
          <w:color w:val="FF0000"/>
        </w:rPr>
        <w:t>For-profit companies are not eligible to bid as subs or any capacity for this NOFO</w:t>
      </w:r>
      <w:r w:rsidRPr="00850D97">
        <w:rPr>
          <w:color w:val="FF0000"/>
        </w:rPr>
        <w:t>.</w:t>
      </w:r>
    </w:p>
    <w:p w14:paraId="233138B5" w14:textId="77777777" w:rsidR="00CC2E32" w:rsidRDefault="00CC2E32" w:rsidP="003827F6">
      <w:pPr>
        <w:spacing w:after="160" w:line="252" w:lineRule="auto"/>
        <w:ind w:left="720"/>
        <w:contextualSpacing/>
        <w:jc w:val="both"/>
        <w:rPr>
          <w:color w:val="FF0000"/>
        </w:rPr>
      </w:pPr>
    </w:p>
    <w:p w14:paraId="69F3CBE1" w14:textId="77777777" w:rsidR="006D0A7E" w:rsidRPr="006D0A7E" w:rsidRDefault="006D0A7E" w:rsidP="006D0A7E">
      <w:pPr>
        <w:pStyle w:val="ListParagraph"/>
        <w:jc w:val="both"/>
        <w:rPr>
          <w:iCs/>
          <w:color w:val="FF0000"/>
        </w:rPr>
      </w:pPr>
    </w:p>
    <w:p w14:paraId="1FED5442" w14:textId="77777777" w:rsidR="00BF4296" w:rsidRDefault="00BF4296" w:rsidP="00BF4296">
      <w:pPr>
        <w:pStyle w:val="ListParagraph"/>
        <w:jc w:val="both"/>
        <w:rPr>
          <w:iCs/>
          <w:color w:val="FF0000"/>
        </w:rPr>
      </w:pPr>
    </w:p>
    <w:p w14:paraId="45409CAA" w14:textId="77777777" w:rsidR="003C6B75" w:rsidRPr="003C6B75" w:rsidRDefault="003C6B75" w:rsidP="003C6B75">
      <w:pPr>
        <w:jc w:val="both"/>
        <w:rPr>
          <w:rStyle w:val="SubtleEmphasis"/>
          <w:i w:val="0"/>
          <w:color w:val="auto"/>
        </w:rPr>
      </w:pPr>
    </w:p>
    <w:sectPr w:rsidR="003C6B75" w:rsidRPr="003C6B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1E451" w14:textId="77777777" w:rsidR="007D2762" w:rsidRDefault="007D2762" w:rsidP="007D2762">
      <w:r>
        <w:separator/>
      </w:r>
    </w:p>
  </w:endnote>
  <w:endnote w:type="continuationSeparator" w:id="0">
    <w:p w14:paraId="3094A5B0" w14:textId="77777777" w:rsidR="007D2762" w:rsidRDefault="007D2762" w:rsidP="007D2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67469" w14:textId="77777777" w:rsidR="007D2762" w:rsidRDefault="007D2762" w:rsidP="007D2762">
      <w:r>
        <w:separator/>
      </w:r>
    </w:p>
  </w:footnote>
  <w:footnote w:type="continuationSeparator" w:id="0">
    <w:p w14:paraId="3759E474" w14:textId="77777777" w:rsidR="007D2762" w:rsidRDefault="007D2762" w:rsidP="007D2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602D0"/>
    <w:multiLevelType w:val="hybridMultilevel"/>
    <w:tmpl w:val="06C627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F35F62"/>
    <w:multiLevelType w:val="hybridMultilevel"/>
    <w:tmpl w:val="38B87776"/>
    <w:lvl w:ilvl="0" w:tplc="6A8840E4">
      <w:start w:val="1"/>
      <w:numFmt w:val="decimal"/>
      <w:lvlText w:val="%1."/>
      <w:lvlJc w:val="left"/>
      <w:pPr>
        <w:ind w:left="360" w:hanging="360"/>
      </w:pPr>
      <w:rPr>
        <w:i w:val="0"/>
        <w:color w:val="000000" w:themeColor="text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7BE6622"/>
    <w:multiLevelType w:val="hybridMultilevel"/>
    <w:tmpl w:val="322AEA1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3016C0"/>
    <w:multiLevelType w:val="multilevel"/>
    <w:tmpl w:val="1522125C"/>
    <w:lvl w:ilvl="0">
      <w:start w:val="1"/>
      <w:numFmt w:val="decimal"/>
      <w:lvlText w:val="%1."/>
      <w:lvlJc w:val="left"/>
      <w:pPr>
        <w:tabs>
          <w:tab w:val="num" w:pos="720"/>
        </w:tabs>
        <w:ind w:left="720" w:hanging="360"/>
      </w:pPr>
      <w:rPr>
        <w:rFonts w:hint="default"/>
        <w:color w:val="auto"/>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3B1E7B"/>
    <w:multiLevelType w:val="hybridMultilevel"/>
    <w:tmpl w:val="145666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51365A"/>
    <w:multiLevelType w:val="hybridMultilevel"/>
    <w:tmpl w:val="A712CD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C490473"/>
    <w:multiLevelType w:val="hybridMultilevel"/>
    <w:tmpl w:val="617AE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682600"/>
    <w:multiLevelType w:val="hybridMultilevel"/>
    <w:tmpl w:val="F7566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EB65606"/>
    <w:multiLevelType w:val="hybridMultilevel"/>
    <w:tmpl w:val="5404A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77756D"/>
    <w:multiLevelType w:val="hybridMultilevel"/>
    <w:tmpl w:val="699C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56180C"/>
    <w:multiLevelType w:val="multilevel"/>
    <w:tmpl w:val="1522125C"/>
    <w:lvl w:ilvl="0">
      <w:start w:val="1"/>
      <w:numFmt w:val="decimal"/>
      <w:lvlText w:val="%1."/>
      <w:lvlJc w:val="left"/>
      <w:pPr>
        <w:tabs>
          <w:tab w:val="num" w:pos="720"/>
        </w:tabs>
        <w:ind w:left="720" w:hanging="360"/>
      </w:pPr>
      <w:rPr>
        <w:rFonts w:hint="default"/>
        <w:color w:val="auto"/>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7"/>
  </w:num>
  <w:num w:numId="7">
    <w:abstractNumId w:val="7"/>
  </w:num>
  <w:num w:numId="8">
    <w:abstractNumId w:val="0"/>
  </w:num>
  <w:num w:numId="9">
    <w:abstractNumId w:val="4"/>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79"/>
    <w:rsid w:val="0014605D"/>
    <w:rsid w:val="0016243E"/>
    <w:rsid w:val="00195B74"/>
    <w:rsid w:val="001A0C87"/>
    <w:rsid w:val="001D35CC"/>
    <w:rsid w:val="00245544"/>
    <w:rsid w:val="0028033A"/>
    <w:rsid w:val="002F3B8E"/>
    <w:rsid w:val="00322C90"/>
    <w:rsid w:val="00367963"/>
    <w:rsid w:val="00377C2B"/>
    <w:rsid w:val="003827F6"/>
    <w:rsid w:val="00386E5E"/>
    <w:rsid w:val="003C6B75"/>
    <w:rsid w:val="0044025E"/>
    <w:rsid w:val="00474D54"/>
    <w:rsid w:val="00484B56"/>
    <w:rsid w:val="004A6F79"/>
    <w:rsid w:val="00590395"/>
    <w:rsid w:val="005E49A5"/>
    <w:rsid w:val="005F069F"/>
    <w:rsid w:val="0061174F"/>
    <w:rsid w:val="0066714E"/>
    <w:rsid w:val="006D0A7E"/>
    <w:rsid w:val="0074544A"/>
    <w:rsid w:val="0075154F"/>
    <w:rsid w:val="00756BE0"/>
    <w:rsid w:val="007638D1"/>
    <w:rsid w:val="00772F4D"/>
    <w:rsid w:val="007A1A97"/>
    <w:rsid w:val="007D2762"/>
    <w:rsid w:val="007D6619"/>
    <w:rsid w:val="007E3134"/>
    <w:rsid w:val="007E7930"/>
    <w:rsid w:val="00847BC3"/>
    <w:rsid w:val="00850D97"/>
    <w:rsid w:val="00856C5C"/>
    <w:rsid w:val="00955010"/>
    <w:rsid w:val="009E1A22"/>
    <w:rsid w:val="00AE108D"/>
    <w:rsid w:val="00B71569"/>
    <w:rsid w:val="00BB7EE1"/>
    <w:rsid w:val="00BF4296"/>
    <w:rsid w:val="00BF7897"/>
    <w:rsid w:val="00C05589"/>
    <w:rsid w:val="00C21538"/>
    <w:rsid w:val="00C644B7"/>
    <w:rsid w:val="00CC2E32"/>
    <w:rsid w:val="00CE18B6"/>
    <w:rsid w:val="00D21BF3"/>
    <w:rsid w:val="00D6061E"/>
    <w:rsid w:val="00DB57A4"/>
    <w:rsid w:val="00DB6417"/>
    <w:rsid w:val="00E02C38"/>
    <w:rsid w:val="00EE1209"/>
    <w:rsid w:val="00F04D2D"/>
    <w:rsid w:val="00F32CFD"/>
    <w:rsid w:val="00F46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354307"/>
  <w15:chartTrackingRefBased/>
  <w15:docId w15:val="{BD53B8AE-3B1D-443C-8454-51C6CFDE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7A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A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2F4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79"/>
    <w:rPr>
      <w:rFonts w:asciiTheme="majorHAnsi" w:eastAsiaTheme="majorEastAsia" w:hAnsiTheme="majorHAnsi" w:cstheme="majorBidi"/>
      <w:color w:val="365F91" w:themeColor="accent1" w:themeShade="BF"/>
      <w:sz w:val="32"/>
      <w:szCs w:val="32"/>
    </w:rPr>
  </w:style>
  <w:style w:type="character" w:styleId="SubtleEmphasis">
    <w:name w:val="Subtle Emphasis"/>
    <w:basedOn w:val="DefaultParagraphFont"/>
    <w:uiPriority w:val="19"/>
    <w:qFormat/>
    <w:rsid w:val="004A6F79"/>
    <w:rPr>
      <w:i/>
      <w:iCs/>
      <w:color w:val="404040" w:themeColor="text1" w:themeTint="BF"/>
    </w:rPr>
  </w:style>
  <w:style w:type="paragraph" w:styleId="ListParagraph">
    <w:name w:val="List Paragraph"/>
    <w:basedOn w:val="Normal"/>
    <w:link w:val="ListParagraphChar"/>
    <w:uiPriority w:val="34"/>
    <w:qFormat/>
    <w:rsid w:val="004A6F79"/>
    <w:pPr>
      <w:ind w:left="720"/>
      <w:contextualSpacing/>
    </w:pPr>
  </w:style>
  <w:style w:type="character" w:customStyle="1" w:styleId="Heading2Char">
    <w:name w:val="Heading 2 Char"/>
    <w:basedOn w:val="DefaultParagraphFont"/>
    <w:link w:val="Heading2"/>
    <w:uiPriority w:val="9"/>
    <w:rsid w:val="00772F4D"/>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322C90"/>
    <w:rPr>
      <w:sz w:val="16"/>
      <w:szCs w:val="16"/>
    </w:rPr>
  </w:style>
  <w:style w:type="paragraph" w:styleId="CommentText">
    <w:name w:val="annotation text"/>
    <w:basedOn w:val="Normal"/>
    <w:link w:val="CommentTextChar"/>
    <w:uiPriority w:val="99"/>
    <w:semiHidden/>
    <w:unhideWhenUsed/>
    <w:rsid w:val="00322C90"/>
    <w:rPr>
      <w:sz w:val="20"/>
      <w:szCs w:val="20"/>
    </w:rPr>
  </w:style>
  <w:style w:type="character" w:customStyle="1" w:styleId="CommentTextChar">
    <w:name w:val="Comment Text Char"/>
    <w:basedOn w:val="DefaultParagraphFont"/>
    <w:link w:val="CommentText"/>
    <w:uiPriority w:val="99"/>
    <w:semiHidden/>
    <w:rsid w:val="00322C9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22C90"/>
    <w:rPr>
      <w:b/>
      <w:bCs/>
    </w:rPr>
  </w:style>
  <w:style w:type="character" w:customStyle="1" w:styleId="CommentSubjectChar">
    <w:name w:val="Comment Subject Char"/>
    <w:basedOn w:val="CommentTextChar"/>
    <w:link w:val="CommentSubject"/>
    <w:uiPriority w:val="99"/>
    <w:semiHidden/>
    <w:rsid w:val="00322C90"/>
    <w:rPr>
      <w:rFonts w:ascii="Times New Roman" w:hAnsi="Times New Roman"/>
      <w:b/>
      <w:bCs/>
      <w:sz w:val="20"/>
      <w:szCs w:val="20"/>
    </w:rPr>
  </w:style>
  <w:style w:type="paragraph" w:styleId="BalloonText">
    <w:name w:val="Balloon Text"/>
    <w:basedOn w:val="Normal"/>
    <w:link w:val="BalloonTextChar"/>
    <w:uiPriority w:val="99"/>
    <w:semiHidden/>
    <w:unhideWhenUsed/>
    <w:rsid w:val="00322C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90"/>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3C6B75"/>
    <w:rPr>
      <w:rFonts w:ascii="Times New Roman" w:hAnsi="Times New Roman"/>
      <w:sz w:val="24"/>
    </w:rPr>
  </w:style>
  <w:style w:type="paragraph" w:styleId="NoSpacing">
    <w:name w:val="No Spacing"/>
    <w:uiPriority w:val="1"/>
    <w:qFormat/>
    <w:rsid w:val="00850D9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06317">
      <w:bodyDiv w:val="1"/>
      <w:marLeft w:val="0"/>
      <w:marRight w:val="0"/>
      <w:marTop w:val="0"/>
      <w:marBottom w:val="0"/>
      <w:divBdr>
        <w:top w:val="none" w:sz="0" w:space="0" w:color="auto"/>
        <w:left w:val="none" w:sz="0" w:space="0" w:color="auto"/>
        <w:bottom w:val="none" w:sz="0" w:space="0" w:color="auto"/>
        <w:right w:val="none" w:sz="0" w:space="0" w:color="auto"/>
      </w:divBdr>
    </w:div>
    <w:div w:id="1024786827">
      <w:bodyDiv w:val="1"/>
      <w:marLeft w:val="0"/>
      <w:marRight w:val="0"/>
      <w:marTop w:val="0"/>
      <w:marBottom w:val="0"/>
      <w:divBdr>
        <w:top w:val="none" w:sz="0" w:space="0" w:color="auto"/>
        <w:left w:val="none" w:sz="0" w:space="0" w:color="auto"/>
        <w:bottom w:val="none" w:sz="0" w:space="0" w:color="auto"/>
        <w:right w:val="none" w:sz="0" w:space="0" w:color="auto"/>
      </w:divBdr>
    </w:div>
    <w:div w:id="1564681108">
      <w:bodyDiv w:val="1"/>
      <w:marLeft w:val="0"/>
      <w:marRight w:val="0"/>
      <w:marTop w:val="0"/>
      <w:marBottom w:val="0"/>
      <w:divBdr>
        <w:top w:val="none" w:sz="0" w:space="0" w:color="auto"/>
        <w:left w:val="none" w:sz="0" w:space="0" w:color="auto"/>
        <w:bottom w:val="none" w:sz="0" w:space="0" w:color="auto"/>
        <w:right w:val="none" w:sz="0" w:space="0" w:color="auto"/>
      </w:divBdr>
    </w:div>
    <w:div w:id="1699429111">
      <w:bodyDiv w:val="1"/>
      <w:marLeft w:val="0"/>
      <w:marRight w:val="0"/>
      <w:marTop w:val="0"/>
      <w:marBottom w:val="0"/>
      <w:divBdr>
        <w:top w:val="none" w:sz="0" w:space="0" w:color="auto"/>
        <w:left w:val="none" w:sz="0" w:space="0" w:color="auto"/>
        <w:bottom w:val="none" w:sz="0" w:space="0" w:color="auto"/>
        <w:right w:val="none" w:sz="0" w:space="0" w:color="auto"/>
      </w:divBdr>
    </w:div>
    <w:div w:id="177859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Catherwood, Leslie H</dc:creator>
  <cp:keywords/>
  <dc:description/>
  <cp:lastModifiedBy>Washington, Najar D</cp:lastModifiedBy>
  <cp:revision>2</cp:revision>
  <dcterms:created xsi:type="dcterms:W3CDTF">2020-06-23T22:35:00Z</dcterms:created>
  <dcterms:modified xsi:type="dcterms:W3CDTF">2020-06-23T22:35:00Z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WashingtonND@state.gov</vt:lpwstr>
  </property>
  <property fmtid="{D5CDD505-2E9C-101B-9397-08002B2CF9AE}" pid="5" name="MSIP_Label_1665d9ee-429a-4d5f-97cc-cfb56e044a6e_SetDate">
    <vt:lpwstr>2020-03-17T20:42:37.4170530Z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e7303280-8b60-440b-959c-bf8ed3ecd6cf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