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277E" w14:textId="6619AAC4" w:rsidR="003950AD" w:rsidRPr="003950AD" w:rsidRDefault="003950AD" w:rsidP="003950AD">
      <w:r w:rsidRPr="003950AD">
        <w:rPr>
          <w:b/>
          <w:bCs/>
        </w:rPr>
        <w:t>Question</w:t>
      </w:r>
      <w:r w:rsidRPr="003950AD">
        <w:t>: Can you provide clarification for what jurisdiction characteristics or factors will be considered when determining a jurisdiction competitiveness? Also, will each component’s application be considered independently if applying to multiple components, or should a jurisdiction prioritize a single component when applying?</w:t>
      </w:r>
    </w:p>
    <w:p w14:paraId="2F82A99C" w14:textId="7AECB647" w:rsidR="003950AD" w:rsidRPr="003950AD" w:rsidRDefault="003950AD" w:rsidP="003950AD">
      <w:r w:rsidRPr="003950AD">
        <w:rPr>
          <w:b/>
          <w:bCs/>
        </w:rPr>
        <w:t>Answer</w:t>
      </w:r>
      <w:r w:rsidRPr="003950AD">
        <w:t xml:space="preserve">: Being competitive for the award depends on the proposed activities and how well they fit the logic model for each component in the NOFO. Independent agencies can apply separately, even if they are in the same state. They’d need to describe how the activities they propose are not duplicative. In general, Component A is intended for Chagas disease activities, while component C is for </w:t>
      </w:r>
      <w:proofErr w:type="gramStart"/>
      <w:r w:rsidRPr="003950AD">
        <w:t>other</w:t>
      </w:r>
      <w:proofErr w:type="gramEnd"/>
      <w:r w:rsidRPr="003950AD">
        <w:t xml:space="preserve"> for other parasitic diseases of public health importance in the US</w:t>
      </w:r>
    </w:p>
    <w:p w14:paraId="463C1CC0" w14:textId="77777777" w:rsidR="003950AD" w:rsidRDefault="003950AD" w:rsidP="003950AD">
      <w:r w:rsidRPr="003950AD">
        <w:rPr>
          <w:b/>
          <w:bCs/>
        </w:rPr>
        <w:t>Question</w:t>
      </w:r>
      <w:r w:rsidRPr="003950AD">
        <w:t xml:space="preserve">: Could a Department of Health apply to request an epidemiologist that would be able to coordinate activities such as conducting </w:t>
      </w:r>
      <w:proofErr w:type="gramStart"/>
      <w:r w:rsidRPr="003950AD">
        <w:t>trainings</w:t>
      </w:r>
      <w:proofErr w:type="gramEnd"/>
      <w:r w:rsidRPr="003950AD">
        <w:t xml:space="preserve"> and webinars for healthcare providers, developing and disseminating culturally appropriate educational resources for patients and at-risk </w:t>
      </w:r>
      <w:r w:rsidRPr="003950AD">
        <w:t>communities, supporting</w:t>
      </w:r>
      <w:r w:rsidRPr="003950AD">
        <w:t xml:space="preserve"> implementation of congenital Chagas disease screening programs and strengthening capacity for Chagas disease diagnosis and management?</w:t>
      </w:r>
    </w:p>
    <w:p w14:paraId="30B9CFAA" w14:textId="6EEBFCE2" w:rsidR="00273167" w:rsidRDefault="003950AD">
      <w:r w:rsidRPr="003950AD">
        <w:br/>
      </w:r>
      <w:r w:rsidRPr="003950AD">
        <w:rPr>
          <w:b/>
          <w:bCs/>
        </w:rPr>
        <w:t>Answer</w:t>
      </w:r>
      <w:r w:rsidRPr="003950AD">
        <w:t>: All these activities would be an appropriate scope for component A in the NOFO</w:t>
      </w:r>
    </w:p>
    <w:p w14:paraId="42799A54" w14:textId="77777777" w:rsidR="003950AD" w:rsidRDefault="003950AD"/>
    <w:p w14:paraId="6927BFA2" w14:textId="77777777" w:rsidR="003950AD" w:rsidRPr="003950AD" w:rsidRDefault="003950AD" w:rsidP="003950AD">
      <w:r w:rsidRPr="003950AD">
        <w:rPr>
          <w:b/>
          <w:bCs/>
        </w:rPr>
        <w:t>Question</w:t>
      </w:r>
      <w:r w:rsidRPr="003950AD">
        <w:t>: Would developing the US clinical practice guidelines for Chagas disease and disseminating them to US health care providers be considered in scope for this NOFO?</w:t>
      </w:r>
    </w:p>
    <w:p w14:paraId="70079BAC" w14:textId="77777777" w:rsidR="003950AD" w:rsidRDefault="003950AD" w:rsidP="003950AD">
      <w:r w:rsidRPr="003950AD">
        <w:rPr>
          <w:b/>
          <w:bCs/>
        </w:rPr>
        <w:t>Answer</w:t>
      </w:r>
      <w:r w:rsidRPr="003950AD">
        <w:t>: Yes, these activities would be in line with activities in the COAG logic model for Component A – activity A1.1 and strategy 1.1</w:t>
      </w:r>
    </w:p>
    <w:p w14:paraId="696CEBFB" w14:textId="0E085092" w:rsidR="003950AD" w:rsidRPr="003950AD" w:rsidRDefault="003950AD" w:rsidP="003950AD">
      <w:r w:rsidRPr="003950AD">
        <w:br/>
      </w:r>
      <w:r w:rsidRPr="003950AD">
        <w:rPr>
          <w:b/>
          <w:bCs/>
        </w:rPr>
        <w:t>Question</w:t>
      </w:r>
      <w:r w:rsidRPr="003950AD">
        <w:t xml:space="preserve">:  Would the CDC consider banking specimens to be “research” and thus out of scope for this NOFO? </w:t>
      </w:r>
    </w:p>
    <w:p w14:paraId="12A5E337" w14:textId="77777777" w:rsidR="003950AD" w:rsidRPr="003950AD" w:rsidRDefault="003950AD" w:rsidP="003950AD">
      <w:r w:rsidRPr="003950AD">
        <w:rPr>
          <w:b/>
          <w:bCs/>
        </w:rPr>
        <w:t>Answer</w:t>
      </w:r>
      <w:r w:rsidRPr="003950AD">
        <w:t>: The collection and use of a specimen bank for the evaluation of an existing diagnostic algorithm component of a screening program, as part of program evaluation and not research, would be in scope for this NOFO</w:t>
      </w:r>
    </w:p>
    <w:p w14:paraId="02B1F0D6" w14:textId="77777777" w:rsidR="003950AD" w:rsidRDefault="003950AD"/>
    <w:sectPr w:rsidR="0039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AD"/>
    <w:rsid w:val="00273167"/>
    <w:rsid w:val="003950AD"/>
    <w:rsid w:val="00735A97"/>
    <w:rsid w:val="00C5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4B77"/>
  <w15:chartTrackingRefBased/>
  <w15:docId w15:val="{EC32AE0B-7E73-43C9-BB8E-82A5068C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0AD"/>
    <w:rPr>
      <w:rFonts w:eastAsiaTheme="majorEastAsia" w:cstheme="majorBidi"/>
      <w:color w:val="272727" w:themeColor="text1" w:themeTint="D8"/>
    </w:rPr>
  </w:style>
  <w:style w:type="paragraph" w:styleId="Title">
    <w:name w:val="Title"/>
    <w:basedOn w:val="Normal"/>
    <w:next w:val="Normal"/>
    <w:link w:val="TitleChar"/>
    <w:uiPriority w:val="10"/>
    <w:qFormat/>
    <w:rsid w:val="00395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0AD"/>
    <w:pPr>
      <w:spacing w:before="160"/>
      <w:jc w:val="center"/>
    </w:pPr>
    <w:rPr>
      <w:i/>
      <w:iCs/>
      <w:color w:val="404040" w:themeColor="text1" w:themeTint="BF"/>
    </w:rPr>
  </w:style>
  <w:style w:type="character" w:customStyle="1" w:styleId="QuoteChar">
    <w:name w:val="Quote Char"/>
    <w:basedOn w:val="DefaultParagraphFont"/>
    <w:link w:val="Quote"/>
    <w:uiPriority w:val="29"/>
    <w:rsid w:val="003950AD"/>
    <w:rPr>
      <w:i/>
      <w:iCs/>
      <w:color w:val="404040" w:themeColor="text1" w:themeTint="BF"/>
    </w:rPr>
  </w:style>
  <w:style w:type="paragraph" w:styleId="ListParagraph">
    <w:name w:val="List Paragraph"/>
    <w:basedOn w:val="Normal"/>
    <w:uiPriority w:val="34"/>
    <w:qFormat/>
    <w:rsid w:val="003950AD"/>
    <w:pPr>
      <w:ind w:left="720"/>
      <w:contextualSpacing/>
    </w:pPr>
  </w:style>
  <w:style w:type="character" w:styleId="IntenseEmphasis">
    <w:name w:val="Intense Emphasis"/>
    <w:basedOn w:val="DefaultParagraphFont"/>
    <w:uiPriority w:val="21"/>
    <w:qFormat/>
    <w:rsid w:val="003950AD"/>
    <w:rPr>
      <w:i/>
      <w:iCs/>
      <w:color w:val="2F5496" w:themeColor="accent1" w:themeShade="BF"/>
    </w:rPr>
  </w:style>
  <w:style w:type="paragraph" w:styleId="IntenseQuote">
    <w:name w:val="Intense Quote"/>
    <w:basedOn w:val="Normal"/>
    <w:next w:val="Normal"/>
    <w:link w:val="IntenseQuoteChar"/>
    <w:uiPriority w:val="30"/>
    <w:qFormat/>
    <w:rsid w:val="00395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0AD"/>
    <w:rPr>
      <w:i/>
      <w:iCs/>
      <w:color w:val="2F5496" w:themeColor="accent1" w:themeShade="BF"/>
    </w:rPr>
  </w:style>
  <w:style w:type="character" w:styleId="IntenseReference">
    <w:name w:val="Intense Reference"/>
    <w:basedOn w:val="DefaultParagraphFont"/>
    <w:uiPriority w:val="32"/>
    <w:qFormat/>
    <w:rsid w:val="00395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1684</Characters>
  <Application>Microsoft Office Word</Application>
  <DocSecurity>0</DocSecurity>
  <Lines>28</Lines>
  <Paragraphs>6</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Choice, Rodriquez (Jamal) (CDC/NCEZID/DPDM/PDB)</dc:creator>
  <cp:keywords/>
  <dc:description/>
  <cp:lastModifiedBy>Choice, Rodriquez (Jamal) (CDC/NCEZID/DPDM/PDB)</cp:lastModifiedBy>
  <cp:revision>2</cp:revision>
  <dcterms:created xsi:type="dcterms:W3CDTF">2026-06-23T18:25:00Z</dcterms:created>
  <dcterms:modified xsi:type="dcterms:W3CDTF">2026-06-23T18:25:00Z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2026-06-23T18:12:34Z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93ccf291-9226-4bd4-b083-6b972896176e</vt:lpwstr>
  </property>
  <property fmtid="{D5CDD505-2E9C-101B-9397-08002B2CF9AE}" pid="8" name="MSIP_Label_8af03ff0-41c5-4c41-b55e-fabb8fae94be_ContentBits">
    <vt:lpwstr>0</vt:lpwstr>
  </property>
  <property fmtid="{D5CDD505-2E9C-101B-9397-08002B2CF9AE}" pid="9" name="MSIP_Label_8af03ff0-41c5-4c41-b55e-fabb8fae94be_Tag">
    <vt:lpwstr>10, 0, 1, 1</vt:lpwstr>
  </property>
</Properties>
</file>