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20CA89" w14:textId="77777777" w:rsidR="00F0013C" w:rsidRDefault="00F0013C" w:rsidP="00207AA9">
      <w:pPr>
        <w:shd w:val="clear" w:color="auto" w:fill="FFFFFF"/>
      </w:pPr>
    </w:p>
    <w:p w14:paraId="69D374C3" w14:textId="073A90F8" w:rsidR="00F0013C" w:rsidRPr="00077699" w:rsidRDefault="00224092" w:rsidP="00207AA9">
      <w:pPr>
        <w:shd w:val="clear" w:color="auto" w:fill="FFFFFF"/>
      </w:pPr>
      <w:r w:rsidRPr="000909E5">
        <w:rPr>
          <w:b/>
          <w:bCs/>
        </w:rPr>
        <w:t>RFA-</w:t>
      </w:r>
      <w:r w:rsidR="00F0013C" w:rsidRPr="000909E5">
        <w:rPr>
          <w:b/>
          <w:bCs/>
        </w:rPr>
        <w:t>JG</w:t>
      </w:r>
      <w:r w:rsidR="001A1563" w:rsidRPr="000909E5">
        <w:rPr>
          <w:b/>
          <w:bCs/>
        </w:rPr>
        <w:t>-</w:t>
      </w:r>
      <w:r w:rsidR="00F0013C" w:rsidRPr="000909E5">
        <w:rPr>
          <w:b/>
          <w:bCs/>
        </w:rPr>
        <w:t>25-137</w:t>
      </w:r>
      <w:r w:rsidR="007D2368">
        <w:rPr>
          <w:b/>
          <w:bCs/>
        </w:rPr>
        <w:t>:</w:t>
      </w:r>
      <w:r w:rsidR="00F0013C" w:rsidRPr="000909E5">
        <w:rPr>
          <w:b/>
          <w:bCs/>
        </w:rPr>
        <w:t xml:space="preserve"> </w:t>
      </w:r>
      <w:r w:rsidR="000909E5" w:rsidRPr="00077699">
        <w:rPr>
          <w:rFonts w:cstheme="minorHAnsi"/>
          <w:u w:val="single"/>
        </w:rPr>
        <w:t>Innovative Approaches for TB Prevention and Case Finding to END TB</w:t>
      </w:r>
    </w:p>
    <w:p w14:paraId="1C6FBECB" w14:textId="2AC6E726" w:rsidR="00207AA9" w:rsidRPr="00F0013C" w:rsidRDefault="00F0013C" w:rsidP="00207AA9">
      <w:pPr>
        <w:shd w:val="clear" w:color="auto" w:fill="FFFFFF"/>
        <w:rPr>
          <w:rFonts w:ascii="Segoe UI" w:hAnsi="Segoe UI" w:cs="Segoe UI"/>
          <w:b/>
          <w:bCs/>
          <w:color w:val="000000"/>
          <w:sz w:val="27"/>
          <w:szCs w:val="27"/>
        </w:rPr>
      </w:pPr>
      <w:r w:rsidRPr="00F0013C">
        <w:rPr>
          <w:b/>
          <w:bCs/>
        </w:rPr>
        <w:t xml:space="preserve">Additional </w:t>
      </w:r>
      <w:r w:rsidR="007D2368">
        <w:rPr>
          <w:b/>
          <w:bCs/>
        </w:rPr>
        <w:t>Q</w:t>
      </w:r>
      <w:r w:rsidR="0059235E">
        <w:rPr>
          <w:b/>
          <w:bCs/>
        </w:rPr>
        <w:t xml:space="preserve">uestions </w:t>
      </w:r>
      <w:r w:rsidR="007D2368">
        <w:rPr>
          <w:b/>
          <w:bCs/>
        </w:rPr>
        <w:t>&amp;</w:t>
      </w:r>
      <w:r w:rsidR="0059235E">
        <w:rPr>
          <w:b/>
          <w:bCs/>
        </w:rPr>
        <w:t xml:space="preserve"> </w:t>
      </w:r>
      <w:r w:rsidR="007D2368">
        <w:rPr>
          <w:b/>
          <w:bCs/>
        </w:rPr>
        <w:t>A</w:t>
      </w:r>
      <w:r w:rsidR="0059235E">
        <w:rPr>
          <w:b/>
          <w:bCs/>
        </w:rPr>
        <w:t>nswers</w:t>
      </w:r>
      <w:r w:rsidR="007D2368">
        <w:rPr>
          <w:b/>
          <w:bCs/>
        </w:rPr>
        <w:t xml:space="preserve"> </w:t>
      </w:r>
      <w:r w:rsidR="00207FC1">
        <w:rPr>
          <w:b/>
          <w:bCs/>
        </w:rPr>
        <w:t>12/30/2024</w:t>
      </w:r>
    </w:p>
    <w:p w14:paraId="0AEE1AD1" w14:textId="234AFD60" w:rsidR="00207AA9" w:rsidRPr="00F0013C" w:rsidRDefault="00207AA9" w:rsidP="00207AA9">
      <w:pPr>
        <w:rPr>
          <w:b/>
          <w:bCs/>
        </w:rPr>
      </w:pPr>
    </w:p>
    <w:p w14:paraId="2F7DEA97" w14:textId="77777777" w:rsidR="00207AA9" w:rsidRDefault="00207AA9" w:rsidP="00207AA9">
      <w:pPr>
        <w:numPr>
          <w:ilvl w:val="0"/>
          <w:numId w:val="1"/>
        </w:numPr>
        <w:rPr>
          <w:rFonts w:eastAsia="Times New Roman"/>
        </w:rPr>
      </w:pPr>
      <w:r>
        <w:rPr>
          <w:rFonts w:eastAsia="Times New Roman"/>
        </w:rPr>
        <w:t>Where in the application materials do we include the evaluation/performance measurement components? Is that part of the 25 pages of research plan or submitted separately?</w:t>
      </w:r>
    </w:p>
    <w:p w14:paraId="78421273" w14:textId="77777777" w:rsidR="00A918A8" w:rsidRDefault="00A918A8" w:rsidP="00A918A8">
      <w:pPr>
        <w:ind w:left="1440"/>
        <w:rPr>
          <w:rFonts w:eastAsia="Times New Roman"/>
        </w:rPr>
      </w:pPr>
    </w:p>
    <w:p w14:paraId="13DD7724" w14:textId="19845AAF" w:rsidR="00A918A8" w:rsidRDefault="001A1563" w:rsidP="00A918A8">
      <w:pPr>
        <w:ind w:left="1440"/>
        <w:rPr>
          <w:sz w:val="23"/>
          <w:szCs w:val="23"/>
        </w:rPr>
      </w:pPr>
      <w:r>
        <w:rPr>
          <w:sz w:val="23"/>
          <w:szCs w:val="23"/>
        </w:rPr>
        <w:t>The evaluation/performance measurement component(s) should be</w:t>
      </w:r>
      <w:r w:rsidR="00A918A8">
        <w:rPr>
          <w:sz w:val="23"/>
          <w:szCs w:val="23"/>
        </w:rPr>
        <w:t xml:space="preserve"> part of </w:t>
      </w:r>
      <w:r>
        <w:rPr>
          <w:sz w:val="23"/>
          <w:szCs w:val="23"/>
        </w:rPr>
        <w:t>the R</w:t>
      </w:r>
      <w:r w:rsidR="00A918A8">
        <w:rPr>
          <w:sz w:val="23"/>
          <w:szCs w:val="23"/>
        </w:rPr>
        <w:t xml:space="preserve">esearch </w:t>
      </w:r>
      <w:r>
        <w:rPr>
          <w:sz w:val="23"/>
          <w:szCs w:val="23"/>
        </w:rPr>
        <w:t>P</w:t>
      </w:r>
      <w:r w:rsidR="00A918A8">
        <w:rPr>
          <w:sz w:val="23"/>
          <w:szCs w:val="23"/>
        </w:rPr>
        <w:t>lan</w:t>
      </w:r>
      <w:r>
        <w:rPr>
          <w:sz w:val="23"/>
          <w:szCs w:val="23"/>
        </w:rPr>
        <w:t xml:space="preserve"> component</w:t>
      </w:r>
      <w:r w:rsidR="00A918A8">
        <w:rPr>
          <w:sz w:val="23"/>
          <w:szCs w:val="23"/>
        </w:rPr>
        <w:t xml:space="preserve">. The application should include measurable goals and aims based on a 5-year research project period. The recipient will establish specific, measurable, achievable, realistic, time-phased, inclusion, and equitable (SMARTIE) project objectives for each activity described in the application’s </w:t>
      </w:r>
      <w:r w:rsidR="00A918A8" w:rsidRPr="00A918A8">
        <w:rPr>
          <w:b/>
          <w:bCs/>
          <w:sz w:val="23"/>
          <w:szCs w:val="23"/>
        </w:rPr>
        <w:t>project plan</w:t>
      </w:r>
      <w:r w:rsidR="00A918A8">
        <w:rPr>
          <w:sz w:val="23"/>
          <w:szCs w:val="23"/>
        </w:rPr>
        <w:t xml:space="preserve"> and describe the development and implementation of project performance measures based on specific programmatic objectives. </w:t>
      </w:r>
      <w:bookmarkStart w:id="0" w:name="_Hlk185848295"/>
      <w:r w:rsidR="00A918A8" w:rsidRPr="000E1282">
        <w:rPr>
          <w:b/>
          <w:bCs/>
          <w:i/>
          <w:iCs/>
          <w:sz w:val="23"/>
          <w:szCs w:val="23"/>
        </w:rPr>
        <w:t xml:space="preserve">See pg.12/50 </w:t>
      </w:r>
      <w:r w:rsidR="00A918A8" w:rsidRPr="006C16C1">
        <w:rPr>
          <w:sz w:val="23"/>
          <w:szCs w:val="23"/>
        </w:rPr>
        <w:t>under</w:t>
      </w:r>
      <w:r w:rsidR="00A918A8" w:rsidRPr="000E1282">
        <w:rPr>
          <w:b/>
          <w:bCs/>
          <w:i/>
          <w:iCs/>
          <w:sz w:val="23"/>
          <w:szCs w:val="23"/>
        </w:rPr>
        <w:t xml:space="preserve"> Evaluation/Performance Measurement</w:t>
      </w:r>
      <w:r w:rsidR="00A918A8">
        <w:rPr>
          <w:sz w:val="23"/>
          <w:szCs w:val="23"/>
        </w:rPr>
        <w:t>.</w:t>
      </w:r>
    </w:p>
    <w:bookmarkEnd w:id="0"/>
    <w:p w14:paraId="64B1787D" w14:textId="77777777" w:rsidR="000E1282" w:rsidRDefault="000E1282" w:rsidP="00A918A8">
      <w:pPr>
        <w:ind w:left="1440"/>
        <w:rPr>
          <w:rFonts w:eastAsia="Times New Roman"/>
        </w:rPr>
      </w:pPr>
    </w:p>
    <w:p w14:paraId="0C9D7E59" w14:textId="77777777" w:rsidR="00207AA9" w:rsidRDefault="00207AA9" w:rsidP="00207AA9">
      <w:pPr>
        <w:numPr>
          <w:ilvl w:val="0"/>
          <w:numId w:val="1"/>
        </w:numPr>
        <w:rPr>
          <w:rFonts w:eastAsia="Times New Roman"/>
        </w:rPr>
      </w:pPr>
      <w:r>
        <w:rPr>
          <w:rFonts w:eastAsia="Times New Roman"/>
        </w:rPr>
        <w:t>Are there specific or preferred frameworks to present the evaluation/performance measurement component?</w:t>
      </w:r>
    </w:p>
    <w:p w14:paraId="462A1431" w14:textId="77777777" w:rsidR="00E04635" w:rsidRDefault="00E04635" w:rsidP="000E1282">
      <w:pPr>
        <w:ind w:left="1440"/>
        <w:rPr>
          <w:rFonts w:eastAsia="Times New Roman"/>
        </w:rPr>
      </w:pPr>
    </w:p>
    <w:p w14:paraId="44297013" w14:textId="27535FA7" w:rsidR="000E1282" w:rsidRDefault="0087501F" w:rsidP="000E1282">
      <w:pPr>
        <w:ind w:left="1440"/>
        <w:rPr>
          <w:rFonts w:eastAsia="Times New Roman"/>
        </w:rPr>
      </w:pPr>
      <w:r>
        <w:rPr>
          <w:rFonts w:eastAsia="Times New Roman"/>
        </w:rPr>
        <w:t>Formatting the evaluation/performance measurement</w:t>
      </w:r>
      <w:r w:rsidR="001A1563">
        <w:rPr>
          <w:rFonts w:eastAsia="Times New Roman"/>
        </w:rPr>
        <w:t xml:space="preserve"> component of the application</w:t>
      </w:r>
      <w:r w:rsidR="00D72B6E" w:rsidRPr="00D72B6E">
        <w:rPr>
          <w:rFonts w:eastAsia="Times New Roman"/>
        </w:rPr>
        <w:t xml:space="preserve"> is up to the discretion of the applicant</w:t>
      </w:r>
      <w:r>
        <w:rPr>
          <w:rFonts w:eastAsia="Times New Roman"/>
        </w:rPr>
        <w:t xml:space="preserve">. </w:t>
      </w:r>
    </w:p>
    <w:p w14:paraId="0DFA0CBB" w14:textId="77777777" w:rsidR="00D72B6E" w:rsidRDefault="00D72B6E" w:rsidP="000E1282">
      <w:pPr>
        <w:ind w:left="1440"/>
        <w:rPr>
          <w:rFonts w:eastAsia="Times New Roman"/>
        </w:rPr>
      </w:pPr>
    </w:p>
    <w:p w14:paraId="1104C77E" w14:textId="77777777" w:rsidR="00207AA9" w:rsidRDefault="00207AA9" w:rsidP="00207AA9">
      <w:pPr>
        <w:numPr>
          <w:ilvl w:val="0"/>
          <w:numId w:val="1"/>
        </w:numPr>
        <w:rPr>
          <w:rFonts w:eastAsia="Times New Roman"/>
        </w:rPr>
      </w:pPr>
      <w:r>
        <w:rPr>
          <w:rFonts w:eastAsia="Times New Roman"/>
        </w:rPr>
        <w:t>Are the process evaluation measures to be developed as part of the application, or are those inclusive of the site activation and ongoing monitoring in place through CDC oversight?</w:t>
      </w:r>
    </w:p>
    <w:p w14:paraId="0CF4AA2A" w14:textId="77777777" w:rsidR="00D72B6E" w:rsidRDefault="00D72B6E" w:rsidP="00D72B6E">
      <w:pPr>
        <w:ind w:left="1440"/>
        <w:rPr>
          <w:rFonts w:eastAsia="Times New Roman"/>
        </w:rPr>
      </w:pPr>
    </w:p>
    <w:p w14:paraId="336741F6" w14:textId="3FD8A97C" w:rsidR="0069343C" w:rsidRPr="0069343C" w:rsidRDefault="0069343C" w:rsidP="00D72B6E">
      <w:pPr>
        <w:ind w:left="1440"/>
        <w:rPr>
          <w:rFonts w:eastAsia="Times New Roman"/>
          <w:b/>
          <w:bCs/>
          <w:i/>
          <w:iCs/>
        </w:rPr>
      </w:pPr>
      <w:r>
        <w:rPr>
          <w:sz w:val="23"/>
          <w:szCs w:val="23"/>
        </w:rPr>
        <w:t xml:space="preserve">The overall CDC Evaluation and Performance Measurement Strategy will focus on both process and outcome evaluation. Process evaluation is conducted to monitor activities during the implementation and operation of a program while an outcome evaluation examines the long-term successes and accomplishments of a program. </w:t>
      </w:r>
      <w:r w:rsidRPr="0069343C">
        <w:rPr>
          <w:b/>
          <w:bCs/>
          <w:i/>
          <w:iCs/>
          <w:sz w:val="23"/>
          <w:szCs w:val="23"/>
        </w:rPr>
        <w:t xml:space="preserve">See pg.12/50 </w:t>
      </w:r>
      <w:r w:rsidRPr="006C16C1">
        <w:rPr>
          <w:sz w:val="23"/>
          <w:szCs w:val="23"/>
        </w:rPr>
        <w:t>under</w:t>
      </w:r>
      <w:r w:rsidRPr="0069343C">
        <w:rPr>
          <w:b/>
          <w:bCs/>
          <w:i/>
          <w:iCs/>
          <w:sz w:val="23"/>
          <w:szCs w:val="23"/>
        </w:rPr>
        <w:t xml:space="preserve"> Evaluation/Performance Measurement.</w:t>
      </w:r>
    </w:p>
    <w:p w14:paraId="6710F5F3" w14:textId="77777777" w:rsidR="00D72B6E" w:rsidRDefault="00D72B6E" w:rsidP="00D72B6E">
      <w:pPr>
        <w:ind w:left="1440"/>
        <w:rPr>
          <w:rFonts w:eastAsia="Times New Roman"/>
        </w:rPr>
      </w:pPr>
    </w:p>
    <w:p w14:paraId="7F65F839" w14:textId="77777777" w:rsidR="00207AA9" w:rsidRDefault="00207AA9" w:rsidP="00207AA9">
      <w:pPr>
        <w:numPr>
          <w:ilvl w:val="0"/>
          <w:numId w:val="1"/>
        </w:numPr>
        <w:rPr>
          <w:rFonts w:eastAsia="Times New Roman"/>
        </w:rPr>
      </w:pPr>
      <w:r>
        <w:rPr>
          <w:rFonts w:eastAsia="Times New Roman"/>
        </w:rPr>
        <w:t>What type of documents can be included in the appendices?</w:t>
      </w:r>
    </w:p>
    <w:p w14:paraId="5F936B2F" w14:textId="77777777" w:rsidR="00095628" w:rsidRDefault="00095628" w:rsidP="00095628">
      <w:pPr>
        <w:ind w:left="1440"/>
        <w:rPr>
          <w:sz w:val="23"/>
          <w:szCs w:val="23"/>
        </w:rPr>
      </w:pPr>
    </w:p>
    <w:p w14:paraId="5E26A1D5" w14:textId="0FEAFAA4" w:rsidR="00095628" w:rsidRDefault="001A1563" w:rsidP="00095628">
      <w:pPr>
        <w:ind w:left="1440"/>
        <w:rPr>
          <w:b/>
          <w:bCs/>
          <w:i/>
          <w:iCs/>
          <w:sz w:val="23"/>
          <w:szCs w:val="23"/>
        </w:rPr>
      </w:pPr>
      <w:r>
        <w:rPr>
          <w:sz w:val="23"/>
          <w:szCs w:val="23"/>
        </w:rPr>
        <w:t>Appendices to be included in the application is up to the discretion of the applicant. Also see</w:t>
      </w:r>
      <w:r w:rsidR="00095628">
        <w:rPr>
          <w:sz w:val="23"/>
          <w:szCs w:val="23"/>
        </w:rPr>
        <w:t xml:space="preserve"> </w:t>
      </w:r>
      <w:r w:rsidR="00095628" w:rsidRPr="00095628">
        <w:rPr>
          <w:b/>
          <w:bCs/>
          <w:i/>
          <w:iCs/>
          <w:sz w:val="23"/>
          <w:szCs w:val="23"/>
        </w:rPr>
        <w:t xml:space="preserve">pg. 22/50 </w:t>
      </w:r>
      <w:r w:rsidR="00095628" w:rsidRPr="006C16C1">
        <w:rPr>
          <w:sz w:val="23"/>
          <w:szCs w:val="23"/>
        </w:rPr>
        <w:t>under</w:t>
      </w:r>
      <w:r>
        <w:rPr>
          <w:sz w:val="23"/>
          <w:szCs w:val="23"/>
        </w:rPr>
        <w:t xml:space="preserve"> </w:t>
      </w:r>
      <w:r w:rsidRPr="006C16C1">
        <w:rPr>
          <w:b/>
          <w:bCs/>
          <w:i/>
          <w:iCs/>
          <w:sz w:val="23"/>
          <w:szCs w:val="23"/>
        </w:rPr>
        <w:t>Appendix</w:t>
      </w:r>
      <w:r>
        <w:rPr>
          <w:sz w:val="23"/>
          <w:szCs w:val="23"/>
        </w:rPr>
        <w:t xml:space="preserve"> and</w:t>
      </w:r>
      <w:r w:rsidR="00095628" w:rsidRPr="006C16C1">
        <w:rPr>
          <w:sz w:val="23"/>
          <w:szCs w:val="23"/>
        </w:rPr>
        <w:t xml:space="preserve"> </w:t>
      </w:r>
      <w:r>
        <w:rPr>
          <w:b/>
          <w:bCs/>
          <w:i/>
          <w:iCs/>
          <w:sz w:val="23"/>
          <w:szCs w:val="23"/>
        </w:rPr>
        <w:t>P</w:t>
      </w:r>
      <w:r w:rsidR="00095628" w:rsidRPr="00095628">
        <w:rPr>
          <w:b/>
          <w:bCs/>
          <w:i/>
          <w:iCs/>
          <w:sz w:val="23"/>
          <w:szCs w:val="23"/>
        </w:rPr>
        <w:t xml:space="preserve">age </w:t>
      </w:r>
      <w:r>
        <w:rPr>
          <w:b/>
          <w:bCs/>
          <w:i/>
          <w:iCs/>
          <w:sz w:val="23"/>
          <w:szCs w:val="23"/>
        </w:rPr>
        <w:t>L</w:t>
      </w:r>
      <w:r w:rsidR="00095628" w:rsidRPr="00095628">
        <w:rPr>
          <w:b/>
          <w:bCs/>
          <w:i/>
          <w:iCs/>
          <w:sz w:val="23"/>
          <w:szCs w:val="23"/>
        </w:rPr>
        <w:t>imitations.</w:t>
      </w:r>
    </w:p>
    <w:p w14:paraId="2A0FC5AD" w14:textId="77777777" w:rsidR="00095628" w:rsidRDefault="00095628" w:rsidP="00095628">
      <w:pPr>
        <w:ind w:left="1440"/>
        <w:rPr>
          <w:rFonts w:eastAsia="Times New Roman"/>
        </w:rPr>
      </w:pPr>
    </w:p>
    <w:p w14:paraId="11D1FA08" w14:textId="62E3A2CE" w:rsidR="008D5918" w:rsidRDefault="00207AA9" w:rsidP="00207AA9">
      <w:pPr>
        <w:numPr>
          <w:ilvl w:val="0"/>
          <w:numId w:val="1"/>
        </w:numPr>
        <w:rPr>
          <w:rFonts w:eastAsia="Times New Roman"/>
        </w:rPr>
      </w:pPr>
      <w:r>
        <w:rPr>
          <w:rFonts w:eastAsia="Times New Roman"/>
        </w:rPr>
        <w:t xml:space="preserve">How and where should the applicant indicate </w:t>
      </w:r>
      <w:proofErr w:type="gramStart"/>
      <w:r>
        <w:rPr>
          <w:rFonts w:eastAsia="Times New Roman"/>
        </w:rPr>
        <w:t>which component they are applying for</w:t>
      </w:r>
      <w:proofErr w:type="gramEnd"/>
      <w:r>
        <w:rPr>
          <w:rFonts w:eastAsia="Times New Roman"/>
        </w:rPr>
        <w:t>? We note that in the RFA that applications to the separate components should have distinct titles, but are there are places or language we should use to ensure clarity?</w:t>
      </w:r>
      <w:r w:rsidR="00490B34">
        <w:rPr>
          <w:rFonts w:eastAsia="Times New Roman"/>
        </w:rPr>
        <w:br/>
      </w:r>
    </w:p>
    <w:p w14:paraId="05F09F8B" w14:textId="29252FE1" w:rsidR="00207AA9" w:rsidRDefault="008D5918" w:rsidP="008D5918">
      <w:pPr>
        <w:ind w:left="1440"/>
        <w:rPr>
          <w:rFonts w:eastAsia="Times New Roman"/>
        </w:rPr>
      </w:pPr>
      <w:r>
        <w:rPr>
          <w:sz w:val="23"/>
          <w:szCs w:val="23"/>
        </w:rPr>
        <w:t xml:space="preserve">As noted on </w:t>
      </w:r>
      <w:r w:rsidRPr="006C16C1">
        <w:rPr>
          <w:b/>
          <w:bCs/>
          <w:i/>
          <w:iCs/>
          <w:sz w:val="23"/>
          <w:szCs w:val="23"/>
        </w:rPr>
        <w:t>pg. 18/50</w:t>
      </w:r>
      <w:r>
        <w:rPr>
          <w:sz w:val="23"/>
          <w:szCs w:val="23"/>
        </w:rPr>
        <w:t xml:space="preserve"> under </w:t>
      </w:r>
      <w:r w:rsidRPr="006C16C1">
        <w:rPr>
          <w:b/>
          <w:bCs/>
          <w:i/>
          <w:iCs/>
          <w:sz w:val="23"/>
          <w:szCs w:val="23"/>
        </w:rPr>
        <w:t>10. Number of Applications</w:t>
      </w:r>
      <w:r>
        <w:rPr>
          <w:sz w:val="23"/>
          <w:szCs w:val="23"/>
        </w:rPr>
        <w:t>, a</w:t>
      </w:r>
      <w:r w:rsidRPr="008D5918">
        <w:rPr>
          <w:sz w:val="23"/>
          <w:szCs w:val="23"/>
        </w:rPr>
        <w:t xml:space="preserve">pplicants may apply to one or both thematic components (A/B) by submitting scientifically distinct and separate applications. The applicant should make sure to title each of the applications to be distinctly different for the system to accept both the </w:t>
      </w:r>
      <w:r w:rsidRPr="008D5918">
        <w:rPr>
          <w:sz w:val="23"/>
          <w:szCs w:val="23"/>
        </w:rPr>
        <w:lastRenderedPageBreak/>
        <w:t>applications. If more than one applicant from the same institute applies, there will only be one award made per institution to ensure diversity across recipients.</w:t>
      </w:r>
      <w:r w:rsidR="001B6C60">
        <w:rPr>
          <w:rFonts w:eastAsia="Times New Roman"/>
        </w:rPr>
        <w:br/>
      </w:r>
    </w:p>
    <w:p w14:paraId="2B2191ED" w14:textId="299C6704" w:rsidR="00C5020D" w:rsidRDefault="00207AA9" w:rsidP="00207AA9">
      <w:pPr>
        <w:numPr>
          <w:ilvl w:val="0"/>
          <w:numId w:val="1"/>
        </w:numPr>
        <w:rPr>
          <w:rFonts w:eastAsia="Times New Roman"/>
        </w:rPr>
      </w:pPr>
      <w:r>
        <w:rPr>
          <w:rFonts w:eastAsia="Times New Roman"/>
        </w:rPr>
        <w:t>Under section 12, we note the requirement to attach a Risk Assessment Questionnaire, but we do not see another reference to this document in the NOFO. Please indicate if there is a standard form for this we can use or how we can address this in our application.</w:t>
      </w:r>
    </w:p>
    <w:p w14:paraId="43994681" w14:textId="77777777" w:rsidR="00C5020D" w:rsidRDefault="00C5020D" w:rsidP="00C5020D">
      <w:pPr>
        <w:ind w:left="720"/>
        <w:rPr>
          <w:rStyle w:val="cf01"/>
          <w:sz w:val="22"/>
          <w:szCs w:val="22"/>
        </w:rPr>
      </w:pPr>
      <w:r>
        <w:rPr>
          <w:rStyle w:val="cf01"/>
          <w:sz w:val="22"/>
          <w:szCs w:val="22"/>
        </w:rPr>
        <w:t xml:space="preserve">     </w:t>
      </w:r>
    </w:p>
    <w:p w14:paraId="7B253C48" w14:textId="6BF42638" w:rsidR="00207AA9" w:rsidRPr="00490B34" w:rsidRDefault="00C5020D" w:rsidP="00490B34">
      <w:pPr>
        <w:ind w:left="1440"/>
        <w:rPr>
          <w:rFonts w:eastAsia="Times New Roman"/>
        </w:rPr>
      </w:pPr>
      <w:r w:rsidRPr="00490B34">
        <w:rPr>
          <w:rStyle w:val="cf01"/>
          <w:rFonts w:ascii="Aptos" w:hAnsi="Aptos"/>
          <w:sz w:val="22"/>
          <w:szCs w:val="22"/>
        </w:rPr>
        <w:t xml:space="preserve">The new requirement for a Risk Assessment Questionnaire under section </w:t>
      </w:r>
      <w:r w:rsidRPr="00490B34">
        <w:rPr>
          <w:rStyle w:val="cf11"/>
          <w:rFonts w:ascii="Aptos" w:hAnsi="Aptos"/>
          <w:sz w:val="22"/>
          <w:szCs w:val="22"/>
        </w:rPr>
        <w:t>12. Other Submission Requirements and Information (pg. 25/50)</w:t>
      </w:r>
      <w:r w:rsidRPr="00490B34">
        <w:rPr>
          <w:rStyle w:val="cf01"/>
          <w:rFonts w:ascii="Aptos" w:hAnsi="Aptos"/>
          <w:sz w:val="22"/>
          <w:szCs w:val="22"/>
        </w:rPr>
        <w:t xml:space="preserve"> was erroneously added. </w:t>
      </w:r>
      <w:r w:rsidRPr="00490B34">
        <w:rPr>
          <w:rStyle w:val="cf21"/>
          <w:rFonts w:ascii="Aptos" w:hAnsi="Aptos"/>
          <w:sz w:val="22"/>
          <w:szCs w:val="22"/>
        </w:rPr>
        <w:t xml:space="preserve">CDC has retired the Risk Assessment Questionnaire Requirement and applicants are no longer required to submit the </w:t>
      </w:r>
      <w:hyperlink r:id="rId5" w:history="1">
        <w:r w:rsidRPr="00490B34">
          <w:rPr>
            <w:rStyle w:val="cf31"/>
            <w:rFonts w:ascii="Aptos" w:hAnsi="Aptos"/>
            <w:color w:val="0000FF"/>
            <w:sz w:val="22"/>
            <w:szCs w:val="22"/>
            <w:u w:val="single"/>
          </w:rPr>
          <w:t>CDC Risk Assessment Questionnaire</w:t>
        </w:r>
      </w:hyperlink>
      <w:r w:rsidRPr="00490B34">
        <w:rPr>
          <w:rStyle w:val="cf21"/>
          <w:rFonts w:ascii="Aptos" w:hAnsi="Aptos"/>
          <w:sz w:val="22"/>
          <w:szCs w:val="22"/>
        </w:rPr>
        <w:t xml:space="preserve"> as part of their NOFO application. CDC continues to conduct the review of risk posed by applicants as described starting on </w:t>
      </w:r>
      <w:r w:rsidRPr="00490B34">
        <w:rPr>
          <w:rStyle w:val="cf41"/>
          <w:rFonts w:ascii="Aptos" w:hAnsi="Aptos"/>
          <w:sz w:val="22"/>
          <w:szCs w:val="22"/>
        </w:rPr>
        <w:t>pg. 32/50</w:t>
      </w:r>
      <w:r w:rsidRPr="00490B34">
        <w:rPr>
          <w:rStyle w:val="cf21"/>
          <w:rFonts w:ascii="Aptos" w:hAnsi="Aptos"/>
          <w:sz w:val="22"/>
          <w:szCs w:val="22"/>
        </w:rPr>
        <w:t xml:space="preserve"> under </w:t>
      </w:r>
      <w:r w:rsidRPr="00490B34">
        <w:rPr>
          <w:rStyle w:val="cf41"/>
          <w:rFonts w:ascii="Aptos" w:hAnsi="Aptos"/>
          <w:sz w:val="22"/>
          <w:szCs w:val="22"/>
        </w:rPr>
        <w:t>4. Review and Selection Process</w:t>
      </w:r>
      <w:r w:rsidRPr="00490B34">
        <w:rPr>
          <w:rStyle w:val="cf21"/>
          <w:rFonts w:ascii="Aptos" w:hAnsi="Aptos"/>
          <w:sz w:val="22"/>
          <w:szCs w:val="22"/>
        </w:rPr>
        <w:t>. CDC may ask for additional information prior to the award based on the results of the review. Risk Assessment Questionnaires that are submitted will not be included in this risk review.</w:t>
      </w:r>
      <w:r w:rsidR="001B6C60" w:rsidRPr="00490B34">
        <w:rPr>
          <w:rFonts w:eastAsia="Times New Roman"/>
        </w:rPr>
        <w:br/>
      </w:r>
    </w:p>
    <w:p w14:paraId="7C669E5D" w14:textId="77777777" w:rsidR="009F3791" w:rsidRDefault="009F3791"/>
    <w:sectPr w:rsidR="009F37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753A90"/>
    <w:multiLevelType w:val="hybridMultilevel"/>
    <w:tmpl w:val="84C86722"/>
    <w:lvl w:ilvl="0" w:tplc="19B0CAA4">
      <w:start w:val="1"/>
      <w:numFmt w:val="decimal"/>
      <w:lvlText w:val="%1."/>
      <w:lvlJc w:val="left"/>
      <w:pPr>
        <w:ind w:left="72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20888453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AA9"/>
    <w:rsid w:val="00040843"/>
    <w:rsid w:val="00077699"/>
    <w:rsid w:val="000909E5"/>
    <w:rsid w:val="00095628"/>
    <w:rsid w:val="000D0091"/>
    <w:rsid w:val="000E1282"/>
    <w:rsid w:val="001A1563"/>
    <w:rsid w:val="001A2193"/>
    <w:rsid w:val="001B6C60"/>
    <w:rsid w:val="00207AA9"/>
    <w:rsid w:val="00207FC1"/>
    <w:rsid w:val="00224092"/>
    <w:rsid w:val="0024227C"/>
    <w:rsid w:val="002F36B2"/>
    <w:rsid w:val="003012B7"/>
    <w:rsid w:val="003318CB"/>
    <w:rsid w:val="003C06A7"/>
    <w:rsid w:val="00490B34"/>
    <w:rsid w:val="004A44FB"/>
    <w:rsid w:val="004B4F19"/>
    <w:rsid w:val="004B6D80"/>
    <w:rsid w:val="00522586"/>
    <w:rsid w:val="0059235E"/>
    <w:rsid w:val="00602F50"/>
    <w:rsid w:val="0069343C"/>
    <w:rsid w:val="006C16C1"/>
    <w:rsid w:val="00740F48"/>
    <w:rsid w:val="00747B15"/>
    <w:rsid w:val="007D2368"/>
    <w:rsid w:val="0083459C"/>
    <w:rsid w:val="0087501F"/>
    <w:rsid w:val="008D5918"/>
    <w:rsid w:val="00932119"/>
    <w:rsid w:val="009F3791"/>
    <w:rsid w:val="00A918A8"/>
    <w:rsid w:val="00C5020D"/>
    <w:rsid w:val="00D51648"/>
    <w:rsid w:val="00D72B6E"/>
    <w:rsid w:val="00E04635"/>
    <w:rsid w:val="00E265E0"/>
    <w:rsid w:val="00EA6E7D"/>
    <w:rsid w:val="00F0013C"/>
    <w:rsid w:val="00F240CE"/>
    <w:rsid w:val="00F578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FE1909"/>
  <w15:chartTrackingRefBased/>
  <w15:docId w15:val="{D5160E78-33FB-450A-BE9E-9F1148998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7AA9"/>
    <w:pPr>
      <w:spacing w:after="0" w:line="240" w:lineRule="auto"/>
    </w:pPr>
    <w:rPr>
      <w:rFonts w:ascii="Aptos" w:hAnsi="Aptos" w:cs="Calibri"/>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1A1563"/>
    <w:pPr>
      <w:spacing w:after="0" w:line="240" w:lineRule="auto"/>
    </w:pPr>
    <w:rPr>
      <w:rFonts w:ascii="Aptos" w:hAnsi="Aptos" w:cs="Calibri"/>
      <w:kern w:val="0"/>
    </w:rPr>
  </w:style>
  <w:style w:type="character" w:styleId="CommentReference">
    <w:name w:val="annotation reference"/>
    <w:basedOn w:val="DefaultParagraphFont"/>
    <w:uiPriority w:val="99"/>
    <w:semiHidden/>
    <w:unhideWhenUsed/>
    <w:rsid w:val="003318CB"/>
    <w:rPr>
      <w:sz w:val="16"/>
      <w:szCs w:val="16"/>
    </w:rPr>
  </w:style>
  <w:style w:type="paragraph" w:styleId="CommentText">
    <w:name w:val="annotation text"/>
    <w:basedOn w:val="Normal"/>
    <w:link w:val="CommentTextChar"/>
    <w:uiPriority w:val="99"/>
    <w:unhideWhenUsed/>
    <w:rsid w:val="003318CB"/>
    <w:rPr>
      <w:sz w:val="20"/>
      <w:szCs w:val="20"/>
    </w:rPr>
  </w:style>
  <w:style w:type="character" w:customStyle="1" w:styleId="CommentTextChar">
    <w:name w:val="Comment Text Char"/>
    <w:basedOn w:val="DefaultParagraphFont"/>
    <w:link w:val="CommentText"/>
    <w:uiPriority w:val="99"/>
    <w:rsid w:val="003318CB"/>
    <w:rPr>
      <w:rFonts w:ascii="Aptos" w:hAnsi="Aptos" w:cs="Calibri"/>
      <w:kern w:val="0"/>
      <w:sz w:val="20"/>
      <w:szCs w:val="20"/>
    </w:rPr>
  </w:style>
  <w:style w:type="paragraph" w:styleId="CommentSubject">
    <w:name w:val="annotation subject"/>
    <w:basedOn w:val="CommentText"/>
    <w:next w:val="CommentText"/>
    <w:link w:val="CommentSubjectChar"/>
    <w:uiPriority w:val="99"/>
    <w:semiHidden/>
    <w:unhideWhenUsed/>
    <w:rsid w:val="003318CB"/>
    <w:rPr>
      <w:b/>
      <w:bCs/>
    </w:rPr>
  </w:style>
  <w:style w:type="character" w:customStyle="1" w:styleId="CommentSubjectChar">
    <w:name w:val="Comment Subject Char"/>
    <w:basedOn w:val="CommentTextChar"/>
    <w:link w:val="CommentSubject"/>
    <w:uiPriority w:val="99"/>
    <w:semiHidden/>
    <w:rsid w:val="003318CB"/>
    <w:rPr>
      <w:rFonts w:ascii="Aptos" w:hAnsi="Aptos" w:cs="Calibri"/>
      <w:b/>
      <w:bCs/>
      <w:kern w:val="0"/>
      <w:sz w:val="20"/>
      <w:szCs w:val="20"/>
    </w:rPr>
  </w:style>
  <w:style w:type="character" w:styleId="Hyperlink">
    <w:name w:val="Hyperlink"/>
    <w:basedOn w:val="DefaultParagraphFont"/>
    <w:uiPriority w:val="99"/>
    <w:unhideWhenUsed/>
    <w:rsid w:val="003318CB"/>
    <w:rPr>
      <w:color w:val="0563C1" w:themeColor="hyperlink"/>
      <w:u w:val="single"/>
    </w:rPr>
  </w:style>
  <w:style w:type="character" w:styleId="UnresolvedMention">
    <w:name w:val="Unresolved Mention"/>
    <w:basedOn w:val="DefaultParagraphFont"/>
    <w:uiPriority w:val="99"/>
    <w:semiHidden/>
    <w:unhideWhenUsed/>
    <w:rsid w:val="003318CB"/>
    <w:rPr>
      <w:color w:val="605E5C"/>
      <w:shd w:val="clear" w:color="auto" w:fill="E1DFDD"/>
    </w:rPr>
  </w:style>
  <w:style w:type="character" w:customStyle="1" w:styleId="cf01">
    <w:name w:val="cf01"/>
    <w:basedOn w:val="DefaultParagraphFont"/>
    <w:rsid w:val="00C5020D"/>
    <w:rPr>
      <w:rFonts w:ascii="Segoe UI" w:hAnsi="Segoe UI" w:cs="Segoe UI" w:hint="default"/>
      <w:sz w:val="18"/>
      <w:szCs w:val="18"/>
    </w:rPr>
  </w:style>
  <w:style w:type="character" w:customStyle="1" w:styleId="cf11">
    <w:name w:val="cf11"/>
    <w:basedOn w:val="DefaultParagraphFont"/>
    <w:rsid w:val="00C5020D"/>
    <w:rPr>
      <w:rFonts w:ascii="Segoe UI" w:hAnsi="Segoe UI" w:cs="Segoe UI" w:hint="default"/>
      <w:b/>
      <w:bCs/>
      <w:i/>
      <w:iCs/>
      <w:sz w:val="18"/>
      <w:szCs w:val="18"/>
    </w:rPr>
  </w:style>
  <w:style w:type="character" w:customStyle="1" w:styleId="cf21">
    <w:name w:val="cf21"/>
    <w:basedOn w:val="DefaultParagraphFont"/>
    <w:rsid w:val="00C5020D"/>
    <w:rPr>
      <w:rFonts w:ascii="Segoe UI" w:hAnsi="Segoe UI" w:cs="Segoe UI" w:hint="default"/>
      <w:color w:val="333333"/>
      <w:sz w:val="18"/>
      <w:szCs w:val="18"/>
      <w:shd w:val="clear" w:color="auto" w:fill="FFFFFF"/>
    </w:rPr>
  </w:style>
  <w:style w:type="character" w:customStyle="1" w:styleId="cf31">
    <w:name w:val="cf31"/>
    <w:basedOn w:val="DefaultParagraphFont"/>
    <w:rsid w:val="00C5020D"/>
    <w:rPr>
      <w:rFonts w:ascii="Segoe UI" w:hAnsi="Segoe UI" w:cs="Segoe UI" w:hint="default"/>
      <w:sz w:val="18"/>
      <w:szCs w:val="18"/>
      <w:shd w:val="clear" w:color="auto" w:fill="FFFFFF"/>
    </w:rPr>
  </w:style>
  <w:style w:type="character" w:customStyle="1" w:styleId="cf41">
    <w:name w:val="cf41"/>
    <w:basedOn w:val="DefaultParagraphFont"/>
    <w:rsid w:val="00C5020D"/>
    <w:rPr>
      <w:rFonts w:ascii="Segoe UI" w:hAnsi="Segoe UI" w:cs="Segoe UI" w:hint="default"/>
      <w:b/>
      <w:bCs/>
      <w:i/>
      <w:iCs/>
      <w:color w:val="333333"/>
      <w:sz w:val="18"/>
      <w:szCs w:val="18"/>
      <w:shd w:val="clear" w:color="auto" w:fill="FFFFFF"/>
    </w:rPr>
  </w:style>
  <w:style w:type="character" w:customStyle="1" w:styleId="cf51">
    <w:name w:val="cf51"/>
    <w:basedOn w:val="DefaultParagraphFont"/>
    <w:rsid w:val="00C5020D"/>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6234316">
      <w:bodyDiv w:val="1"/>
      <w:marLeft w:val="0"/>
      <w:marRight w:val="0"/>
      <w:marTop w:val="0"/>
      <w:marBottom w:val="0"/>
      <w:divBdr>
        <w:top w:val="none" w:sz="0" w:space="0" w:color="auto"/>
        <w:left w:val="none" w:sz="0" w:space="0" w:color="auto"/>
        <w:bottom w:val="none" w:sz="0" w:space="0" w:color="auto"/>
        <w:right w:val="none" w:sz="0" w:space="0" w:color="auto"/>
      </w:divBdr>
    </w:div>
    <w:div w:id="1297906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cdc.gov/grants/documents/PPMR-G-CDC-Risk-Questionnaire.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538</Words>
  <Characters>3070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Muthumalaiappan, Kuzhali (CDC/GHC/OD) (CTR)</dc:creator>
  <cp:keywords/>
  <dc:description/>
  <cp:lastModifiedBy>Lawler, Tameka (CDC/OCOO/OFR/OGS)</cp:lastModifiedBy>
  <cp:revision>16</cp:revision>
  <dcterms:created xsi:type="dcterms:W3CDTF">2024-12-30T18:27:00Z</dcterms:created>
  <dcterms:modified xsi:type="dcterms:W3CDTF">2024-12-30T18:45:00Z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etDate">
    <vt:lpwstr>2024-12-23T16:01:47Z</vt:lpwstr>
  </property>
  <property fmtid="{D5CDD505-2E9C-101B-9397-08002B2CF9AE}" pid="4" name="MSIP_Label_7b94a7b8-f06c-4dfe-bdcc-9b548fd58c31_Method">
    <vt:lpwstr>Privileged</vt:lpwstr>
  </property>
  <property fmtid="{D5CDD505-2E9C-101B-9397-08002B2CF9AE}" pid="5" name="MSIP_Label_7b94a7b8-f06c-4dfe-bdcc-9b548fd58c31_Name">
    <vt:lpwstr>7b94a7b8-f06c-4dfe-bdcc-9b548fd58c31</vt:lpwstr>
  </property>
  <property fmtid="{D5CDD505-2E9C-101B-9397-08002B2CF9AE}" pid="6" name="MSIP_Label_7b94a7b8-f06c-4dfe-bdcc-9b548fd58c31_SiteId">
    <vt:lpwstr>9ce70869-60db-44fd-abe8-d2767077fc8f</vt:lpwstr>
  </property>
  <property fmtid="{D5CDD505-2E9C-101B-9397-08002B2CF9AE}" pid="7" name="MSIP_Label_7b94a7b8-f06c-4dfe-bdcc-9b548fd58c31_ActionId">
    <vt:lpwstr>ab22e138-0301-4650-84e5-b3c251ba2bd0</vt:lpwstr>
  </property>
  <property fmtid="{D5CDD505-2E9C-101B-9397-08002B2CF9AE}" pid="8" name="MSIP_Label_7b94a7b8-f06c-4dfe-bdcc-9b548fd58c31_ContentBits">
    <vt:lpwstr>0</vt:lpwstr>
  </property>
</Properties>
</file>