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64809C7A"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Department of State</w:t>
      </w:r>
      <w:r w:rsidR="008E0A7A">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 </w:t>
      </w:r>
    </w:p>
    <w:p w14:paraId="1911C1D2" w14:textId="40A95347" w:rsidR="00290D8C" w:rsidRDefault="5512EC09" w:rsidP="6FC3E2E7">
      <w:pPr>
        <w:spacing w:after="0" w:line="240" w:lineRule="auto"/>
        <w:jc w:val="center"/>
        <w:rPr>
          <w:rFonts w:ascii="Times New Roman" w:eastAsia="Times New Roman" w:hAnsi="Times New Roman" w:cs="Times New Roman"/>
          <w:b/>
          <w:bCs/>
          <w:sz w:val="24"/>
          <w:szCs w:val="24"/>
        </w:rPr>
      </w:pPr>
      <w:r w:rsidRPr="6FC3E2E7">
        <w:rPr>
          <w:rFonts w:ascii="Times New Roman" w:eastAsia="Times New Roman" w:hAnsi="Times New Roman" w:cs="Times New Roman"/>
          <w:b/>
          <w:bCs/>
          <w:sz w:val="24"/>
          <w:szCs w:val="24"/>
        </w:rPr>
        <w:t>Bureau of Oceans and Environmental and Scientific Affairs</w:t>
      </w:r>
    </w:p>
    <w:p w14:paraId="4DCF550B" w14:textId="403EA5FE" w:rsidR="00290D8C" w:rsidRDefault="74293E5C" w:rsidP="6FC3E2E7">
      <w:pPr>
        <w:spacing w:after="0" w:line="240" w:lineRule="auto"/>
        <w:jc w:val="center"/>
        <w:rPr>
          <w:rFonts w:ascii="Times New Roman" w:eastAsia="Times New Roman" w:hAnsi="Times New Roman" w:cs="Times New Roman"/>
          <w:b/>
          <w:bCs/>
          <w:sz w:val="24"/>
          <w:szCs w:val="24"/>
        </w:rPr>
      </w:pPr>
      <w:r w:rsidRPr="6FC3E2E7">
        <w:rPr>
          <w:rFonts w:ascii="Times New Roman" w:eastAsia="Times New Roman" w:hAnsi="Times New Roman" w:cs="Times New Roman"/>
          <w:b/>
          <w:bCs/>
          <w:sz w:val="24"/>
          <w:szCs w:val="24"/>
        </w:rPr>
        <w:t xml:space="preserve">Office of Global Change </w:t>
      </w:r>
    </w:p>
    <w:p w14:paraId="685B4325" w14:textId="41126094" w:rsidR="00290D8C" w:rsidRDefault="00290D8C" w:rsidP="6FC3E2E7">
      <w:pPr>
        <w:spacing w:after="0" w:line="240" w:lineRule="auto"/>
        <w:jc w:val="center"/>
        <w:rPr>
          <w:rFonts w:ascii="Times New Roman" w:eastAsia="Times New Roman" w:hAnsi="Times New Roman" w:cs="Times New Roman"/>
          <w:b/>
          <w:bCs/>
          <w:sz w:val="24"/>
          <w:szCs w:val="24"/>
        </w:rPr>
      </w:pPr>
    </w:p>
    <w:p w14:paraId="102BE3FF" w14:textId="1CB67C1C" w:rsidR="00290D8C" w:rsidRDefault="5512EC09" w:rsidP="6FC3E2E7">
      <w:pPr>
        <w:spacing w:after="0" w:line="240" w:lineRule="auto"/>
        <w:jc w:val="center"/>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Notice of Funding Opportunity (NOFO):</w:t>
      </w:r>
      <w:r w:rsidR="39CB038E" w:rsidRPr="6FC3E2E7">
        <w:rPr>
          <w:rFonts w:ascii="Times New Roman" w:eastAsia="Times New Roman" w:hAnsi="Times New Roman" w:cs="Times New Roman"/>
          <w:sz w:val="24"/>
          <w:szCs w:val="24"/>
        </w:rPr>
        <w:t xml:space="preserve"> Enabling </w:t>
      </w:r>
      <w:r w:rsidRPr="6FC3E2E7">
        <w:rPr>
          <w:rFonts w:ascii="Times New Roman" w:eastAsia="Times New Roman" w:hAnsi="Times New Roman" w:cs="Times New Roman"/>
          <w:sz w:val="24"/>
          <w:szCs w:val="24"/>
        </w:rPr>
        <w:t>Forest Investment Development Facility (ForInvest)</w:t>
      </w:r>
    </w:p>
    <w:p w14:paraId="7ED66348" w14:textId="77777777" w:rsidR="00290D8C" w:rsidRDefault="00290D8C">
      <w:pPr>
        <w:spacing w:after="0" w:line="240" w:lineRule="auto"/>
        <w:jc w:val="center"/>
      </w:pPr>
    </w:p>
    <w:p w14:paraId="01ABC376" w14:textId="46261F84" w:rsidR="00290D8C" w:rsidRDefault="491414B4">
      <w:pPr>
        <w:spacing w:after="0" w:line="240" w:lineRule="auto"/>
        <w:jc w:val="center"/>
      </w:pPr>
      <w:r w:rsidRPr="6FC3E2E7">
        <w:rPr>
          <w:rFonts w:ascii="Times New Roman" w:eastAsia="Times New Roman" w:hAnsi="Times New Roman" w:cs="Times New Roman"/>
          <w:sz w:val="24"/>
          <w:szCs w:val="24"/>
        </w:rPr>
        <w:t>This is the announcement of fu</w:t>
      </w:r>
      <w:r w:rsidR="126EEC4A" w:rsidRPr="6FC3E2E7">
        <w:rPr>
          <w:rFonts w:ascii="Times New Roman" w:eastAsia="Times New Roman" w:hAnsi="Times New Roman" w:cs="Times New Roman"/>
          <w:sz w:val="24"/>
          <w:szCs w:val="24"/>
        </w:rPr>
        <w:t>n</w:t>
      </w:r>
      <w:r w:rsidR="388E7F71" w:rsidRPr="6FC3E2E7">
        <w:rPr>
          <w:rFonts w:ascii="Times New Roman" w:eastAsia="Times New Roman" w:hAnsi="Times New Roman" w:cs="Times New Roman"/>
          <w:sz w:val="24"/>
          <w:szCs w:val="24"/>
        </w:rPr>
        <w:t>ding opportunity</w:t>
      </w:r>
      <w:r w:rsidR="1FFCAD9C" w:rsidRPr="6FC3E2E7">
        <w:rPr>
          <w:rFonts w:ascii="Times New Roman" w:eastAsia="Times New Roman" w:hAnsi="Times New Roman" w:cs="Times New Roman"/>
          <w:sz w:val="24"/>
          <w:szCs w:val="24"/>
        </w:rPr>
        <w:t xml:space="preserve"> number</w:t>
      </w:r>
      <w:r w:rsidR="388E7F71" w:rsidRPr="6FC3E2E7">
        <w:rPr>
          <w:rFonts w:ascii="Times New Roman" w:eastAsia="Times New Roman" w:hAnsi="Times New Roman" w:cs="Times New Roman"/>
          <w:sz w:val="24"/>
          <w:szCs w:val="24"/>
        </w:rPr>
        <w:t xml:space="preserve"> </w:t>
      </w:r>
      <w:r w:rsidR="00CA52ED" w:rsidRPr="00CA52ED">
        <w:rPr>
          <w:rFonts w:ascii="Times New Roman" w:eastAsia="Times New Roman" w:hAnsi="Times New Roman" w:cs="Times New Roman"/>
          <w:b/>
          <w:bCs/>
          <w:sz w:val="24"/>
          <w:szCs w:val="24"/>
        </w:rPr>
        <w:t>SFOP0008827</w:t>
      </w:r>
    </w:p>
    <w:p w14:paraId="3576348C" w14:textId="77777777" w:rsidR="00290D8C" w:rsidRDefault="00290D8C">
      <w:pPr>
        <w:spacing w:after="0" w:line="240" w:lineRule="auto"/>
        <w:jc w:val="center"/>
      </w:pPr>
    </w:p>
    <w:p w14:paraId="12CABEEC" w14:textId="5C09A6E5" w:rsidR="00290D8C" w:rsidRDefault="388E7F71">
      <w:pPr>
        <w:spacing w:after="0" w:line="240" w:lineRule="auto"/>
      </w:pPr>
      <w:r w:rsidRPr="6FC3E2E7">
        <w:rPr>
          <w:rFonts w:ascii="Times New Roman" w:eastAsia="Times New Roman" w:hAnsi="Times New Roman" w:cs="Times New Roman"/>
          <w:b/>
          <w:bCs/>
          <w:sz w:val="24"/>
          <w:szCs w:val="24"/>
        </w:rPr>
        <w:t>Catalog of Federal Domestic Assistance Number:</w:t>
      </w:r>
      <w:r w:rsidRPr="6FC3E2E7">
        <w:rPr>
          <w:rFonts w:ascii="Times New Roman" w:eastAsia="Times New Roman" w:hAnsi="Times New Roman" w:cs="Times New Roman"/>
          <w:sz w:val="24"/>
          <w:szCs w:val="24"/>
        </w:rPr>
        <w:t xml:space="preserve"> </w:t>
      </w:r>
      <w:r w:rsidR="7C291A4C"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19.</w:t>
      </w:r>
      <w:r w:rsidR="00B73EC9">
        <w:rPr>
          <w:rFonts w:ascii="Times New Roman" w:eastAsia="Times New Roman" w:hAnsi="Times New Roman" w:cs="Times New Roman"/>
          <w:sz w:val="24"/>
          <w:szCs w:val="24"/>
        </w:rPr>
        <w:t>017</w:t>
      </w:r>
    </w:p>
    <w:p w14:paraId="070B28F9" w14:textId="77777777" w:rsidR="00290D8C" w:rsidRDefault="00290D8C">
      <w:pPr>
        <w:spacing w:after="0" w:line="240" w:lineRule="auto"/>
      </w:pPr>
    </w:p>
    <w:p w14:paraId="522F85A3" w14:textId="15349351"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0D2D82">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56221BE5"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F6391F">
        <w:rPr>
          <w:rFonts w:ascii="Times New Roman" w:eastAsia="Times New Roman" w:hAnsi="Times New Roman" w:cs="Times New Roman"/>
          <w:sz w:val="24"/>
          <w:szCs w:val="24"/>
        </w:rPr>
        <w:t>30, May, 2022</w:t>
      </w:r>
    </w:p>
    <w:p w14:paraId="68081120" w14:textId="658C6972" w:rsidR="009B305D" w:rsidRDefault="009B305D" w:rsidP="6FC3E2E7">
      <w:pPr>
        <w:spacing w:after="0" w:line="240" w:lineRule="auto"/>
        <w:rPr>
          <w:rFonts w:ascii="Times New Roman" w:eastAsia="Times New Roman" w:hAnsi="Times New Roman" w:cs="Times New Roman"/>
          <w:sz w:val="24"/>
          <w:szCs w:val="24"/>
        </w:rPr>
      </w:pPr>
      <w:bookmarkStart w:id="0" w:name="_Hlk87978837"/>
    </w:p>
    <w:p w14:paraId="1EEBDBBB" w14:textId="1981C482" w:rsidR="00901D07" w:rsidRDefault="37B1D061" w:rsidP="6FC3E2E7">
      <w:pPr>
        <w:spacing w:after="0" w:line="240" w:lineRule="auto"/>
        <w:rPr>
          <w:rFonts w:ascii="Times New Roman" w:eastAsia="Times New Roman" w:hAnsi="Times New Roman" w:cs="Times New Roman"/>
          <w:b/>
          <w:bCs/>
          <w:sz w:val="24"/>
          <w:szCs w:val="24"/>
        </w:rPr>
      </w:pPr>
      <w:r w:rsidRPr="6FC3E2E7">
        <w:rPr>
          <w:rFonts w:ascii="Times New Roman" w:eastAsia="Times New Roman" w:hAnsi="Times New Roman" w:cs="Times New Roman"/>
          <w:b/>
          <w:bCs/>
          <w:sz w:val="24"/>
          <w:szCs w:val="24"/>
        </w:rPr>
        <w:t xml:space="preserve">Total </w:t>
      </w:r>
      <w:r w:rsidR="19C3AA91" w:rsidRPr="6FC3E2E7">
        <w:rPr>
          <w:rFonts w:ascii="Times New Roman" w:eastAsia="Times New Roman" w:hAnsi="Times New Roman" w:cs="Times New Roman"/>
          <w:b/>
          <w:bCs/>
          <w:sz w:val="24"/>
          <w:szCs w:val="24"/>
        </w:rPr>
        <w:t>Funding Ceiling</w:t>
      </w:r>
      <w:r w:rsidR="39CB038E" w:rsidRPr="6FC3E2E7">
        <w:rPr>
          <w:rFonts w:ascii="Times New Roman" w:eastAsia="Times New Roman" w:hAnsi="Times New Roman" w:cs="Times New Roman"/>
          <w:b/>
          <w:bCs/>
          <w:sz w:val="24"/>
          <w:szCs w:val="24"/>
        </w:rPr>
        <w:t xml:space="preserve">:  </w:t>
      </w:r>
      <w:r w:rsidR="6FC3E2E7" w:rsidRPr="6FC3E2E7">
        <w:rPr>
          <w:rFonts w:ascii="Times New Roman" w:eastAsia="Times New Roman" w:hAnsi="Times New Roman" w:cs="Times New Roman"/>
          <w:b/>
          <w:bCs/>
          <w:sz w:val="24"/>
          <w:szCs w:val="24"/>
        </w:rPr>
        <w:t>$5,135,000 USD</w:t>
      </w:r>
    </w:p>
    <w:bookmarkEnd w:id="0"/>
    <w:p w14:paraId="6160AB78" w14:textId="6D097636" w:rsidR="00901D07" w:rsidRDefault="00901D07" w:rsidP="6FC3E2E7">
      <w:pPr>
        <w:spacing w:after="0" w:line="240" w:lineRule="auto"/>
        <w:rPr>
          <w:rFonts w:ascii="Times New Roman" w:eastAsia="Times New Roman" w:hAnsi="Times New Roman" w:cs="Times New Roman"/>
          <w:sz w:val="24"/>
          <w:szCs w:val="24"/>
        </w:rPr>
      </w:pPr>
    </w:p>
    <w:p w14:paraId="549F06B7" w14:textId="789A1DDA" w:rsidR="009B305D" w:rsidRDefault="26A73CC1" w:rsidP="6FC3E2E7">
      <w:pPr>
        <w:spacing w:after="0" w:line="240" w:lineRule="auto"/>
        <w:rPr>
          <w:rFonts w:ascii="Times New Roman" w:eastAsia="Times New Roman" w:hAnsi="Times New Roman" w:cs="Times New Roman"/>
          <w:sz w:val="24"/>
          <w:szCs w:val="24"/>
          <w:highlight w:val="yellow"/>
        </w:rPr>
      </w:pPr>
      <w:r w:rsidRPr="6FC3E2E7">
        <w:rPr>
          <w:rFonts w:ascii="Times New Roman" w:eastAsia="Times New Roman" w:hAnsi="Times New Roman" w:cs="Times New Roman"/>
          <w:b/>
          <w:bCs/>
          <w:sz w:val="24"/>
          <w:szCs w:val="24"/>
        </w:rPr>
        <w:t>Anticipated Number of Awards:</w:t>
      </w:r>
      <w:r w:rsidR="06A80D4D"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b/>
          <w:bCs/>
          <w:sz w:val="24"/>
          <w:szCs w:val="24"/>
        </w:rPr>
        <w:t xml:space="preserve"> 1</w:t>
      </w:r>
    </w:p>
    <w:p w14:paraId="73D17870" w14:textId="77777777" w:rsidR="003221AC" w:rsidRDefault="003221AC" w:rsidP="003221AC">
      <w:pPr>
        <w:spacing w:after="0" w:line="240" w:lineRule="auto"/>
        <w:rPr>
          <w:rFonts w:ascii="Times New Roman" w:hAnsi="Times New Roman" w:cs="Times New Roman"/>
        </w:rPr>
      </w:pPr>
    </w:p>
    <w:p w14:paraId="46065859" w14:textId="3E19106E" w:rsidR="003221AC" w:rsidRPr="0094606D" w:rsidRDefault="32B908EB" w:rsidP="003221AC">
      <w:pPr>
        <w:spacing w:after="0" w:line="240" w:lineRule="auto"/>
        <w:rPr>
          <w:rFonts w:ascii="Times New Roman" w:hAnsi="Times New Roman" w:cs="Times New Roman"/>
          <w:sz w:val="24"/>
          <w:szCs w:val="24"/>
        </w:rPr>
      </w:pPr>
      <w:r w:rsidRPr="5A2680D9">
        <w:rPr>
          <w:rFonts w:ascii="Times New Roman" w:hAnsi="Times New Roman" w:cs="Times New Roman"/>
          <w:b/>
          <w:bCs/>
          <w:sz w:val="24"/>
          <w:szCs w:val="24"/>
        </w:rPr>
        <w:t>Type of Award:</w:t>
      </w:r>
      <w:r w:rsidRPr="5A2680D9">
        <w:rPr>
          <w:rFonts w:ascii="Times New Roman" w:hAnsi="Times New Roman" w:cs="Times New Roman"/>
          <w:sz w:val="24"/>
          <w:szCs w:val="24"/>
        </w:rPr>
        <w:t xml:space="preserve"> Cooperative Agreement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226A403B" w:rsidR="009B305D" w:rsidRPr="00CC13CD" w:rsidRDefault="009B305D" w:rsidP="29DD97D1">
      <w:pPr>
        <w:spacing w:after="0" w:line="240" w:lineRule="auto"/>
        <w:rPr>
          <w:b/>
          <w:bCs/>
        </w:rPr>
      </w:pPr>
      <w:r w:rsidRPr="29DD97D1">
        <w:rPr>
          <w:rFonts w:ascii="Times New Roman" w:eastAsia="Times New Roman" w:hAnsi="Times New Roman" w:cs="Times New Roman"/>
          <w:b/>
          <w:bCs/>
          <w:sz w:val="24"/>
          <w:szCs w:val="24"/>
        </w:rPr>
        <w:t>Period of Performance:</w:t>
      </w:r>
      <w:r w:rsidR="002640C3" w:rsidRPr="29DD97D1">
        <w:rPr>
          <w:rFonts w:ascii="Times New Roman" w:eastAsia="Times New Roman" w:hAnsi="Times New Roman" w:cs="Times New Roman"/>
          <w:sz w:val="24"/>
          <w:szCs w:val="24"/>
        </w:rPr>
        <w:t xml:space="preserve"> </w:t>
      </w:r>
      <w:r w:rsidR="005A2652" w:rsidRPr="29DD97D1">
        <w:rPr>
          <w:rFonts w:ascii="Times New Roman" w:eastAsia="Times New Roman" w:hAnsi="Times New Roman" w:cs="Times New Roman"/>
          <w:sz w:val="24"/>
          <w:szCs w:val="24"/>
        </w:rPr>
        <w:t xml:space="preserve"> 4 years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3CC5A621"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B73EC9">
        <w:rPr>
          <w:rFonts w:ascii="Times New Roman" w:eastAsia="Times New Roman" w:hAnsi="Times New Roman" w:cs="Times New Roman"/>
          <w:sz w:val="24"/>
          <w:szCs w:val="24"/>
        </w:rPr>
        <w:t>September 2022</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2E597BBF" w:rsidR="00290D8C" w:rsidRDefault="388E7F71">
      <w:pPr>
        <w:spacing w:after="0" w:line="240" w:lineRule="auto"/>
      </w:pPr>
      <w:r w:rsidRPr="6FC3E2E7">
        <w:rPr>
          <w:rFonts w:ascii="Times New Roman" w:eastAsia="Times New Roman" w:hAnsi="Times New Roman" w:cs="Times New Roman"/>
          <w:b/>
          <w:bCs/>
          <w:smallCaps/>
          <w:sz w:val="24"/>
          <w:szCs w:val="24"/>
        </w:rPr>
        <w:t>A.  Project Description</w:t>
      </w:r>
    </w:p>
    <w:p w14:paraId="7F878DA5" w14:textId="0FCAEB82" w:rsidR="29DD97D1"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Executive Summary</w:t>
      </w:r>
    </w:p>
    <w:p w14:paraId="1A77A840" w14:textId="1DF181F8" w:rsidR="29DD97D1"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The Bureau of Oceans and International Environmental and Scientific Affairs (OES) at the Department of State announces a Notice of Funding Opportunity (“NOFO”) for an award entitled, “</w:t>
      </w:r>
      <w:r w:rsidR="316A4C93" w:rsidRPr="6FC3E2E7">
        <w:rPr>
          <w:rFonts w:ascii="Times New Roman" w:eastAsia="Times New Roman" w:hAnsi="Times New Roman" w:cs="Times New Roman"/>
          <w:color w:val="000000" w:themeColor="text1"/>
          <w:sz w:val="24"/>
          <w:szCs w:val="24"/>
        </w:rPr>
        <w:t xml:space="preserve">Enabling </w:t>
      </w:r>
      <w:r w:rsidR="316A4C93" w:rsidRPr="6FC3E2E7">
        <w:rPr>
          <w:rFonts w:ascii="Times" w:eastAsia="Times" w:hAnsi="Times" w:cs="Times"/>
          <w:color w:val="000000" w:themeColor="text1"/>
          <w:sz w:val="24"/>
          <w:szCs w:val="24"/>
        </w:rPr>
        <w:t xml:space="preserve">Forest Investment Development Facility (ForInvest).”  </w:t>
      </w:r>
      <w:r w:rsidRPr="6FC3E2E7">
        <w:rPr>
          <w:rFonts w:ascii="Times New Roman" w:eastAsia="Times New Roman" w:hAnsi="Times New Roman" w:cs="Times New Roman"/>
          <w:color w:val="000000" w:themeColor="text1"/>
          <w:sz w:val="24"/>
          <w:szCs w:val="24"/>
        </w:rPr>
        <w:t>The award will use U.S. Fiscal Year 2021 Economic Support Funds, subject to Congressional approval and the continuing availability of funds.  T</w:t>
      </w:r>
      <w:r w:rsidR="316A4C93" w:rsidRPr="6FC3E2E7">
        <w:rPr>
          <w:rFonts w:ascii="Times New Roman" w:eastAsia="Times New Roman" w:hAnsi="Times New Roman" w:cs="Times New Roman"/>
          <w:color w:val="000000" w:themeColor="text1"/>
          <w:sz w:val="24"/>
          <w:szCs w:val="24"/>
        </w:rPr>
        <w:t xml:space="preserve">he Biden Administration has identified conserving, restoring, and improving management of forests and landscapes as a key element of an overall strategy to address the climate crisis.  </w:t>
      </w:r>
      <w:r w:rsidR="316A4C93" w:rsidRPr="6FC3E2E7">
        <w:rPr>
          <w:rFonts w:ascii="Times New Roman" w:eastAsia="Times New Roman" w:hAnsi="Times New Roman" w:cs="Times New Roman"/>
          <w:i/>
          <w:iCs/>
          <w:color w:val="000000" w:themeColor="text1"/>
          <w:sz w:val="24"/>
          <w:szCs w:val="24"/>
        </w:rPr>
        <w:t>The Plan to Conserve Global Forests: Critical Carbon Sinks</w:t>
      </w:r>
      <w:r w:rsidR="316A4C93" w:rsidRPr="6FC3E2E7">
        <w:rPr>
          <w:rFonts w:ascii="Times New Roman" w:eastAsia="Times New Roman" w:hAnsi="Times New Roman" w:cs="Times New Roman"/>
          <w:color w:val="000000" w:themeColor="text1"/>
          <w:sz w:val="24"/>
          <w:szCs w:val="24"/>
        </w:rPr>
        <w:t>, the U.S. government-wide plan to address global deforestation launched at COP26, recognizes the important role that private investment plays in the effective conservation, restoration, and improved management of forests.  The Plan identifies the vital role of catalyzing private sector investment, finance, and action to conserve critical carbon sinks to halting and reversing forest loss as a core objective.</w:t>
      </w:r>
    </w:p>
    <w:p w14:paraId="2F378079" w14:textId="70FD097E" w:rsidR="01E3B5AB" w:rsidRDefault="01E3B5AB" w:rsidP="6FC3E2E7">
      <w:pPr>
        <w:spacing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xml:space="preserve">The ForInvest project will work in developing countries in the </w:t>
      </w:r>
      <w:r w:rsidR="6FC3E2E7" w:rsidRPr="6FC3E2E7">
        <w:rPr>
          <w:rFonts w:ascii="Times New Roman" w:eastAsia="Times New Roman" w:hAnsi="Times New Roman" w:cs="Times New Roman"/>
          <w:sz w:val="24"/>
          <w:szCs w:val="24"/>
        </w:rPr>
        <w:t xml:space="preserve">three key geographies identified in the Plan to Conserve Global Forests: Critical Carbon Sinks: the Amazon basin, Congo basin, and South East Asia.  The project will support the Plan’s </w:t>
      </w:r>
      <w:r w:rsidRPr="6FC3E2E7">
        <w:rPr>
          <w:rFonts w:ascii="Times New Roman" w:eastAsia="Times New Roman" w:hAnsi="Times New Roman" w:cs="Times New Roman"/>
          <w:sz w:val="24"/>
          <w:szCs w:val="24"/>
        </w:rPr>
        <w:t>objective by facilitating and enabling</w:t>
      </w:r>
      <w:r w:rsidR="316A4C93" w:rsidRPr="6FC3E2E7">
        <w:rPr>
          <w:rFonts w:ascii="Times New Roman" w:eastAsia="Times New Roman" w:hAnsi="Times New Roman" w:cs="Times New Roman"/>
          <w:sz w:val="24"/>
          <w:szCs w:val="24"/>
        </w:rPr>
        <w:t xml:space="preserve"> investment, particularly from private sector financial institutions, in natural climate solutions and other land use activities that increase carbon storage or prevent greenhouse gas (GHG) emissions </w:t>
      </w:r>
      <w:r w:rsidR="316A4C93" w:rsidRPr="6FC3E2E7">
        <w:rPr>
          <w:rFonts w:ascii="Times New Roman" w:eastAsia="Times New Roman" w:hAnsi="Times New Roman" w:cs="Times New Roman"/>
          <w:sz w:val="24"/>
          <w:szCs w:val="24"/>
        </w:rPr>
        <w:lastRenderedPageBreak/>
        <w:t xml:space="preserve">from landscapes.  Specifically, the project will unlock investments by developing natural climate solutions-focused investment </w:t>
      </w:r>
      <w:r w:rsidR="002209A1" w:rsidRPr="6FC3E2E7">
        <w:rPr>
          <w:rFonts w:ascii="Times New Roman" w:eastAsia="Times New Roman" w:hAnsi="Times New Roman" w:cs="Times New Roman"/>
          <w:sz w:val="24"/>
          <w:szCs w:val="24"/>
        </w:rPr>
        <w:t>pipelines and</w:t>
      </w:r>
      <w:r w:rsidR="316A4C93" w:rsidRPr="6FC3E2E7">
        <w:rPr>
          <w:rFonts w:ascii="Times New Roman" w:eastAsia="Times New Roman" w:hAnsi="Times New Roman" w:cs="Times New Roman"/>
          <w:sz w:val="24"/>
          <w:szCs w:val="24"/>
        </w:rPr>
        <w:t xml:space="preserve"> linking investors to those pipelines.</w:t>
      </w:r>
    </w:p>
    <w:p w14:paraId="52480E2D" w14:textId="51EE82F1" w:rsidR="6FC3E2E7"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 xml:space="preserve">Eligibility is limited to U.S. non-profit/nongovernmental organizations (NGOs) subject to section 501(c)(3) of the U.S. tax code, foreign not-for-profit/NGOs, Public International Organizations; Foreign Public Organizations; for profit organizations, and educational institutions.  </w:t>
      </w:r>
    </w:p>
    <w:p w14:paraId="74811B6A" w14:textId="4AC7D196" w:rsidR="6FC3E2E7"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 xml:space="preserve">  </w:t>
      </w:r>
    </w:p>
    <w:p w14:paraId="0C8BC7F0" w14:textId="18C8CAC8" w:rsidR="6FC3E2E7"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 xml:space="preserve">An award for up to $5,135,000 U.S. Dollars (USD) in FY2021 Economic Support Funds (ESF) will be awarded for work that will support this project.  The initial period of performance will be approximately 4 years.  Funding authority rests in the Foreign Assistance Act of 1961, as amended and funds must be obligated by 30 September 2022.  </w:t>
      </w:r>
    </w:p>
    <w:p w14:paraId="73EB02AF" w14:textId="70B2F701" w:rsidR="6FC3E2E7"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 xml:space="preserve">  </w:t>
      </w:r>
    </w:p>
    <w:p w14:paraId="14D170BC" w14:textId="3AF6E895" w:rsidR="6FC3E2E7"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Contact Person:</w:t>
      </w:r>
      <w:r>
        <w:tab/>
      </w:r>
      <w:r w:rsidRPr="6FC3E2E7">
        <w:rPr>
          <w:rFonts w:ascii="Times" w:eastAsia="Times" w:hAnsi="Times" w:cs="Times"/>
          <w:sz w:val="24"/>
          <w:szCs w:val="24"/>
        </w:rPr>
        <w:t xml:space="preserve">For questions about technical content:  </w:t>
      </w:r>
    </w:p>
    <w:p w14:paraId="5E0A4F56" w14:textId="2644D262"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Daniel Kandy</w:t>
      </w:r>
    </w:p>
    <w:p w14:paraId="3D771707" w14:textId="35DF525F"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Bureau of Oceans and International Environmental and Scientific Affairs  </w:t>
      </w:r>
    </w:p>
    <w:p w14:paraId="193A5DE0" w14:textId="70F1A810"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KandyDD@state.gov  </w:t>
      </w:r>
    </w:p>
    <w:p w14:paraId="14D35719" w14:textId="24DDC934" w:rsidR="6FC3E2E7" w:rsidRDefault="6FC3E2E7" w:rsidP="6FC3E2E7">
      <w:pPr>
        <w:spacing w:after="0" w:line="240" w:lineRule="auto"/>
        <w:ind w:left="2160"/>
        <w:rPr>
          <w:rFonts w:ascii="Times" w:eastAsia="Times" w:hAnsi="Times" w:cs="Times"/>
          <w:sz w:val="24"/>
          <w:szCs w:val="24"/>
        </w:rPr>
      </w:pPr>
    </w:p>
    <w:p w14:paraId="48860572" w14:textId="266644E4"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AND</w:t>
      </w:r>
    </w:p>
    <w:p w14:paraId="2310225B" w14:textId="7B396290" w:rsidR="6FC3E2E7" w:rsidRDefault="6FC3E2E7" w:rsidP="6FC3E2E7">
      <w:pPr>
        <w:spacing w:after="0" w:line="240" w:lineRule="auto"/>
        <w:ind w:left="2160"/>
        <w:rPr>
          <w:rFonts w:ascii="Times" w:eastAsia="Times" w:hAnsi="Times" w:cs="Times"/>
          <w:sz w:val="24"/>
          <w:szCs w:val="24"/>
        </w:rPr>
      </w:pPr>
    </w:p>
    <w:p w14:paraId="5C95F3CB" w14:textId="251E26E1"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Emily Hall </w:t>
      </w:r>
    </w:p>
    <w:p w14:paraId="46B8FBB3" w14:textId="7403BFC7"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Bureau of Oceans and International Environmental and Scientific Affairs  </w:t>
      </w:r>
    </w:p>
    <w:p w14:paraId="6C723F6A" w14:textId="047705B2"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HallEE@state.gov</w:t>
      </w:r>
    </w:p>
    <w:p w14:paraId="79D8B201" w14:textId="352DF71C" w:rsidR="6FC3E2E7" w:rsidRDefault="6FC3E2E7" w:rsidP="6FC3E2E7">
      <w:pPr>
        <w:spacing w:after="0" w:line="240" w:lineRule="auto"/>
        <w:ind w:left="2160"/>
        <w:rPr>
          <w:rFonts w:ascii="Times" w:eastAsia="Times" w:hAnsi="Times" w:cs="Times"/>
          <w:sz w:val="24"/>
          <w:szCs w:val="24"/>
        </w:rPr>
      </w:pPr>
    </w:p>
    <w:p w14:paraId="5AC0AD7E" w14:textId="3D203ABE" w:rsidR="6FC3E2E7"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 xml:space="preserve">  </w:t>
      </w:r>
    </w:p>
    <w:p w14:paraId="1E072A4C" w14:textId="694E1451" w:rsidR="6FC3E2E7" w:rsidRDefault="6FC3E2E7" w:rsidP="6FC3E2E7">
      <w:pPr>
        <w:spacing w:after="0" w:line="240" w:lineRule="auto"/>
        <w:ind w:left="1440" w:firstLine="720"/>
        <w:rPr>
          <w:rFonts w:ascii="Times" w:eastAsia="Times" w:hAnsi="Times" w:cs="Times"/>
          <w:sz w:val="24"/>
          <w:szCs w:val="24"/>
        </w:rPr>
      </w:pPr>
      <w:r w:rsidRPr="6FC3E2E7">
        <w:rPr>
          <w:rFonts w:ascii="Times" w:eastAsia="Times" w:hAnsi="Times" w:cs="Times"/>
          <w:sz w:val="24"/>
          <w:szCs w:val="24"/>
        </w:rPr>
        <w:t xml:space="preserve">For questions on grant submission and administration:  </w:t>
      </w:r>
    </w:p>
    <w:p w14:paraId="68B664D6" w14:textId="251E26E1"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Emily Hall </w:t>
      </w:r>
    </w:p>
    <w:p w14:paraId="1A156664" w14:textId="7403BFC7"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Bureau of Oceans and International Environmental and Scientific Affairs  </w:t>
      </w:r>
    </w:p>
    <w:p w14:paraId="36A5AEAA" w14:textId="72793BD6"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HallEE@state.gov </w:t>
      </w:r>
    </w:p>
    <w:p w14:paraId="2A517AE2" w14:textId="27A91578" w:rsidR="6FC3E2E7" w:rsidRDefault="6FC3E2E7" w:rsidP="6FC3E2E7">
      <w:pPr>
        <w:spacing w:after="0" w:line="240" w:lineRule="auto"/>
        <w:ind w:left="2160"/>
        <w:rPr>
          <w:rFonts w:ascii="Times" w:eastAsia="Times" w:hAnsi="Times" w:cs="Times"/>
          <w:sz w:val="24"/>
          <w:szCs w:val="24"/>
        </w:rPr>
      </w:pPr>
      <w:r w:rsidRPr="6FC3E2E7">
        <w:rPr>
          <w:rFonts w:ascii="Times" w:eastAsia="Times" w:hAnsi="Times" w:cs="Times"/>
          <w:sz w:val="24"/>
          <w:szCs w:val="24"/>
        </w:rPr>
        <w:t xml:space="preserve">  </w:t>
      </w:r>
    </w:p>
    <w:p w14:paraId="6BD66895" w14:textId="76A6A3A3" w:rsidR="6FC3E2E7" w:rsidRDefault="6FC3E2E7" w:rsidP="6FC3E2E7">
      <w:pPr>
        <w:rPr>
          <w:rFonts w:ascii="Times" w:eastAsia="Times" w:hAnsi="Times" w:cs="Times"/>
          <w:sz w:val="24"/>
          <w:szCs w:val="24"/>
        </w:rPr>
      </w:pPr>
      <w:r w:rsidRPr="6FC3E2E7">
        <w:rPr>
          <w:rFonts w:ascii="Times" w:eastAsia="Times" w:hAnsi="Times" w:cs="Times"/>
          <w:b/>
          <w:bCs/>
          <w:sz w:val="24"/>
          <w:szCs w:val="24"/>
        </w:rPr>
        <w:t xml:space="preserve">Please read the entire solicitation package carefully.  If you plan to submit an application, there are steps that you should take immediately in order to make sure your application is submitted by the deadline. </w:t>
      </w:r>
      <w:r w:rsidRPr="6FC3E2E7">
        <w:rPr>
          <w:rFonts w:ascii="Times" w:eastAsia="Times" w:hAnsi="Times" w:cs="Times"/>
          <w:sz w:val="24"/>
          <w:szCs w:val="24"/>
        </w:rPr>
        <w:t xml:space="preserve"> </w:t>
      </w:r>
    </w:p>
    <w:p w14:paraId="1B0D8479" w14:textId="0AD4D5AD" w:rsidR="6FC3E2E7" w:rsidRDefault="6FC3E2E7" w:rsidP="6FC3E2E7">
      <w:pPr>
        <w:spacing w:after="0" w:line="240" w:lineRule="auto"/>
        <w:rPr>
          <w:rFonts w:ascii="Times New Roman" w:eastAsia="Times New Roman" w:hAnsi="Times New Roman" w:cs="Times New Roman"/>
          <w:sz w:val="24"/>
          <w:szCs w:val="24"/>
          <w:u w:val="single"/>
        </w:rPr>
      </w:pPr>
    </w:p>
    <w:p w14:paraId="0DBA3521" w14:textId="277099BA" w:rsidR="00EC7CD4" w:rsidRDefault="27460882" w:rsidP="6FC3E2E7">
      <w:pPr>
        <w:spacing w:after="0" w:line="240" w:lineRule="auto"/>
        <w:rPr>
          <w:rFonts w:ascii="Times New Roman" w:eastAsia="Times New Roman" w:hAnsi="Times New Roman" w:cs="Times New Roman"/>
          <w:b/>
          <w:bCs/>
          <w:sz w:val="24"/>
          <w:szCs w:val="24"/>
        </w:rPr>
      </w:pPr>
      <w:r w:rsidRPr="6FC3E2E7">
        <w:rPr>
          <w:rFonts w:ascii="Times New Roman" w:eastAsia="Times New Roman" w:hAnsi="Times New Roman" w:cs="Times New Roman"/>
          <w:b/>
          <w:bCs/>
          <w:sz w:val="24"/>
          <w:szCs w:val="24"/>
        </w:rPr>
        <w:t xml:space="preserve">A2. ForInvest Project Goals, Objectives, and Approach: </w:t>
      </w:r>
    </w:p>
    <w:p w14:paraId="16684E6A" w14:textId="146A9B61" w:rsidR="00EC7CD4" w:rsidRDefault="00EC7CD4" w:rsidP="5A2680D9">
      <w:pPr>
        <w:spacing w:after="0" w:line="240" w:lineRule="auto"/>
        <w:rPr>
          <w:rFonts w:ascii="Times New Roman" w:eastAsia="Times New Roman" w:hAnsi="Times New Roman" w:cs="Times New Roman"/>
          <w:sz w:val="24"/>
          <w:szCs w:val="24"/>
        </w:rPr>
      </w:pPr>
    </w:p>
    <w:p w14:paraId="79B7A8CE" w14:textId="145F780A" w:rsidR="00EC7CD4" w:rsidRDefault="27460882" w:rsidP="6FC3E2E7">
      <w:pPr>
        <w:spacing w:after="0" w:line="240" w:lineRule="auto"/>
        <w:rPr>
          <w:rFonts w:ascii="Times" w:eastAsia="Times" w:hAnsi="Times" w:cs="Times"/>
          <w:color w:val="000000" w:themeColor="text1"/>
          <w:sz w:val="24"/>
          <w:szCs w:val="24"/>
        </w:rPr>
      </w:pPr>
      <w:r w:rsidRPr="6FC3E2E7">
        <w:rPr>
          <w:rFonts w:ascii="Times New Roman" w:eastAsia="Times New Roman" w:hAnsi="Times New Roman" w:cs="Times New Roman"/>
          <w:sz w:val="24"/>
          <w:szCs w:val="24"/>
        </w:rPr>
        <w:t xml:space="preserve">The goal of the ForInvest is to facilitate investment in natural climate solutions in developing countries, especially in high-deforestation areas, by developing investment pipelines and connecting those opportunities with potential investors.  These investments should promote </w:t>
      </w:r>
      <w:r w:rsidR="316A4C93" w:rsidRPr="6FC3E2E7">
        <w:rPr>
          <w:rFonts w:ascii="Times" w:eastAsia="Times" w:hAnsi="Times" w:cs="Times"/>
          <w:color w:val="000000" w:themeColor="text1"/>
          <w:sz w:val="24"/>
          <w:szCs w:val="24"/>
        </w:rPr>
        <w:t>natural climate solutions and other land use activities that increase carbon storage or prevent greenhouse gas (GHG) emissions from landscapes.  The Project’s objectives include:</w:t>
      </w:r>
    </w:p>
    <w:p w14:paraId="16676D19" w14:textId="46E6CCC0" w:rsidR="00EC7CD4" w:rsidRDefault="27460882" w:rsidP="5A2680D9">
      <w:pPr>
        <w:pStyle w:val="ListParagraph"/>
        <w:numPr>
          <w:ilvl w:val="0"/>
          <w:numId w:val="11"/>
        </w:numPr>
        <w:spacing w:after="0" w:line="240" w:lineRule="auto"/>
        <w:rPr>
          <w:color w:val="000000" w:themeColor="text1"/>
          <w:sz w:val="24"/>
          <w:szCs w:val="24"/>
        </w:rPr>
      </w:pPr>
      <w:r w:rsidRPr="6FC3E2E7">
        <w:rPr>
          <w:rFonts w:ascii="Times New Roman" w:eastAsia="Times New Roman" w:hAnsi="Times New Roman" w:cs="Times New Roman"/>
          <w:sz w:val="24"/>
          <w:szCs w:val="24"/>
        </w:rPr>
        <w:t xml:space="preserve">Develop investment pipelines in developing countries consistent with countries’ Nationally Determined Contributions and </w:t>
      </w:r>
      <w:r w:rsidR="316A4C93" w:rsidRPr="6FC3E2E7">
        <w:rPr>
          <w:rFonts w:ascii="Times" w:eastAsia="Times" w:hAnsi="Times" w:cs="Times"/>
          <w:color w:val="000000" w:themeColor="text1"/>
          <w:sz w:val="24"/>
          <w:szCs w:val="24"/>
        </w:rPr>
        <w:t>climate and development objectives.</w:t>
      </w:r>
    </w:p>
    <w:p w14:paraId="2179E520" w14:textId="5A820BF9" w:rsidR="00EC7CD4" w:rsidRDefault="316A4C93" w:rsidP="6FC3E2E7">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 xml:space="preserve">Connect the pipeline of investable projects to investors via coordination and engagement with initiatives like the Forest Investor Club, </w:t>
      </w:r>
      <w:r w:rsidR="6FC3E2E7" w:rsidRPr="6FC3E2E7">
        <w:rPr>
          <w:rFonts w:ascii="Times New Roman" w:eastAsia="Times New Roman" w:hAnsi="Times New Roman" w:cs="Times New Roman"/>
          <w:sz w:val="24"/>
          <w:szCs w:val="24"/>
        </w:rPr>
        <w:t>Innovative Finance for the Amazon, Cerrado and Chaco (</w:t>
      </w:r>
      <w:r w:rsidRPr="6FC3E2E7">
        <w:rPr>
          <w:rFonts w:ascii="Times New Roman" w:eastAsia="Times New Roman" w:hAnsi="Times New Roman" w:cs="Times New Roman"/>
          <w:sz w:val="24"/>
          <w:szCs w:val="24"/>
        </w:rPr>
        <w:t xml:space="preserve">IFACC), and Mobilizing Finance for Forests. </w:t>
      </w:r>
    </w:p>
    <w:p w14:paraId="738D7CFA" w14:textId="246445B2" w:rsidR="00EC7CD4" w:rsidRDefault="316A4C93" w:rsidP="6FC3E2E7">
      <w:pPr>
        <w:pStyle w:val="ListParagraph"/>
        <w:numPr>
          <w:ilvl w:val="0"/>
          <w:numId w:val="11"/>
        </w:numPr>
        <w:spacing w:after="0" w:line="240" w:lineRule="auto"/>
        <w:rPr>
          <w:rFonts w:ascii="Times" w:eastAsia="Times" w:hAnsi="Times" w:cs="Times"/>
          <w:color w:val="000000" w:themeColor="text1"/>
          <w:sz w:val="24"/>
          <w:szCs w:val="24"/>
        </w:rPr>
      </w:pPr>
      <w:r w:rsidRPr="6FC3E2E7">
        <w:rPr>
          <w:rFonts w:ascii="Times" w:eastAsia="Times" w:hAnsi="Times" w:cs="Times"/>
          <w:color w:val="000000" w:themeColor="text1"/>
          <w:sz w:val="24"/>
          <w:szCs w:val="24"/>
        </w:rPr>
        <w:lastRenderedPageBreak/>
        <w:t>Collaborate with institutions including development banks, government ministries, financial institutions, and other initiatives to identify investment partners and relevant resources (I.e., technical assistance, catalytic capital, etc.).</w:t>
      </w:r>
      <w:r w:rsidR="6FC3E2E7" w:rsidRPr="6FC3E2E7">
        <w:rPr>
          <w:rFonts w:ascii="Times New Roman" w:eastAsia="Times New Roman" w:hAnsi="Times New Roman" w:cs="Times New Roman"/>
          <w:sz w:val="24"/>
          <w:szCs w:val="24"/>
        </w:rPr>
        <w:t xml:space="preserve"> </w:t>
      </w:r>
    </w:p>
    <w:p w14:paraId="137E6B48" w14:textId="7B5AC9EC" w:rsidR="00EC7CD4" w:rsidRDefault="6FC3E2E7" w:rsidP="6FC3E2E7">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Enhance the capacity of actors at all stages of project development and investment, including project developers, asset owners, investors, and other institutions, to engage in private investment for natural climate solutions.</w:t>
      </w:r>
    </w:p>
    <w:p w14:paraId="206CD9EF" w14:textId="60549546" w:rsidR="00EC7CD4" w:rsidRDefault="316A4C93" w:rsidP="6FC3E2E7">
      <w:pPr>
        <w:pStyle w:val="ListParagraph"/>
        <w:numPr>
          <w:ilvl w:val="0"/>
          <w:numId w:val="11"/>
        </w:numPr>
        <w:spacing w:after="0" w:line="240" w:lineRule="auto"/>
        <w:rPr>
          <w:color w:val="000000" w:themeColor="text1"/>
          <w:sz w:val="24"/>
          <w:szCs w:val="24"/>
        </w:rPr>
      </w:pPr>
      <w:r w:rsidRPr="6FC3E2E7">
        <w:rPr>
          <w:rFonts w:ascii="Times New Roman" w:eastAsia="Times New Roman" w:hAnsi="Times New Roman" w:cs="Times New Roman"/>
          <w:sz w:val="24"/>
          <w:szCs w:val="24"/>
        </w:rPr>
        <w:t>Exploring de-risking mechanisms and innovative financial mechanisms to unlock investment in collaboration with other public and private institutions.</w:t>
      </w:r>
    </w:p>
    <w:p w14:paraId="0077AD1B" w14:textId="5FB28D90" w:rsidR="00EC7CD4" w:rsidRDefault="00EC7CD4" w:rsidP="5A2680D9">
      <w:pPr>
        <w:spacing w:after="0" w:line="240" w:lineRule="auto"/>
        <w:rPr>
          <w:color w:val="auto"/>
        </w:rPr>
      </w:pPr>
    </w:p>
    <w:p w14:paraId="096ECEBF" w14:textId="4F4BAD51" w:rsidR="6FC3E2E7" w:rsidRDefault="6FC3E2E7" w:rsidP="6FC3E2E7">
      <w:p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 xml:space="preserve">Applicants should include in their proposal a detailed description of the proposed approach to achieve these goals and objectives.  </w:t>
      </w:r>
      <w:r w:rsidRPr="6FC3E2E7">
        <w:rPr>
          <w:rFonts w:ascii="Times New Roman" w:eastAsia="Times New Roman" w:hAnsi="Times New Roman" w:cs="Times New Roman"/>
          <w:color w:val="000000" w:themeColor="text1"/>
          <w:sz w:val="24"/>
          <w:szCs w:val="24"/>
        </w:rPr>
        <w:t>Applicants may propose a variety of approaches, including, but not limited to:</w:t>
      </w:r>
    </w:p>
    <w:p w14:paraId="02EBC5B0" w14:textId="7A7ED596" w:rsidR="316A4C93" w:rsidRDefault="316A4C93" w:rsidP="6FC3E2E7">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 xml:space="preserve">Providing guidance, technical assistance, and other advisory services to relevant stakeholders in developing countries, which may include project developers, </w:t>
      </w:r>
      <w:r w:rsidR="002209A1" w:rsidRPr="6FC3E2E7">
        <w:rPr>
          <w:rFonts w:ascii="Times New Roman" w:eastAsia="Times New Roman" w:hAnsi="Times New Roman" w:cs="Times New Roman"/>
          <w:sz w:val="24"/>
          <w:szCs w:val="24"/>
        </w:rPr>
        <w:t>development,</w:t>
      </w:r>
      <w:r w:rsidRPr="6FC3E2E7">
        <w:rPr>
          <w:rFonts w:ascii="Times New Roman" w:eastAsia="Times New Roman" w:hAnsi="Times New Roman" w:cs="Times New Roman"/>
          <w:sz w:val="24"/>
          <w:szCs w:val="24"/>
        </w:rPr>
        <w:t xml:space="preserve"> and green banks, and/or governments, to bring projects to market-readiness and improve pipeline development capacity and expertise.</w:t>
      </w:r>
    </w:p>
    <w:p w14:paraId="34DE26CC" w14:textId="11587AA1" w:rsidR="6FC3E2E7" w:rsidRDefault="6FC3E2E7" w:rsidP="6FC3E2E7">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Using new tools and methods and/or expanding use of existing tools and methods to aggregate projects to achieve sufficient scale for investment.</w:t>
      </w:r>
    </w:p>
    <w:p w14:paraId="4245041C" w14:textId="4DD9CA7E" w:rsidR="6FC3E2E7" w:rsidRDefault="6FC3E2E7" w:rsidP="6FC3E2E7">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Developing programmatic tools, collaborate with incubators, investment platforms, and foundations to provide seed capital or investment to early-stage projects.</w:t>
      </w:r>
    </w:p>
    <w:p w14:paraId="60EDB48E" w14:textId="4F534AB1" w:rsidR="6FC3E2E7" w:rsidRDefault="6FC3E2E7" w:rsidP="6FC3E2E7">
      <w:pPr>
        <w:pStyle w:val="ListParagraph"/>
        <w:numPr>
          <w:ilvl w:val="0"/>
          <w:numId w:val="9"/>
        </w:numPr>
        <w:spacing w:after="0" w:line="240" w:lineRule="auto"/>
        <w:rPr>
          <w:color w:val="000000" w:themeColor="text1"/>
          <w:sz w:val="24"/>
          <w:szCs w:val="24"/>
        </w:rPr>
      </w:pPr>
      <w:r w:rsidRPr="6FC3E2E7">
        <w:rPr>
          <w:rFonts w:ascii="Times New Roman" w:eastAsia="Times New Roman" w:hAnsi="Times New Roman" w:cs="Times New Roman"/>
          <w:sz w:val="24"/>
          <w:szCs w:val="24"/>
        </w:rPr>
        <w:t>Leveraging existing tools or develop new tools to mitigate key investor risks (i.e., foreign exchange, political risk, longer-term credit for nature-based solutions, etc.).</w:t>
      </w:r>
    </w:p>
    <w:p w14:paraId="7E788AB1" w14:textId="2DBC77E1" w:rsidR="6FC3E2E7" w:rsidRDefault="6FC3E2E7" w:rsidP="6FC3E2E7">
      <w:pPr>
        <w:spacing w:after="0" w:line="240" w:lineRule="auto"/>
        <w:rPr>
          <w:rFonts w:ascii="Times" w:eastAsia="Times" w:hAnsi="Times" w:cs="Times"/>
          <w:color w:val="000000" w:themeColor="text1"/>
          <w:sz w:val="24"/>
          <w:szCs w:val="24"/>
        </w:rPr>
      </w:pPr>
    </w:p>
    <w:p w14:paraId="5815DAEB" w14:textId="083EE8FA"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u w:val="single"/>
        </w:rPr>
        <w:t>Geographic Emphasis/Countries of Implementation</w:t>
      </w:r>
    </w:p>
    <w:p w14:paraId="2466EB26" w14:textId="2D6FDA65" w:rsidR="6FC3E2E7" w:rsidRDefault="6FC3E2E7" w:rsidP="6FC3E2E7">
      <w:p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The project should encompass all three the key geographies identified in the </w:t>
      </w:r>
      <w:r w:rsidRPr="6FC3E2E7">
        <w:rPr>
          <w:rFonts w:ascii="Times New Roman" w:eastAsia="Times New Roman" w:hAnsi="Times New Roman" w:cs="Times New Roman"/>
          <w:i/>
          <w:iCs/>
          <w:color w:val="000000" w:themeColor="text1"/>
          <w:sz w:val="24"/>
          <w:szCs w:val="24"/>
        </w:rPr>
        <w:t xml:space="preserve">Plan to Conserve Global Forests: Critical Carbon Sinks: </w:t>
      </w:r>
      <w:r w:rsidRPr="6FC3E2E7">
        <w:rPr>
          <w:rFonts w:ascii="Times New Roman" w:eastAsia="Times New Roman" w:hAnsi="Times New Roman" w:cs="Times New Roman"/>
          <w:color w:val="000000" w:themeColor="text1"/>
          <w:sz w:val="24"/>
          <w:szCs w:val="24"/>
        </w:rPr>
        <w:t xml:space="preserve">the Amazon basin, Congo basin, and </w:t>
      </w:r>
      <w:r w:rsidR="00ED62D1" w:rsidRPr="6FC3E2E7">
        <w:rPr>
          <w:rFonts w:ascii="Times New Roman" w:eastAsia="Times New Roman" w:hAnsi="Times New Roman" w:cs="Times New Roman"/>
          <w:color w:val="000000" w:themeColor="text1"/>
          <w:sz w:val="24"/>
          <w:szCs w:val="24"/>
        </w:rPr>
        <w:t>Southeast</w:t>
      </w:r>
      <w:r w:rsidRPr="6FC3E2E7">
        <w:rPr>
          <w:rFonts w:ascii="Times New Roman" w:eastAsia="Times New Roman" w:hAnsi="Times New Roman" w:cs="Times New Roman"/>
          <w:color w:val="000000" w:themeColor="text1"/>
          <w:sz w:val="24"/>
          <w:szCs w:val="24"/>
        </w:rPr>
        <w:t xml:space="preserve"> Asia. The proposal should focus on one key high-impact country in each region, for example Brazil, Indonesia, and the Democratic Republic of Congo, as well as 1-3 additional countries in each region.  Proposals should clearly articulate the proposed countries, selected from the list below, and document why these are the best countries for ForInvest success and the capacity of the implementer to carry out work in those countries.</w:t>
      </w:r>
    </w:p>
    <w:p w14:paraId="2C0F6290" w14:textId="20895B3C" w:rsidR="6FC3E2E7" w:rsidRDefault="6FC3E2E7" w:rsidP="6FC3E2E7">
      <w:pPr>
        <w:spacing w:after="0" w:line="240" w:lineRule="auto"/>
        <w:rPr>
          <w:rFonts w:ascii="Times New Roman" w:eastAsia="Times New Roman" w:hAnsi="Times New Roman" w:cs="Times New Roman"/>
          <w:color w:val="000000" w:themeColor="text1"/>
          <w:sz w:val="24"/>
          <w:szCs w:val="24"/>
        </w:rPr>
      </w:pPr>
    </w:p>
    <w:p w14:paraId="0B098ACC" w14:textId="09B7CD0F" w:rsidR="6FC3E2E7" w:rsidRDefault="6FC3E2E7" w:rsidP="6FC3E2E7">
      <w:pPr>
        <w:spacing w:after="0" w:line="240" w:lineRule="auto"/>
        <w:rPr>
          <w:rFonts w:ascii="Times" w:eastAsia="Times" w:hAnsi="Times" w:cs="Times"/>
          <w:color w:val="000000" w:themeColor="text1"/>
          <w:sz w:val="24"/>
          <w:szCs w:val="24"/>
        </w:rPr>
      </w:pPr>
      <w:r w:rsidRPr="6FC3E2E7">
        <w:rPr>
          <w:rFonts w:ascii="Times New Roman" w:eastAsia="Times New Roman" w:hAnsi="Times New Roman" w:cs="Times New Roman"/>
          <w:color w:val="000000" w:themeColor="text1"/>
          <w:sz w:val="24"/>
          <w:szCs w:val="24"/>
        </w:rPr>
        <w:t xml:space="preserve">Dependent on investment opportunities, the project may work in the following countries (50): </w:t>
      </w:r>
      <w:r w:rsidRPr="6FC3E2E7">
        <w:rPr>
          <w:rFonts w:ascii="Times" w:eastAsia="Times" w:hAnsi="Times" w:cs="Times"/>
          <w:color w:val="000000" w:themeColor="text1"/>
          <w:sz w:val="24"/>
          <w:szCs w:val="24"/>
        </w:rPr>
        <w:t>Argentina, Bhutan, Brazil, Argentina, Bhutan, Brazil, Burkina Faso, Cambodia, Cameroon, Chile, Colombia, Costa Rica, Côte d'Ivoire, Democratic Republic of Congo, Dominican Republic, Ecuador, El Salvador, Equatorial Guinea, Fiji, Gabon, Ghana, Guatemala, Guyana, Honduras, Indonesia, Kazakhstan, Kenya, Lao PDR, Madagascar, Malawi, Malaysia, Mexico, Mozambique, Nepal, Nigeria, Panama, Papua New Guinea, Paraguay, Peru, Philippines, Republic of Congo, Rwanda, Senegal, Sierra Leone, Suriname, Tanzania, Thailand, Uganda, Vietnam, and Zambia.</w:t>
      </w:r>
    </w:p>
    <w:p w14:paraId="3B7A7839" w14:textId="18E8F163" w:rsidR="6FC3E2E7" w:rsidRDefault="6FC3E2E7" w:rsidP="6FC3E2E7">
      <w:pPr>
        <w:spacing w:after="0" w:line="240" w:lineRule="auto"/>
        <w:rPr>
          <w:rFonts w:ascii="Times" w:eastAsia="Times" w:hAnsi="Times" w:cs="Times"/>
          <w:color w:val="000000" w:themeColor="text1"/>
          <w:sz w:val="24"/>
          <w:szCs w:val="24"/>
        </w:rPr>
      </w:pPr>
    </w:p>
    <w:p w14:paraId="0BFA90B6" w14:textId="1771E929" w:rsidR="6FC3E2E7" w:rsidRDefault="6FC3E2E7" w:rsidP="6FC3E2E7">
      <w:pPr>
        <w:spacing w:after="0" w:line="240" w:lineRule="auto"/>
        <w:rPr>
          <w:rFonts w:ascii="Times" w:eastAsia="Times" w:hAnsi="Times" w:cs="Times"/>
          <w:b/>
          <w:bCs/>
          <w:color w:val="000000" w:themeColor="text1"/>
          <w:sz w:val="24"/>
          <w:szCs w:val="24"/>
          <w:u w:val="single"/>
        </w:rPr>
      </w:pPr>
    </w:p>
    <w:p w14:paraId="5178A833" w14:textId="307FA425" w:rsidR="00EC7CD4" w:rsidRDefault="01E3B5AB" w:rsidP="6FC3E2E7">
      <w:pPr>
        <w:spacing w:after="0" w:line="240" w:lineRule="auto"/>
        <w:rPr>
          <w:rFonts w:ascii="Times" w:eastAsia="Times" w:hAnsi="Times" w:cs="Times"/>
          <w:b/>
          <w:bCs/>
          <w:color w:val="000000" w:themeColor="text1"/>
          <w:sz w:val="24"/>
          <w:szCs w:val="24"/>
          <w:u w:val="single"/>
        </w:rPr>
      </w:pPr>
      <w:r w:rsidRPr="6FC3E2E7">
        <w:rPr>
          <w:rFonts w:ascii="Times" w:eastAsia="Times" w:hAnsi="Times" w:cs="Times"/>
          <w:b/>
          <w:bCs/>
          <w:color w:val="000000" w:themeColor="text1"/>
          <w:sz w:val="24"/>
          <w:szCs w:val="24"/>
          <w:u w:val="single"/>
        </w:rPr>
        <w:t>A3. ForInvest Project Timeline, Deliverables, and Outcomes:</w:t>
      </w:r>
    </w:p>
    <w:p w14:paraId="5AEF5C80" w14:textId="77D8A72F" w:rsidR="00EC7CD4" w:rsidRDefault="00EC7CD4" w:rsidP="5A2680D9">
      <w:pPr>
        <w:spacing w:after="0" w:line="240" w:lineRule="auto"/>
        <w:rPr>
          <w:rFonts w:ascii="Times" w:eastAsia="Times" w:hAnsi="Times" w:cs="Times"/>
          <w:color w:val="000000" w:themeColor="text1"/>
          <w:sz w:val="24"/>
          <w:szCs w:val="24"/>
        </w:rPr>
      </w:pPr>
    </w:p>
    <w:p w14:paraId="01DFA2A3" w14:textId="2070A921" w:rsidR="0035360E" w:rsidRDefault="6FC3E2E7" w:rsidP="6FC3E2E7">
      <w:pPr>
        <w:spacing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rPr>
        <w:lastRenderedPageBreak/>
        <w:t>Applicants should include in their proposal an ambitious yet realistic timeline to achieve the project’s goal and objectives.  The timeline should align with and illustrate the applicant’s proposed approach and components for the project, and include as appropriate stages, sub-stages, activities, and timeframes.  Illustrative stages, which may overlap, include: scoping and work planning, implementation, and ensuring sustainability.</w:t>
      </w:r>
    </w:p>
    <w:p w14:paraId="2B959B8D" w14:textId="0754BC57" w:rsidR="0035360E" w:rsidRDefault="6FC3E2E7" w:rsidP="6FC3E2E7">
      <w:pPr>
        <w:spacing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rPr>
        <w:t>Applicants should use the table below to detail the timeline of program workstreams, milestones, outcomes, and deliverables related to achieving the project goals and objectives.  Place an X in the box for the semiannual period(s) when the activity will occur.  Add additional columns to the table to extend the timeline of implementation and deliverables.</w:t>
      </w:r>
    </w:p>
    <w:p w14:paraId="45514D71" w14:textId="3F170ADA" w:rsidR="0035360E" w:rsidRDefault="6FC3E2E7" w:rsidP="6FC3E2E7">
      <w:pPr>
        <w:spacing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i/>
          <w:iCs/>
          <w:color w:val="auto"/>
          <w:sz w:val="24"/>
          <w:szCs w:val="24"/>
        </w:rPr>
        <w:t>Semi-Annual 1 (SA1) refers to a semiannual period between October 1-March 31; SA2 is April 1-September 30.</w:t>
      </w:r>
    </w:p>
    <w:tbl>
      <w:tblPr>
        <w:tblStyle w:val="TableGrid"/>
        <w:tblW w:w="0" w:type="auto"/>
        <w:tblLayout w:type="fixed"/>
        <w:tblLook w:val="04A0" w:firstRow="1" w:lastRow="0" w:firstColumn="1" w:lastColumn="0" w:noHBand="0" w:noVBand="1"/>
      </w:tblPr>
      <w:tblGrid>
        <w:gridCol w:w="2671"/>
        <w:gridCol w:w="725"/>
        <w:gridCol w:w="687"/>
        <w:gridCol w:w="725"/>
        <w:gridCol w:w="712"/>
        <w:gridCol w:w="712"/>
        <w:gridCol w:w="712"/>
        <w:gridCol w:w="712"/>
        <w:gridCol w:w="712"/>
        <w:gridCol w:w="1125"/>
      </w:tblGrid>
      <w:tr w:rsidR="6FC3E2E7" w14:paraId="5B63AF4A" w14:textId="77777777" w:rsidTr="6FC3E2E7">
        <w:trPr>
          <w:trHeight w:val="1560"/>
        </w:trPr>
        <w:tc>
          <w:tcPr>
            <w:tcW w:w="2671" w:type="dxa"/>
            <w:shd w:val="clear" w:color="auto" w:fill="DAEEF3" w:themeFill="accent5" w:themeFillTint="33"/>
            <w:vAlign w:val="center"/>
          </w:tcPr>
          <w:p w14:paraId="4C421949" w14:textId="6CD64732" w:rsidR="6FC3E2E7" w:rsidRDefault="6FC3E2E7" w:rsidP="6FC3E2E7">
            <w:r w:rsidRPr="6FC3E2E7">
              <w:t xml:space="preserve">Table 1. Major Workstreams, Milestones, Outcomes, and Deliverables (Add additional rows, as relevant). Activities below are illustrative </w:t>
            </w:r>
          </w:p>
        </w:tc>
        <w:tc>
          <w:tcPr>
            <w:tcW w:w="725" w:type="dxa"/>
            <w:shd w:val="clear" w:color="auto" w:fill="DAEEF3" w:themeFill="accent5" w:themeFillTint="33"/>
            <w:vAlign w:val="center"/>
          </w:tcPr>
          <w:p w14:paraId="2A943A8E" w14:textId="045CDA86"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FY23 SA1</w:t>
            </w:r>
          </w:p>
        </w:tc>
        <w:tc>
          <w:tcPr>
            <w:tcW w:w="687" w:type="dxa"/>
            <w:shd w:val="clear" w:color="auto" w:fill="DAEEF3" w:themeFill="accent5" w:themeFillTint="33"/>
            <w:vAlign w:val="center"/>
          </w:tcPr>
          <w:p w14:paraId="1E00520B" w14:textId="0C56CBF0"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FY23 SA2</w:t>
            </w:r>
          </w:p>
        </w:tc>
        <w:tc>
          <w:tcPr>
            <w:tcW w:w="725" w:type="dxa"/>
            <w:shd w:val="clear" w:color="auto" w:fill="DAEEF3" w:themeFill="accent5" w:themeFillTint="33"/>
            <w:vAlign w:val="center"/>
          </w:tcPr>
          <w:p w14:paraId="4FC13F82" w14:textId="6B99B301"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FY24 SA1</w:t>
            </w:r>
          </w:p>
        </w:tc>
        <w:tc>
          <w:tcPr>
            <w:tcW w:w="712" w:type="dxa"/>
            <w:shd w:val="clear" w:color="auto" w:fill="DAEEF3" w:themeFill="accent5" w:themeFillTint="33"/>
            <w:vAlign w:val="center"/>
          </w:tcPr>
          <w:p w14:paraId="15A8A833" w14:textId="026EDAC5"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FY24 SA2</w:t>
            </w:r>
          </w:p>
        </w:tc>
        <w:tc>
          <w:tcPr>
            <w:tcW w:w="712" w:type="dxa"/>
            <w:shd w:val="clear" w:color="auto" w:fill="DAEEF3" w:themeFill="accent5" w:themeFillTint="33"/>
            <w:vAlign w:val="center"/>
          </w:tcPr>
          <w:p w14:paraId="7B06CB3A" w14:textId="15CEB619"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FY25 SA1</w:t>
            </w:r>
          </w:p>
        </w:tc>
        <w:tc>
          <w:tcPr>
            <w:tcW w:w="712" w:type="dxa"/>
            <w:shd w:val="clear" w:color="auto" w:fill="DAEEF3" w:themeFill="accent5" w:themeFillTint="33"/>
            <w:vAlign w:val="center"/>
          </w:tcPr>
          <w:p w14:paraId="423557A5" w14:textId="4E99004A"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FY25SA2</w:t>
            </w:r>
          </w:p>
        </w:tc>
        <w:tc>
          <w:tcPr>
            <w:tcW w:w="712" w:type="dxa"/>
            <w:shd w:val="clear" w:color="auto" w:fill="DAEEF3" w:themeFill="accent5" w:themeFillTint="33"/>
            <w:vAlign w:val="center"/>
          </w:tcPr>
          <w:p w14:paraId="62742251" w14:textId="034658EF"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FY26SA1</w:t>
            </w:r>
          </w:p>
        </w:tc>
        <w:tc>
          <w:tcPr>
            <w:tcW w:w="712" w:type="dxa"/>
            <w:shd w:val="clear" w:color="auto" w:fill="DAEEF3" w:themeFill="accent5" w:themeFillTint="33"/>
            <w:vAlign w:val="center"/>
          </w:tcPr>
          <w:p w14:paraId="136EE29A" w14:textId="2BDFEA53" w:rsidR="6FC3E2E7" w:rsidRDefault="6FC3E2E7" w:rsidP="6FC3E2E7">
            <w:pPr>
              <w:jc w:val="center"/>
              <w:rPr>
                <w:rFonts w:ascii="Arial Narrow" w:eastAsia="Arial Narrow" w:hAnsi="Arial Narrow" w:cs="Arial Narrow"/>
              </w:rPr>
            </w:pPr>
            <w:r w:rsidRPr="6FC3E2E7">
              <w:rPr>
                <w:rFonts w:ascii="Arial Narrow" w:eastAsia="Arial Narrow" w:hAnsi="Arial Narrow" w:cs="Arial Narrow"/>
              </w:rPr>
              <w:t>FY26SA2</w:t>
            </w:r>
          </w:p>
        </w:tc>
        <w:tc>
          <w:tcPr>
            <w:tcW w:w="1125" w:type="dxa"/>
            <w:shd w:val="clear" w:color="auto" w:fill="DAEEF3" w:themeFill="accent5" w:themeFillTint="33"/>
            <w:vAlign w:val="center"/>
          </w:tcPr>
          <w:p w14:paraId="3190B661" w14:textId="211D6498" w:rsidR="6FC3E2E7" w:rsidRDefault="6FC3E2E7" w:rsidP="6FC3E2E7">
            <w:pPr>
              <w:pStyle w:val="NoSpacing"/>
              <w:jc w:val="center"/>
              <w:rPr>
                <w:rFonts w:ascii="Aria narrow" w:eastAsia="Aria narrow" w:hAnsi="Aria narrow" w:cs="Aria narrow"/>
                <w:sz w:val="20"/>
                <w:szCs w:val="20"/>
              </w:rPr>
            </w:pPr>
            <w:r w:rsidRPr="6FC3E2E7">
              <w:rPr>
                <w:rFonts w:ascii="Aria narrow" w:eastAsia="Aria narrow" w:hAnsi="Aria narrow" w:cs="Aria narrow"/>
                <w:sz w:val="20"/>
                <w:szCs w:val="20"/>
              </w:rPr>
              <w:t>Add additional columns, as needed</w:t>
            </w:r>
          </w:p>
        </w:tc>
      </w:tr>
      <w:tr w:rsidR="6FC3E2E7" w14:paraId="7C48603A" w14:textId="77777777" w:rsidTr="6FC3E2E7">
        <w:tc>
          <w:tcPr>
            <w:tcW w:w="2671" w:type="dxa"/>
          </w:tcPr>
          <w:p w14:paraId="6B1CABCA" w14:textId="56A1D24E" w:rsidR="6FC3E2E7" w:rsidRDefault="6FC3E2E7" w:rsidP="6FC3E2E7">
            <w:r w:rsidRPr="6FC3E2E7">
              <w:t>1. Technical Assistance to X Country on Y Topic</w:t>
            </w:r>
          </w:p>
        </w:tc>
        <w:tc>
          <w:tcPr>
            <w:tcW w:w="725" w:type="dxa"/>
            <w:vAlign w:val="center"/>
          </w:tcPr>
          <w:p w14:paraId="566F95E9" w14:textId="32929122"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56F1D91F" w14:textId="1FC05EEA"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7C16144A" w14:textId="19016EA3"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6707EB5F" w14:textId="579D590C"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3E91781B" w14:textId="1433A57E"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6031C29F" w14:textId="3A8F7AE4"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34EBA196" w14:textId="4027445C"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2E31CE6D" w14:textId="2534DA9D"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54196AA4" w14:textId="40B8251F" w:rsidR="6FC3E2E7" w:rsidRDefault="6FC3E2E7" w:rsidP="6FC3E2E7">
            <w:pPr>
              <w:spacing w:after="200" w:line="276" w:lineRule="auto"/>
              <w:ind w:left="720"/>
              <w:jc w:val="both"/>
              <w:rPr>
                <w:rFonts w:ascii="Times New Roman" w:eastAsia="Times New Roman" w:hAnsi="Times New Roman" w:cs="Times New Roman"/>
                <w:sz w:val="24"/>
                <w:szCs w:val="24"/>
              </w:rPr>
            </w:pPr>
          </w:p>
        </w:tc>
      </w:tr>
      <w:tr w:rsidR="6FC3E2E7" w14:paraId="2D54BA15" w14:textId="77777777" w:rsidTr="6FC3E2E7">
        <w:tc>
          <w:tcPr>
            <w:tcW w:w="2671" w:type="dxa"/>
          </w:tcPr>
          <w:p w14:paraId="515C8069" w14:textId="32AED5A7" w:rsidR="6FC3E2E7" w:rsidRDefault="6FC3E2E7" w:rsidP="6FC3E2E7">
            <w:r w:rsidRPr="6FC3E2E7">
              <w:t>2. Workshop on XXX</w:t>
            </w:r>
          </w:p>
        </w:tc>
        <w:tc>
          <w:tcPr>
            <w:tcW w:w="725" w:type="dxa"/>
            <w:vAlign w:val="center"/>
          </w:tcPr>
          <w:p w14:paraId="7B934289" w14:textId="053D0446"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7865EEB8" w14:textId="44F2BFD8"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59F79718" w14:textId="68EFEB69"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5269C67E" w14:textId="07AA5B5A"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166E6BC4" w14:textId="6791AEB8"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496C0512" w14:textId="4FBF7D0A"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1C191BD2" w14:textId="6261FD18"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758F8591" w14:textId="06CAA01D"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22E72931" w14:textId="67F23A9D" w:rsidR="6FC3E2E7" w:rsidRDefault="6FC3E2E7" w:rsidP="6FC3E2E7">
            <w:pPr>
              <w:spacing w:after="200" w:line="276" w:lineRule="auto"/>
              <w:ind w:left="720"/>
              <w:jc w:val="both"/>
              <w:rPr>
                <w:rFonts w:ascii="Times New Roman" w:eastAsia="Times New Roman" w:hAnsi="Times New Roman" w:cs="Times New Roman"/>
                <w:sz w:val="24"/>
                <w:szCs w:val="24"/>
              </w:rPr>
            </w:pPr>
          </w:p>
        </w:tc>
      </w:tr>
      <w:tr w:rsidR="6FC3E2E7" w14:paraId="227365E7" w14:textId="77777777" w:rsidTr="6FC3E2E7">
        <w:trPr>
          <w:trHeight w:val="630"/>
        </w:trPr>
        <w:tc>
          <w:tcPr>
            <w:tcW w:w="2671" w:type="dxa"/>
          </w:tcPr>
          <w:p w14:paraId="4EF271F0" w14:textId="32E4998D" w:rsidR="6FC3E2E7" w:rsidRDefault="6FC3E2E7" w:rsidP="6FC3E2E7">
            <w:r w:rsidRPr="6FC3E2E7">
              <w:t>3. Draft Plan or Strategy</w:t>
            </w:r>
          </w:p>
        </w:tc>
        <w:tc>
          <w:tcPr>
            <w:tcW w:w="725" w:type="dxa"/>
            <w:vAlign w:val="center"/>
          </w:tcPr>
          <w:p w14:paraId="5D5AE295" w14:textId="41C820AB"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463E2453" w14:textId="228D71B6"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2A3F9FCE" w14:textId="7B09CB33"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6012296C" w14:textId="391B5F77"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553C2B0C" w14:textId="18D3BDED"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1F6AF642" w14:textId="5101EF5B" w:rsidR="6FC3E2E7" w:rsidRDefault="6FC3E2E7" w:rsidP="6FC3E2E7">
            <w:pPr>
              <w:spacing w:after="200" w:line="276" w:lineRule="auto"/>
              <w:ind w:left="720"/>
              <w:jc w:val="center"/>
              <w:rPr>
                <w:rFonts w:ascii="Times New Roman" w:eastAsia="Times New Roman" w:hAnsi="Times New Roman" w:cs="Times New Roman"/>
                <w:sz w:val="24"/>
                <w:szCs w:val="24"/>
              </w:rPr>
            </w:pPr>
          </w:p>
          <w:p w14:paraId="20DEC43C" w14:textId="448479A4"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69C61FEB" w14:textId="127997E9"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0103876B" w14:textId="1385058A"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1603B0B4" w14:textId="610A3CA4" w:rsidR="6FC3E2E7" w:rsidRDefault="6FC3E2E7" w:rsidP="6FC3E2E7">
            <w:pPr>
              <w:spacing w:after="200" w:line="276" w:lineRule="auto"/>
              <w:ind w:left="720"/>
              <w:jc w:val="both"/>
              <w:rPr>
                <w:rFonts w:ascii="Times New Roman" w:eastAsia="Times New Roman" w:hAnsi="Times New Roman" w:cs="Times New Roman"/>
                <w:sz w:val="24"/>
                <w:szCs w:val="24"/>
              </w:rPr>
            </w:pPr>
          </w:p>
        </w:tc>
      </w:tr>
      <w:tr w:rsidR="6FC3E2E7" w14:paraId="1E7C7F23" w14:textId="77777777" w:rsidTr="6FC3E2E7">
        <w:tc>
          <w:tcPr>
            <w:tcW w:w="2671" w:type="dxa"/>
          </w:tcPr>
          <w:p w14:paraId="1CB4EED9" w14:textId="4F946C77" w:rsidR="6FC3E2E7" w:rsidRDefault="6FC3E2E7" w:rsidP="6FC3E2E7">
            <w:r w:rsidRPr="6FC3E2E7">
              <w:t>4. Finalize X Strategy/Plan</w:t>
            </w:r>
          </w:p>
        </w:tc>
        <w:tc>
          <w:tcPr>
            <w:tcW w:w="725" w:type="dxa"/>
            <w:vAlign w:val="center"/>
          </w:tcPr>
          <w:p w14:paraId="34088F98" w14:textId="511DEA3F"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22591741" w14:textId="3B33888B"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144C49EC" w14:textId="1AEA13EF"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6F606ED4" w14:textId="39F60DEC"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5EDF2590" w14:textId="6B80B7FB"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22D1A2DA" w14:textId="02C40B81"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56677C4C" w14:textId="2D043734"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475E2810" w14:textId="12A9120F"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24DB8A43" w14:textId="0F2F242F" w:rsidR="6FC3E2E7" w:rsidRDefault="6FC3E2E7" w:rsidP="6FC3E2E7">
            <w:pPr>
              <w:spacing w:after="200" w:line="276" w:lineRule="auto"/>
              <w:ind w:left="720"/>
              <w:jc w:val="both"/>
              <w:rPr>
                <w:rFonts w:ascii="Times New Roman" w:eastAsia="Times New Roman" w:hAnsi="Times New Roman" w:cs="Times New Roman"/>
                <w:sz w:val="24"/>
                <w:szCs w:val="24"/>
              </w:rPr>
            </w:pPr>
          </w:p>
        </w:tc>
      </w:tr>
      <w:tr w:rsidR="6FC3E2E7" w14:paraId="21F68A3C" w14:textId="77777777" w:rsidTr="6FC3E2E7">
        <w:tc>
          <w:tcPr>
            <w:tcW w:w="2671" w:type="dxa"/>
          </w:tcPr>
          <w:p w14:paraId="5799FEAB" w14:textId="760EFCE4" w:rsidR="6FC3E2E7" w:rsidRDefault="6FC3E2E7" w:rsidP="6FC3E2E7">
            <w:r w:rsidRPr="6FC3E2E7">
              <w:t>5. Policy drafted, finalized to XXX</w:t>
            </w:r>
          </w:p>
        </w:tc>
        <w:tc>
          <w:tcPr>
            <w:tcW w:w="725" w:type="dxa"/>
            <w:vAlign w:val="center"/>
          </w:tcPr>
          <w:p w14:paraId="33CA99B2" w14:textId="7C8C7507"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2EB878E4" w14:textId="6DD58950"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12B61F8C" w14:textId="5D26B282"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26E1B7D6" w14:textId="1B9B911E"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1D31D978" w14:textId="22971BE0"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783FF922" w14:textId="14CF0652"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0332DF99" w14:textId="52E3F321"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59115F02" w14:textId="0E199744"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6D49A95B" w14:textId="74862644" w:rsidR="6FC3E2E7" w:rsidRDefault="6FC3E2E7" w:rsidP="6FC3E2E7">
            <w:pPr>
              <w:spacing w:after="200" w:line="276" w:lineRule="auto"/>
              <w:ind w:left="720"/>
              <w:jc w:val="both"/>
              <w:rPr>
                <w:rFonts w:ascii="Times New Roman" w:eastAsia="Times New Roman" w:hAnsi="Times New Roman" w:cs="Times New Roman"/>
                <w:sz w:val="24"/>
                <w:szCs w:val="24"/>
              </w:rPr>
            </w:pPr>
          </w:p>
        </w:tc>
      </w:tr>
      <w:tr w:rsidR="6FC3E2E7" w14:paraId="25B0C735" w14:textId="77777777" w:rsidTr="6FC3E2E7">
        <w:tc>
          <w:tcPr>
            <w:tcW w:w="2671" w:type="dxa"/>
          </w:tcPr>
          <w:p w14:paraId="2C4B39FE" w14:textId="02C36E32" w:rsidR="6FC3E2E7" w:rsidRDefault="6FC3E2E7" w:rsidP="6FC3E2E7">
            <w:r w:rsidRPr="6FC3E2E7">
              <w:t>6.  Initial Analysis/Report</w:t>
            </w:r>
          </w:p>
        </w:tc>
        <w:tc>
          <w:tcPr>
            <w:tcW w:w="725" w:type="dxa"/>
            <w:vAlign w:val="center"/>
          </w:tcPr>
          <w:p w14:paraId="0023C384" w14:textId="4977B85A"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6C709C39" w14:textId="014D6FEF"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585B9851" w14:textId="132348B1"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49B47665" w14:textId="3F103E57"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7C921DE6" w14:textId="2E1B739B"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6B024848" w14:textId="2252768B"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701D7E8C" w14:textId="5338AB65"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645CEE7C" w14:textId="24003991"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6FEEDD55" w14:textId="3AC1C911" w:rsidR="6FC3E2E7" w:rsidRDefault="6FC3E2E7" w:rsidP="6FC3E2E7">
            <w:pPr>
              <w:spacing w:after="200" w:line="276" w:lineRule="auto"/>
              <w:ind w:left="720"/>
              <w:jc w:val="both"/>
              <w:rPr>
                <w:rFonts w:ascii="Times New Roman" w:eastAsia="Times New Roman" w:hAnsi="Times New Roman" w:cs="Times New Roman"/>
                <w:sz w:val="24"/>
                <w:szCs w:val="24"/>
              </w:rPr>
            </w:pPr>
          </w:p>
        </w:tc>
      </w:tr>
      <w:tr w:rsidR="6FC3E2E7" w14:paraId="53A4BDB0" w14:textId="77777777" w:rsidTr="6FC3E2E7">
        <w:tc>
          <w:tcPr>
            <w:tcW w:w="2671" w:type="dxa"/>
          </w:tcPr>
          <w:p w14:paraId="751B35AE" w14:textId="634BE558" w:rsidR="6FC3E2E7" w:rsidRDefault="6FC3E2E7" w:rsidP="6FC3E2E7">
            <w:pPr>
              <w:spacing w:after="200" w:line="276" w:lineRule="auto"/>
              <w:rPr>
                <w:rFonts w:ascii="Arial Narrow" w:eastAsia="Arial Narrow" w:hAnsi="Arial Narrow" w:cs="Arial Narrow"/>
              </w:rPr>
            </w:pPr>
            <w:r w:rsidRPr="6FC3E2E7">
              <w:rPr>
                <w:rFonts w:ascii="Arial Narrow" w:eastAsia="Arial Narrow" w:hAnsi="Arial Narrow" w:cs="Arial Narrow"/>
              </w:rPr>
              <w:t>7.   Final Report</w:t>
            </w:r>
          </w:p>
        </w:tc>
        <w:tc>
          <w:tcPr>
            <w:tcW w:w="725" w:type="dxa"/>
            <w:vAlign w:val="center"/>
          </w:tcPr>
          <w:p w14:paraId="5AEA3AB8" w14:textId="3D8B95E4"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687" w:type="dxa"/>
            <w:vAlign w:val="center"/>
          </w:tcPr>
          <w:p w14:paraId="295420EA" w14:textId="292020CA"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25" w:type="dxa"/>
            <w:vAlign w:val="center"/>
          </w:tcPr>
          <w:p w14:paraId="2D0B24B7" w14:textId="61F4DDCF"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310FB355" w14:textId="356E1B48"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vAlign w:val="center"/>
          </w:tcPr>
          <w:p w14:paraId="78693830" w14:textId="5B530E7C"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5A86A154" w14:textId="018C6F31" w:rsidR="6FC3E2E7" w:rsidRDefault="6FC3E2E7" w:rsidP="6FC3E2E7">
            <w:pPr>
              <w:spacing w:after="200" w:line="276" w:lineRule="auto"/>
              <w:ind w:left="720"/>
              <w:jc w:val="center"/>
              <w:rPr>
                <w:rFonts w:ascii="Times New Roman" w:eastAsia="Times New Roman" w:hAnsi="Times New Roman" w:cs="Times New Roman"/>
                <w:sz w:val="24"/>
                <w:szCs w:val="24"/>
              </w:rPr>
            </w:pPr>
          </w:p>
        </w:tc>
        <w:tc>
          <w:tcPr>
            <w:tcW w:w="712" w:type="dxa"/>
          </w:tcPr>
          <w:p w14:paraId="37A84F0B" w14:textId="656C3D70" w:rsidR="6FC3E2E7" w:rsidRDefault="6FC3E2E7" w:rsidP="6FC3E2E7">
            <w:pPr>
              <w:spacing w:line="276" w:lineRule="auto"/>
              <w:jc w:val="center"/>
              <w:rPr>
                <w:rFonts w:ascii="Times New Roman" w:eastAsia="Times New Roman" w:hAnsi="Times New Roman" w:cs="Times New Roman"/>
                <w:sz w:val="24"/>
                <w:szCs w:val="24"/>
              </w:rPr>
            </w:pPr>
          </w:p>
        </w:tc>
        <w:tc>
          <w:tcPr>
            <w:tcW w:w="712" w:type="dxa"/>
          </w:tcPr>
          <w:p w14:paraId="09FD2A03" w14:textId="57C7690B" w:rsidR="6FC3E2E7" w:rsidRDefault="6FC3E2E7" w:rsidP="6FC3E2E7">
            <w:pPr>
              <w:spacing w:line="276" w:lineRule="auto"/>
              <w:jc w:val="center"/>
              <w:rPr>
                <w:rFonts w:ascii="Times New Roman" w:eastAsia="Times New Roman" w:hAnsi="Times New Roman" w:cs="Times New Roman"/>
                <w:sz w:val="24"/>
                <w:szCs w:val="24"/>
              </w:rPr>
            </w:pPr>
          </w:p>
        </w:tc>
        <w:tc>
          <w:tcPr>
            <w:tcW w:w="1125" w:type="dxa"/>
            <w:vAlign w:val="center"/>
          </w:tcPr>
          <w:p w14:paraId="7F2EAE8B" w14:textId="467D862D" w:rsidR="6FC3E2E7" w:rsidRDefault="6FC3E2E7" w:rsidP="6FC3E2E7">
            <w:pPr>
              <w:spacing w:after="200" w:line="276" w:lineRule="auto"/>
              <w:ind w:left="720"/>
              <w:jc w:val="both"/>
              <w:rPr>
                <w:rFonts w:ascii="Times New Roman" w:eastAsia="Times New Roman" w:hAnsi="Times New Roman" w:cs="Times New Roman"/>
                <w:sz w:val="24"/>
                <w:szCs w:val="24"/>
              </w:rPr>
            </w:pPr>
          </w:p>
        </w:tc>
      </w:tr>
    </w:tbl>
    <w:p w14:paraId="5A3C47FB" w14:textId="25D29926" w:rsidR="0035360E" w:rsidRDefault="0035360E" w:rsidP="6FC3E2E7">
      <w:pPr>
        <w:spacing w:line="240" w:lineRule="auto"/>
        <w:rPr>
          <w:rFonts w:ascii="Times New Roman" w:eastAsia="Times New Roman" w:hAnsi="Times New Roman" w:cs="Times New Roman"/>
          <w:color w:val="auto"/>
          <w:sz w:val="24"/>
          <w:szCs w:val="24"/>
        </w:rPr>
      </w:pPr>
    </w:p>
    <w:p w14:paraId="59A48624" w14:textId="0FD1BAA4" w:rsidR="0035360E" w:rsidRDefault="6FC3E2E7" w:rsidP="6FC3E2E7">
      <w:p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The project should lead to tangible outcomes to support the project’s goals and objectives. </w:t>
      </w:r>
      <w:r w:rsidR="316A4C93" w:rsidRPr="6FC3E2E7">
        <w:rPr>
          <w:rFonts w:ascii="Times New Roman" w:eastAsia="Times New Roman" w:hAnsi="Times New Roman" w:cs="Times New Roman"/>
          <w:color w:val="000000" w:themeColor="text1"/>
          <w:sz w:val="24"/>
          <w:szCs w:val="24"/>
        </w:rPr>
        <w:t xml:space="preserve">Success will be measured by a combination of quantitative and qualitative results.  </w:t>
      </w:r>
      <w:r w:rsidRPr="6FC3E2E7">
        <w:rPr>
          <w:rFonts w:ascii="Times New Roman" w:eastAsia="Times New Roman" w:hAnsi="Times New Roman" w:cs="Times New Roman"/>
          <w:color w:val="000000" w:themeColor="text1"/>
          <w:sz w:val="24"/>
          <w:szCs w:val="24"/>
        </w:rPr>
        <w:t xml:space="preserve">Applicants should include in the proposal an explanation of </w:t>
      </w:r>
      <w:r w:rsidR="316A4C93" w:rsidRPr="6FC3E2E7">
        <w:rPr>
          <w:rFonts w:ascii="Times New Roman" w:eastAsia="Times New Roman" w:hAnsi="Times New Roman" w:cs="Times New Roman"/>
          <w:color w:val="000000" w:themeColor="text1"/>
          <w:sz w:val="24"/>
          <w:szCs w:val="24"/>
        </w:rPr>
        <w:t>how they intend to measure success, as well as a</w:t>
      </w:r>
      <w:r w:rsidRPr="6FC3E2E7">
        <w:rPr>
          <w:rFonts w:ascii="Times New Roman" w:eastAsia="Times New Roman" w:hAnsi="Times New Roman" w:cs="Times New Roman"/>
          <w:color w:val="000000" w:themeColor="text1"/>
          <w:sz w:val="24"/>
          <w:szCs w:val="24"/>
        </w:rPr>
        <w:t xml:space="preserve"> list and description of deliverables and outcomes expected as part of the agreement, including numeric targets where appropriate. </w:t>
      </w:r>
    </w:p>
    <w:p w14:paraId="73DCF05B" w14:textId="5C378649" w:rsidR="0035360E" w:rsidRDefault="0035360E" w:rsidP="6FC3E2E7">
      <w:pPr>
        <w:spacing w:after="0" w:line="240" w:lineRule="auto"/>
        <w:rPr>
          <w:rFonts w:ascii="Times New Roman" w:eastAsia="Times New Roman" w:hAnsi="Times New Roman" w:cs="Times New Roman"/>
          <w:color w:val="000000" w:themeColor="text1"/>
          <w:sz w:val="24"/>
          <w:szCs w:val="24"/>
        </w:rPr>
      </w:pPr>
    </w:p>
    <w:p w14:paraId="2DA419DE" w14:textId="48B6450C" w:rsidR="0035360E" w:rsidRDefault="316A4C93"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 xml:space="preserve">The list below includes the Department of State’s standard indicators to measure programmatic outputs and outcomes related to Sustainable Landscapes as well as suggested custom outputs and deliverables that are specific to the ForInvest project.  In their proposal, applicants should select </w:t>
      </w:r>
      <w:r w:rsidRPr="6FC3E2E7">
        <w:rPr>
          <w:rFonts w:ascii="Times New Roman" w:eastAsia="Times New Roman" w:hAnsi="Times New Roman" w:cs="Times New Roman"/>
          <w:sz w:val="24"/>
          <w:szCs w:val="24"/>
        </w:rPr>
        <w:lastRenderedPageBreak/>
        <w:t xml:space="preserve">relevant standard indicators, including those marked with an asterisk, and add to the table below to propose a set of custom deliverables and/or outcomes that document and measure the project’s success in achieving the goals and objectives as described above.  Applicants should ensure that the selected indicators and custom deliverables and outcomes are aligned with their proposed approach.  </w:t>
      </w:r>
      <w:r w:rsidR="6FC3E2E7" w:rsidRPr="6FC3E2E7">
        <w:rPr>
          <w:rFonts w:ascii="Times New Roman" w:eastAsia="Times New Roman" w:hAnsi="Times New Roman" w:cs="Times New Roman"/>
          <w:color w:val="000000" w:themeColor="text1"/>
          <w:sz w:val="24"/>
          <w:szCs w:val="24"/>
        </w:rPr>
        <w:t>Annex II of this document includes the full definitions and disaggregates of the standard indicators.</w:t>
      </w:r>
    </w:p>
    <w:tbl>
      <w:tblPr>
        <w:tblStyle w:val="TableGrid"/>
        <w:tblW w:w="0" w:type="auto"/>
        <w:tblLayout w:type="fixed"/>
        <w:tblLook w:val="06A0" w:firstRow="1" w:lastRow="0" w:firstColumn="1" w:lastColumn="0" w:noHBand="1" w:noVBand="1"/>
      </w:tblPr>
      <w:tblGrid>
        <w:gridCol w:w="7488"/>
        <w:gridCol w:w="1872"/>
      </w:tblGrid>
      <w:tr w:rsidR="5A2680D9" w14:paraId="64F00AA7" w14:textId="77777777" w:rsidTr="6FC3E2E7">
        <w:tc>
          <w:tcPr>
            <w:tcW w:w="9360" w:type="dxa"/>
            <w:gridSpan w:val="2"/>
          </w:tcPr>
          <w:p w14:paraId="6246054F" w14:textId="6D917A13" w:rsidR="5A2680D9" w:rsidRDefault="01E3B5AB" w:rsidP="6FC3E2E7">
            <w:pPr>
              <w:jc w:val="center"/>
              <w:rPr>
                <w:rFonts w:ascii="Times New Roman" w:eastAsia="Times New Roman" w:hAnsi="Times New Roman" w:cs="Times New Roman"/>
                <w:b/>
                <w:bCs/>
                <w:sz w:val="24"/>
                <w:szCs w:val="24"/>
              </w:rPr>
            </w:pPr>
            <w:r w:rsidRPr="6FC3E2E7">
              <w:rPr>
                <w:rFonts w:ascii="Times New Roman" w:eastAsia="Times New Roman" w:hAnsi="Times New Roman" w:cs="Times New Roman"/>
                <w:b/>
                <w:bCs/>
                <w:sz w:val="24"/>
                <w:szCs w:val="24"/>
              </w:rPr>
              <w:t xml:space="preserve">Indicators, Deliverables, and Outcomes     </w:t>
            </w:r>
          </w:p>
        </w:tc>
      </w:tr>
      <w:tr w:rsidR="6FC3E2E7" w14:paraId="7293B8BF" w14:textId="77777777" w:rsidTr="6FC3E2E7">
        <w:tc>
          <w:tcPr>
            <w:tcW w:w="9360" w:type="dxa"/>
            <w:gridSpan w:val="2"/>
          </w:tcPr>
          <w:p w14:paraId="5D0E02F2" w14:textId="27602BD8" w:rsidR="6FC3E2E7" w:rsidRDefault="6FC3E2E7" w:rsidP="6FC3E2E7">
            <w:pPr>
              <w:spacing w:line="276" w:lineRule="auto"/>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Standard/F Framework Indicators – Sustainable Landscapes</w:t>
            </w:r>
          </w:p>
          <w:p w14:paraId="5248B52F" w14:textId="0C486B6F"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Please select relevant indicators from this list below, including but not limited to indicators marked with an asterisk</w:t>
            </w:r>
          </w:p>
        </w:tc>
      </w:tr>
      <w:tr w:rsidR="6FC3E2E7" w14:paraId="1291BB2A" w14:textId="77777777" w:rsidTr="6FC3E2E7">
        <w:tc>
          <w:tcPr>
            <w:tcW w:w="7488" w:type="dxa"/>
          </w:tcPr>
          <w:p w14:paraId="01E9579A" w14:textId="4AFD2E36"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13-1: Number of people trained in sustainable landscapes supported by USG assistance</w:t>
            </w:r>
          </w:p>
        </w:tc>
        <w:tc>
          <w:tcPr>
            <w:tcW w:w="1872" w:type="dxa"/>
          </w:tcPr>
          <w:p w14:paraId="59A36FB9" w14:textId="2D2B3B0C" w:rsidR="6FC3E2E7" w:rsidRDefault="6FC3E2E7" w:rsidP="6FC3E2E7">
            <w:pPr>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w:t>
            </w:r>
          </w:p>
        </w:tc>
      </w:tr>
      <w:tr w:rsidR="6FC3E2E7" w14:paraId="2FCD6C77" w14:textId="77777777" w:rsidTr="6FC3E2E7">
        <w:tc>
          <w:tcPr>
            <w:tcW w:w="7488" w:type="dxa"/>
          </w:tcPr>
          <w:p w14:paraId="65D3BA30" w14:textId="1172BAF6"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13-2: Number of institutions with improved capacity to address sustainable landscapes issues as supported by USG assistance*</w:t>
            </w:r>
          </w:p>
        </w:tc>
        <w:tc>
          <w:tcPr>
            <w:tcW w:w="1872" w:type="dxa"/>
          </w:tcPr>
          <w:p w14:paraId="503DA081" w14:textId="4A290B4C" w:rsidR="6FC3E2E7" w:rsidRDefault="6FC3E2E7" w:rsidP="6FC3E2E7">
            <w:pPr>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w:t>
            </w:r>
          </w:p>
        </w:tc>
      </w:tr>
      <w:tr w:rsidR="6FC3E2E7" w14:paraId="0353C745" w14:textId="77777777" w:rsidTr="6FC3E2E7">
        <w:tc>
          <w:tcPr>
            <w:tcW w:w="7488" w:type="dxa"/>
          </w:tcPr>
          <w:p w14:paraId="4918D09F" w14:textId="44BECD9A"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13-3: Number of laws, policies, regulations, or standards addressing sustainable landscapes formally proposed, adopted, or implemented as supported by USG assistance</w:t>
            </w:r>
          </w:p>
        </w:tc>
        <w:tc>
          <w:tcPr>
            <w:tcW w:w="1872" w:type="dxa"/>
          </w:tcPr>
          <w:p w14:paraId="7F074755" w14:textId="0F508120" w:rsidR="6FC3E2E7" w:rsidRDefault="6FC3E2E7" w:rsidP="6FC3E2E7">
            <w:pPr>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w:t>
            </w:r>
          </w:p>
        </w:tc>
      </w:tr>
      <w:tr w:rsidR="6FC3E2E7" w14:paraId="46F90678" w14:textId="77777777" w:rsidTr="6FC3E2E7">
        <w:tc>
          <w:tcPr>
            <w:tcW w:w="7488" w:type="dxa"/>
          </w:tcPr>
          <w:p w14:paraId="5D6E7E9B" w14:textId="581ADE8C"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13-4: Amount of investment mobilized (in USD) for sustainable landscapes as supported by USG assistance*</w:t>
            </w:r>
          </w:p>
        </w:tc>
        <w:tc>
          <w:tcPr>
            <w:tcW w:w="1872" w:type="dxa"/>
          </w:tcPr>
          <w:p w14:paraId="11151473" w14:textId="2651C9AC" w:rsidR="6FC3E2E7" w:rsidRDefault="6FC3E2E7" w:rsidP="6FC3E2E7">
            <w:pPr>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w:t>
            </w:r>
          </w:p>
        </w:tc>
      </w:tr>
      <w:tr w:rsidR="6FC3E2E7" w14:paraId="59E5F21F" w14:textId="77777777" w:rsidTr="6FC3E2E7">
        <w:tc>
          <w:tcPr>
            <w:tcW w:w="7488" w:type="dxa"/>
          </w:tcPr>
          <w:p w14:paraId="04CDA001" w14:textId="20E70EFB"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13-5: Number of people receiving livelihood co-benefits (monetary or non-monetary) associated with the implementation of USG sustainable landscapes activities</w:t>
            </w:r>
          </w:p>
        </w:tc>
        <w:tc>
          <w:tcPr>
            <w:tcW w:w="1872" w:type="dxa"/>
          </w:tcPr>
          <w:p w14:paraId="7D1D82B7" w14:textId="07D5CC55" w:rsidR="6FC3E2E7" w:rsidRDefault="6FC3E2E7" w:rsidP="6FC3E2E7">
            <w:pPr>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w:t>
            </w:r>
          </w:p>
        </w:tc>
      </w:tr>
      <w:tr w:rsidR="6FC3E2E7" w14:paraId="4CD4B2A4" w14:textId="77777777" w:rsidTr="6FC3E2E7">
        <w:tc>
          <w:tcPr>
            <w:tcW w:w="7488" w:type="dxa"/>
          </w:tcPr>
          <w:p w14:paraId="5373E9D4" w14:textId="0794F7A4"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13-6: Greenhouse gas (GHG) emissions, estimated in metric tons of CO2 equivalent, reduced, sequestered, or avoided through sustainable landscapes activities supported by USG assistance</w:t>
            </w:r>
          </w:p>
        </w:tc>
        <w:tc>
          <w:tcPr>
            <w:tcW w:w="1872" w:type="dxa"/>
          </w:tcPr>
          <w:p w14:paraId="28DB2A12" w14:textId="3CDF0158" w:rsidR="6FC3E2E7" w:rsidRDefault="6FC3E2E7" w:rsidP="6FC3E2E7">
            <w:pPr>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mtCO2e</w:t>
            </w:r>
          </w:p>
        </w:tc>
      </w:tr>
      <w:tr w:rsidR="6FC3E2E7" w14:paraId="31E0AD15" w14:textId="77777777" w:rsidTr="6FC3E2E7">
        <w:tc>
          <w:tcPr>
            <w:tcW w:w="7488" w:type="dxa"/>
          </w:tcPr>
          <w:p w14:paraId="63319BFE" w14:textId="6896741A"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13-7: Projected greenhouse gas emissions reduced or avoided from adopted laws, policies, regulations, or technologies related to sustainable landscapes as supported by USG assistance*,**</w:t>
            </w:r>
          </w:p>
        </w:tc>
        <w:tc>
          <w:tcPr>
            <w:tcW w:w="1872" w:type="dxa"/>
          </w:tcPr>
          <w:p w14:paraId="4CA586F8" w14:textId="668D1E0F" w:rsidR="6FC3E2E7" w:rsidRDefault="6FC3E2E7" w:rsidP="6FC3E2E7">
            <w:pPr>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mtCO2e</w:t>
            </w:r>
          </w:p>
        </w:tc>
      </w:tr>
      <w:tr w:rsidR="6FC3E2E7" w14:paraId="2E4452C5" w14:textId="77777777" w:rsidTr="6FC3E2E7">
        <w:tc>
          <w:tcPr>
            <w:tcW w:w="7488" w:type="dxa"/>
          </w:tcPr>
          <w:p w14:paraId="7250F07F" w14:textId="12FFFF0B"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13-8: Number of hectares under improved management expected to reduce greenhouse gas emissions as a result of USG assistance</w:t>
            </w:r>
          </w:p>
        </w:tc>
        <w:tc>
          <w:tcPr>
            <w:tcW w:w="1872" w:type="dxa"/>
          </w:tcPr>
          <w:p w14:paraId="07BA4B5A" w14:textId="60230466" w:rsidR="6FC3E2E7" w:rsidRDefault="6FC3E2E7" w:rsidP="6FC3E2E7">
            <w:pPr>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w:t>
            </w:r>
          </w:p>
        </w:tc>
      </w:tr>
      <w:tr w:rsidR="6FC3E2E7" w14:paraId="1F8EC922" w14:textId="77777777" w:rsidTr="6FC3E2E7">
        <w:tc>
          <w:tcPr>
            <w:tcW w:w="9360" w:type="dxa"/>
            <w:gridSpan w:val="2"/>
          </w:tcPr>
          <w:p w14:paraId="72542C10" w14:textId="0C0785D8" w:rsidR="6FC3E2E7" w:rsidRDefault="6FC3E2E7" w:rsidP="6FC3E2E7">
            <w:pPr>
              <w:spacing w:line="276" w:lineRule="auto"/>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Project-specific/Custom Deliverables and Outcomes</w:t>
            </w:r>
          </w:p>
          <w:p w14:paraId="2ACE9D4E" w14:textId="322FBC7B"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Please propose a set of project-specific outcomes and deliverables through which to measure and document the project’s activities in alignment with the applicant’s proposed approach</w:t>
            </w:r>
          </w:p>
        </w:tc>
      </w:tr>
      <w:tr w:rsidR="6FC3E2E7" w14:paraId="595CA6C4" w14:textId="77777777" w:rsidTr="6FC3E2E7">
        <w:tc>
          <w:tcPr>
            <w:tcW w:w="7488" w:type="dxa"/>
          </w:tcPr>
          <w:p w14:paraId="15061C3F" w14:textId="253638A4" w:rsidR="6FC3E2E7" w:rsidRDefault="6FC3E2E7" w:rsidP="6FC3E2E7">
            <w:pPr>
              <w:spacing w:line="276"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Number of investment opportunities identified, enhanced, or developed, and connected with potential public and private sector investors</w:t>
            </w:r>
          </w:p>
        </w:tc>
        <w:tc>
          <w:tcPr>
            <w:tcW w:w="1872" w:type="dxa"/>
          </w:tcPr>
          <w:p w14:paraId="7F3B14C1" w14:textId="391F4FA0" w:rsidR="6FC3E2E7" w:rsidRDefault="6FC3E2E7" w:rsidP="6FC3E2E7">
            <w:pPr>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w:t>
            </w:r>
          </w:p>
        </w:tc>
      </w:tr>
      <w:tr w:rsidR="6FC3E2E7" w14:paraId="3D5A282B" w14:textId="77777777" w:rsidTr="6FC3E2E7">
        <w:tc>
          <w:tcPr>
            <w:tcW w:w="7488" w:type="dxa"/>
          </w:tcPr>
          <w:p w14:paraId="12E64AAD" w14:textId="5972FD43" w:rsidR="6FC3E2E7" w:rsidRDefault="6FC3E2E7" w:rsidP="6FC3E2E7">
            <w:pPr>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xml:space="preserve"> Other deliverables and outcomes as relevant for documenting and measuring project success</w:t>
            </w:r>
          </w:p>
        </w:tc>
        <w:tc>
          <w:tcPr>
            <w:tcW w:w="1872" w:type="dxa"/>
          </w:tcPr>
          <w:p w14:paraId="490BEC02" w14:textId="1704E231" w:rsidR="6FC3E2E7" w:rsidRDefault="6FC3E2E7" w:rsidP="6FC3E2E7">
            <w:pPr>
              <w:rPr>
                <w:rFonts w:ascii="Times New Roman" w:eastAsia="Times New Roman" w:hAnsi="Times New Roman" w:cs="Times New Roman"/>
                <w:sz w:val="24"/>
                <w:szCs w:val="24"/>
              </w:rPr>
            </w:pPr>
          </w:p>
        </w:tc>
      </w:tr>
    </w:tbl>
    <w:p w14:paraId="235643C5" w14:textId="466D706C" w:rsidR="5A2680D9" w:rsidRDefault="6FC3E2E7" w:rsidP="5A2680D9">
      <w:pPr>
        <w:widowControl w:val="0"/>
        <w:tabs>
          <w:tab w:val="left" w:pos="360"/>
        </w:tabs>
        <w:spacing w:after="0"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*denotes mandatory standard indicators for this project</w:t>
      </w:r>
    </w:p>
    <w:p w14:paraId="4D85DC81" w14:textId="2ADAC6DE" w:rsidR="5A2680D9" w:rsidRDefault="6FC3E2E7" w:rsidP="6FC3E2E7">
      <w:pPr>
        <w:widowControl w:val="0"/>
        <w:tabs>
          <w:tab w:val="left" w:pos="360"/>
        </w:tabs>
        <w:spacing w:after="0"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**including projected GHG reductions achieved through investments facilitated by the project</w:t>
      </w:r>
    </w:p>
    <w:p w14:paraId="243D8026" w14:textId="6B116F5A" w:rsidR="5A2680D9" w:rsidRDefault="5A2680D9" w:rsidP="5A2680D9">
      <w:pPr>
        <w:widowControl w:val="0"/>
        <w:tabs>
          <w:tab w:val="left" w:pos="360"/>
        </w:tabs>
        <w:spacing w:after="0" w:line="240" w:lineRule="auto"/>
        <w:rPr>
          <w:rFonts w:ascii="Times New Roman" w:eastAsia="Times New Roman" w:hAnsi="Times New Roman" w:cs="Times New Roman"/>
          <w:sz w:val="24"/>
          <w:szCs w:val="24"/>
        </w:rPr>
      </w:pPr>
    </w:p>
    <w:p w14:paraId="041379C7" w14:textId="365391BE" w:rsidR="5A2680D9" w:rsidRDefault="6FC3E2E7" w:rsidP="6FC3E2E7">
      <w:pPr>
        <w:widowControl w:val="0"/>
        <w:spacing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u w:val="single"/>
        </w:rPr>
        <w:t>Performance Monitoring Plan</w:t>
      </w:r>
    </w:p>
    <w:p w14:paraId="104149E3" w14:textId="3E1BFBF9" w:rsidR="5A2680D9" w:rsidRDefault="6FC3E2E7" w:rsidP="6FC3E2E7">
      <w:pPr>
        <w:pStyle w:val="NoSpacing"/>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rPr>
        <w:lastRenderedPageBreak/>
        <w:t>Performance Monitoring Plan (PMP) - Check Yes or No to each requirement and build a document to identify and track methods that will be utilized.  The PMP will be reviewed during a site visit that will occur during the award period.</w:t>
      </w:r>
    </w:p>
    <w:p w14:paraId="17D4120E" w14:textId="08A24808" w:rsidR="5A2680D9" w:rsidRDefault="5A2680D9" w:rsidP="5A2680D9">
      <w:pPr>
        <w:widowControl w:val="0"/>
        <w:tabs>
          <w:tab w:val="left" w:pos="360"/>
        </w:tabs>
        <w:spacing w:after="0" w:line="240" w:lineRule="auto"/>
        <w:rPr>
          <w:rFonts w:ascii="Times New Roman" w:eastAsia="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052"/>
        <w:gridCol w:w="1244"/>
        <w:gridCol w:w="7064"/>
      </w:tblGrid>
      <w:tr w:rsidR="6FC3E2E7" w14:paraId="74CF72BF" w14:textId="77777777" w:rsidTr="6FC3E2E7">
        <w:tc>
          <w:tcPr>
            <w:tcW w:w="2296" w:type="dxa"/>
            <w:gridSpan w:val="2"/>
          </w:tcPr>
          <w:p w14:paraId="3B66BE36" w14:textId="3EBE6D9A"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Check yes or no, as appropriate</w:t>
            </w:r>
          </w:p>
        </w:tc>
        <w:tc>
          <w:tcPr>
            <w:tcW w:w="7064" w:type="dxa"/>
          </w:tcPr>
          <w:p w14:paraId="6952BC3F" w14:textId="4B0C0845" w:rsidR="6FC3E2E7" w:rsidRDefault="6FC3E2E7" w:rsidP="6FC3E2E7">
            <w:pPr>
              <w:spacing w:after="200" w:line="276" w:lineRule="auto"/>
              <w:jc w:val="center"/>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 xml:space="preserve">PMP Requirements </w:t>
            </w:r>
          </w:p>
        </w:tc>
      </w:tr>
      <w:tr w:rsidR="6FC3E2E7" w14:paraId="478FB762" w14:textId="77777777" w:rsidTr="6FC3E2E7">
        <w:trPr>
          <w:trHeight w:val="525"/>
        </w:trPr>
        <w:tc>
          <w:tcPr>
            <w:tcW w:w="1052" w:type="dxa"/>
          </w:tcPr>
          <w:p w14:paraId="2B13CCCB" w14:textId="31E178FE" w:rsidR="6FC3E2E7" w:rsidRDefault="6FC3E2E7" w:rsidP="6FC3E2E7">
            <w:pPr>
              <w:spacing w:after="200" w:line="276" w:lineRule="auto"/>
              <w:jc w:val="center"/>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Yes</w:t>
            </w:r>
          </w:p>
        </w:tc>
        <w:tc>
          <w:tcPr>
            <w:tcW w:w="1244" w:type="dxa"/>
          </w:tcPr>
          <w:p w14:paraId="6F75C45F" w14:textId="36C2B162" w:rsidR="6FC3E2E7" w:rsidRDefault="6FC3E2E7" w:rsidP="6FC3E2E7">
            <w:pPr>
              <w:spacing w:after="200" w:line="276" w:lineRule="auto"/>
              <w:jc w:val="center"/>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No</w:t>
            </w:r>
          </w:p>
        </w:tc>
        <w:tc>
          <w:tcPr>
            <w:tcW w:w="7064" w:type="dxa"/>
          </w:tcPr>
          <w:p w14:paraId="225A6FC6" w14:textId="42BC9900" w:rsidR="6FC3E2E7" w:rsidRDefault="6FC3E2E7" w:rsidP="6FC3E2E7">
            <w:pPr>
              <w:spacing w:after="200" w:line="276" w:lineRule="auto"/>
              <w:ind w:left="720"/>
              <w:jc w:val="both"/>
              <w:rPr>
                <w:rFonts w:ascii="Times New Roman" w:eastAsia="Times New Roman" w:hAnsi="Times New Roman" w:cs="Times New Roman"/>
                <w:color w:val="000000" w:themeColor="text1"/>
                <w:sz w:val="24"/>
                <w:szCs w:val="24"/>
              </w:rPr>
            </w:pPr>
          </w:p>
        </w:tc>
      </w:tr>
      <w:tr w:rsidR="6FC3E2E7" w14:paraId="79947995" w14:textId="77777777" w:rsidTr="6FC3E2E7">
        <w:tc>
          <w:tcPr>
            <w:tcW w:w="1052" w:type="dxa"/>
          </w:tcPr>
          <w:p w14:paraId="7C0D4DF4" w14:textId="4EE07520"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2E21567E" w14:textId="39373058" w:rsidR="6FC3E2E7" w:rsidRDefault="6FC3E2E7" w:rsidP="6FC3E2E7">
            <w:pPr>
              <w:spacing w:after="200" w:line="276" w:lineRule="auto"/>
              <w:ind w:left="720"/>
              <w:jc w:val="both"/>
              <w:rPr>
                <w:rFonts w:ascii="Times New Roman" w:eastAsia="Times New Roman" w:hAnsi="Times New Roman" w:cs="Times New Roman"/>
                <w:color w:val="000000" w:themeColor="text1"/>
                <w:sz w:val="24"/>
                <w:szCs w:val="24"/>
              </w:rPr>
            </w:pPr>
          </w:p>
        </w:tc>
        <w:tc>
          <w:tcPr>
            <w:tcW w:w="7064" w:type="dxa"/>
          </w:tcPr>
          <w:p w14:paraId="2A7E369E" w14:textId="6C3110FD"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Review and retain indicator definitions in a spreadsheet or database that can be utilized throughout the life of the task order.</w:t>
            </w:r>
          </w:p>
        </w:tc>
      </w:tr>
      <w:tr w:rsidR="6FC3E2E7" w14:paraId="411F95FE" w14:textId="77777777" w:rsidTr="6FC3E2E7">
        <w:trPr>
          <w:trHeight w:val="1035"/>
        </w:trPr>
        <w:tc>
          <w:tcPr>
            <w:tcW w:w="1052" w:type="dxa"/>
          </w:tcPr>
          <w:p w14:paraId="5138B0A7" w14:textId="403E54A7"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45277684" w14:textId="46B16800" w:rsidR="6FC3E2E7" w:rsidRDefault="6FC3E2E7" w:rsidP="6FC3E2E7">
            <w:pPr>
              <w:spacing w:after="200" w:line="276" w:lineRule="auto"/>
              <w:ind w:left="720"/>
              <w:jc w:val="both"/>
              <w:rPr>
                <w:rFonts w:ascii="Times New Roman" w:eastAsia="Times New Roman" w:hAnsi="Times New Roman" w:cs="Times New Roman"/>
                <w:color w:val="000000" w:themeColor="text1"/>
                <w:sz w:val="24"/>
                <w:szCs w:val="24"/>
              </w:rPr>
            </w:pPr>
          </w:p>
        </w:tc>
        <w:tc>
          <w:tcPr>
            <w:tcW w:w="7064" w:type="dxa"/>
          </w:tcPr>
          <w:p w14:paraId="36ED8092" w14:textId="08BD50CF"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Indicate in the database, relative to each indicator, the unit of measurement utilized to collect the data.</w:t>
            </w:r>
          </w:p>
        </w:tc>
      </w:tr>
      <w:tr w:rsidR="6FC3E2E7" w14:paraId="4A11CCE5" w14:textId="77777777" w:rsidTr="6FC3E2E7">
        <w:trPr>
          <w:trHeight w:val="585"/>
        </w:trPr>
        <w:tc>
          <w:tcPr>
            <w:tcW w:w="1052" w:type="dxa"/>
          </w:tcPr>
          <w:p w14:paraId="2933F93A" w14:textId="1E4B99E1"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73EB12C5" w14:textId="1140FB7B"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7064" w:type="dxa"/>
          </w:tcPr>
          <w:p w14:paraId="2EE46CF6" w14:textId="54FACB75"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 xml:space="preserve">Build into the data base the “Data Disaggregates” for each indicators (i.e., male/female; public/private, etc.). </w:t>
            </w:r>
          </w:p>
        </w:tc>
      </w:tr>
      <w:tr w:rsidR="6FC3E2E7" w14:paraId="31A21E75" w14:textId="77777777" w:rsidTr="6FC3E2E7">
        <w:tc>
          <w:tcPr>
            <w:tcW w:w="1052" w:type="dxa"/>
          </w:tcPr>
          <w:p w14:paraId="0B0CA8B6" w14:textId="1098FF06"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4E813036" w14:textId="47B45A4A"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7064" w:type="dxa"/>
          </w:tcPr>
          <w:p w14:paraId="149ECE1D" w14:textId="7F102ADB"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 xml:space="preserve">Include in the database how these indicators: 1) fit with the purpose of this agreement and 2) will be visible via the activities of agreement </w:t>
            </w:r>
          </w:p>
        </w:tc>
      </w:tr>
      <w:tr w:rsidR="6FC3E2E7" w14:paraId="1016A3D8" w14:textId="77777777" w:rsidTr="6FC3E2E7">
        <w:tc>
          <w:tcPr>
            <w:tcW w:w="9360" w:type="dxa"/>
            <w:gridSpan w:val="3"/>
          </w:tcPr>
          <w:p w14:paraId="2311019F" w14:textId="43CEA756" w:rsidR="6FC3E2E7" w:rsidRDefault="6FC3E2E7" w:rsidP="6FC3E2E7">
            <w:pPr>
              <w:spacing w:after="200" w:line="276" w:lineRule="auto"/>
              <w:ind w:left="720"/>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In addition to building the database, further develop the Performance Monitoring Plan via a written document indicating/addressing the following.  Upon drafting, reviewing and finalizing a PMP containing the follow items, check yes for each row/item.</w:t>
            </w:r>
          </w:p>
        </w:tc>
      </w:tr>
      <w:tr w:rsidR="6FC3E2E7" w14:paraId="1E7A4880" w14:textId="77777777" w:rsidTr="6FC3E2E7">
        <w:trPr>
          <w:trHeight w:val="585"/>
        </w:trPr>
        <w:tc>
          <w:tcPr>
            <w:tcW w:w="1052" w:type="dxa"/>
          </w:tcPr>
          <w:p w14:paraId="5EED0637" w14:textId="68BF435C"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4F57ED83" w14:textId="1337808D"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7064" w:type="dxa"/>
          </w:tcPr>
          <w:p w14:paraId="7472AE4E" w14:textId="052388EC"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Identify the positions in the organization assigned to monitor and record collected project data.</w:t>
            </w:r>
          </w:p>
        </w:tc>
      </w:tr>
      <w:tr w:rsidR="6FC3E2E7" w14:paraId="2A498A48" w14:textId="77777777" w:rsidTr="6FC3E2E7">
        <w:trPr>
          <w:trHeight w:val="585"/>
        </w:trPr>
        <w:tc>
          <w:tcPr>
            <w:tcW w:w="1052" w:type="dxa"/>
          </w:tcPr>
          <w:p w14:paraId="515F27A4" w14:textId="4E743EC2"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3E41A9DB" w14:textId="53D9E73F"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7064" w:type="dxa"/>
          </w:tcPr>
          <w:p w14:paraId="1FE13F9B" w14:textId="375104A2"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Identify the Data Sources, workshop attendance sheets, hours of technical assistance, reports, activities from which the outcome indicator data will be derived.  Indicate the outcome indicator disaggregates (e.g., Female/Male)</w:t>
            </w:r>
          </w:p>
        </w:tc>
      </w:tr>
      <w:tr w:rsidR="6FC3E2E7" w14:paraId="7E99E395" w14:textId="77777777" w:rsidTr="6FC3E2E7">
        <w:trPr>
          <w:trHeight w:val="525"/>
        </w:trPr>
        <w:tc>
          <w:tcPr>
            <w:tcW w:w="1052" w:type="dxa"/>
          </w:tcPr>
          <w:p w14:paraId="1C142F60" w14:textId="21714247"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6563577A" w14:textId="43FAEFE2"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7064" w:type="dxa"/>
          </w:tcPr>
          <w:p w14:paraId="15F5E655" w14:textId="1FD1DAF7"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Frequency and Timing of data collection is timed so that the implementer is able to provide, at minimum, semi-annual program reporting (or the frequency determined in the agreement) to the Department of State.</w:t>
            </w:r>
          </w:p>
        </w:tc>
      </w:tr>
      <w:tr w:rsidR="6FC3E2E7" w14:paraId="5BAF481F" w14:textId="77777777" w:rsidTr="6FC3E2E7">
        <w:tc>
          <w:tcPr>
            <w:tcW w:w="1052" w:type="dxa"/>
          </w:tcPr>
          <w:p w14:paraId="0AD5FEA6" w14:textId="4E31BA23"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1244" w:type="dxa"/>
          </w:tcPr>
          <w:p w14:paraId="2B371AAD" w14:textId="645B59D2" w:rsidR="6FC3E2E7" w:rsidRDefault="6FC3E2E7" w:rsidP="6FC3E2E7">
            <w:pPr>
              <w:spacing w:after="200" w:line="276" w:lineRule="auto"/>
              <w:jc w:val="both"/>
              <w:rPr>
                <w:rFonts w:ascii="Times New Roman" w:eastAsia="Times New Roman" w:hAnsi="Times New Roman" w:cs="Times New Roman"/>
                <w:color w:val="000000" w:themeColor="text1"/>
                <w:sz w:val="24"/>
                <w:szCs w:val="24"/>
              </w:rPr>
            </w:pPr>
          </w:p>
        </w:tc>
        <w:tc>
          <w:tcPr>
            <w:tcW w:w="7064" w:type="dxa"/>
          </w:tcPr>
          <w:p w14:paraId="00C91AEC" w14:textId="3ED9D235"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 xml:space="preserve">Data Collection Methods - Indicate tools or methods for data collection including calculation methods.  Specifically: </w:t>
            </w:r>
          </w:p>
          <w:p w14:paraId="6187CD2A" w14:textId="704C04CD" w:rsidR="6FC3E2E7" w:rsidRDefault="6FC3E2E7" w:rsidP="6FC3E2E7">
            <w:pPr>
              <w:pStyle w:val="ListParagraph"/>
              <w:numPr>
                <w:ilvl w:val="1"/>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 xml:space="preserve">techniques used for acquiring data (i.e., focus groups, surveys, etc.); </w:t>
            </w:r>
          </w:p>
          <w:p w14:paraId="6AD04129" w14:textId="07C0CE85" w:rsidR="6FC3E2E7" w:rsidRDefault="6FC3E2E7" w:rsidP="6FC3E2E7">
            <w:pPr>
              <w:pStyle w:val="ListParagraph"/>
              <w:numPr>
                <w:ilvl w:val="1"/>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tools (</w:t>
            </w:r>
            <w:r w:rsidR="008649B8" w:rsidRPr="6FC3E2E7">
              <w:rPr>
                <w:rFonts w:ascii="Arial Narrow" w:eastAsia="Arial Narrow" w:hAnsi="Arial Narrow" w:cs="Arial Narrow"/>
                <w:color w:val="000000" w:themeColor="text1"/>
              </w:rPr>
              <w:t>I.e.,</w:t>
            </w:r>
            <w:r w:rsidRPr="6FC3E2E7">
              <w:rPr>
                <w:rFonts w:ascii="Arial Narrow" w:eastAsia="Arial Narrow" w:hAnsi="Arial Narrow" w:cs="Arial Narrow"/>
                <w:color w:val="000000" w:themeColor="text1"/>
              </w:rPr>
              <w:t xml:space="preserve"> questionnaires, forms, observation, etc.); and </w:t>
            </w:r>
          </w:p>
          <w:p w14:paraId="66466FEF" w14:textId="23C539C6" w:rsidR="6FC3E2E7" w:rsidRDefault="6FC3E2E7" w:rsidP="6FC3E2E7">
            <w:pPr>
              <w:pStyle w:val="ListParagraph"/>
              <w:numPr>
                <w:ilvl w:val="1"/>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any sampling utilized to achieve data if not working with full populations or set.</w:t>
            </w:r>
          </w:p>
        </w:tc>
      </w:tr>
      <w:tr w:rsidR="6FC3E2E7" w14:paraId="66BCE187" w14:textId="77777777" w:rsidTr="6FC3E2E7">
        <w:tc>
          <w:tcPr>
            <w:tcW w:w="1052" w:type="dxa"/>
          </w:tcPr>
          <w:p w14:paraId="0039C6D9" w14:textId="1B1B9CE1" w:rsidR="6FC3E2E7" w:rsidRDefault="6FC3E2E7" w:rsidP="6FC3E2E7">
            <w:pPr>
              <w:spacing w:after="200" w:line="276" w:lineRule="auto"/>
              <w:jc w:val="both"/>
              <w:rPr>
                <w:rFonts w:ascii="Arial Narrow" w:eastAsia="Arial Narrow" w:hAnsi="Arial Narrow" w:cs="Arial Narrow"/>
                <w:color w:val="000000" w:themeColor="text1"/>
                <w:sz w:val="24"/>
                <w:szCs w:val="24"/>
              </w:rPr>
            </w:pPr>
          </w:p>
        </w:tc>
        <w:tc>
          <w:tcPr>
            <w:tcW w:w="1244" w:type="dxa"/>
          </w:tcPr>
          <w:p w14:paraId="5A9B456B" w14:textId="3306D47E" w:rsidR="6FC3E2E7" w:rsidRDefault="6FC3E2E7" w:rsidP="6FC3E2E7">
            <w:pPr>
              <w:spacing w:after="200" w:line="276" w:lineRule="auto"/>
              <w:jc w:val="both"/>
              <w:rPr>
                <w:rFonts w:ascii="Arial Narrow" w:eastAsia="Arial Narrow" w:hAnsi="Arial Narrow" w:cs="Arial Narrow"/>
                <w:color w:val="000000" w:themeColor="text1"/>
                <w:sz w:val="24"/>
                <w:szCs w:val="24"/>
              </w:rPr>
            </w:pPr>
          </w:p>
        </w:tc>
        <w:tc>
          <w:tcPr>
            <w:tcW w:w="7064" w:type="dxa"/>
          </w:tcPr>
          <w:p w14:paraId="2515F1F8" w14:textId="69DED5E9"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Data Quality Assessment Procedures- Address the topics of ensuring: a) reliability; b) validity; c) integrity; d) timeliness; and e) precision.</w:t>
            </w:r>
          </w:p>
        </w:tc>
      </w:tr>
      <w:tr w:rsidR="6FC3E2E7" w14:paraId="08D9FA6C" w14:textId="77777777" w:rsidTr="6FC3E2E7">
        <w:trPr>
          <w:trHeight w:val="540"/>
        </w:trPr>
        <w:tc>
          <w:tcPr>
            <w:tcW w:w="1052" w:type="dxa"/>
          </w:tcPr>
          <w:p w14:paraId="7C119444" w14:textId="7C44B864" w:rsidR="6FC3E2E7" w:rsidRDefault="6FC3E2E7" w:rsidP="6FC3E2E7">
            <w:pPr>
              <w:spacing w:after="200" w:line="276" w:lineRule="auto"/>
              <w:jc w:val="both"/>
              <w:rPr>
                <w:rFonts w:ascii="Arial Narrow" w:eastAsia="Arial Narrow" w:hAnsi="Arial Narrow" w:cs="Arial Narrow"/>
                <w:color w:val="000000" w:themeColor="text1"/>
                <w:sz w:val="24"/>
                <w:szCs w:val="24"/>
              </w:rPr>
            </w:pPr>
          </w:p>
        </w:tc>
        <w:tc>
          <w:tcPr>
            <w:tcW w:w="1244" w:type="dxa"/>
          </w:tcPr>
          <w:p w14:paraId="1A1AD525" w14:textId="5BE8B8CE" w:rsidR="6FC3E2E7" w:rsidRDefault="6FC3E2E7" w:rsidP="6FC3E2E7">
            <w:pPr>
              <w:spacing w:after="200" w:line="276" w:lineRule="auto"/>
              <w:jc w:val="both"/>
              <w:rPr>
                <w:rFonts w:ascii="Arial Narrow" w:eastAsia="Arial Narrow" w:hAnsi="Arial Narrow" w:cs="Arial Narrow"/>
                <w:color w:val="000000" w:themeColor="text1"/>
                <w:sz w:val="24"/>
                <w:szCs w:val="24"/>
              </w:rPr>
            </w:pPr>
          </w:p>
        </w:tc>
        <w:tc>
          <w:tcPr>
            <w:tcW w:w="7064" w:type="dxa"/>
          </w:tcPr>
          <w:p w14:paraId="1AC8B6C6" w14:textId="29ED2DE8"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Data Use – Who will/may utilize the data and ideal uses of the data</w:t>
            </w:r>
          </w:p>
        </w:tc>
      </w:tr>
      <w:tr w:rsidR="6FC3E2E7" w14:paraId="534A917A" w14:textId="77777777" w:rsidTr="6FC3E2E7">
        <w:tc>
          <w:tcPr>
            <w:tcW w:w="1052" w:type="dxa"/>
          </w:tcPr>
          <w:p w14:paraId="746B9B24" w14:textId="31E693D1" w:rsidR="6FC3E2E7" w:rsidRDefault="6FC3E2E7" w:rsidP="6FC3E2E7">
            <w:pPr>
              <w:spacing w:after="200" w:line="276" w:lineRule="auto"/>
              <w:jc w:val="both"/>
              <w:rPr>
                <w:rFonts w:ascii="Arial Narrow" w:eastAsia="Arial Narrow" w:hAnsi="Arial Narrow" w:cs="Arial Narrow"/>
                <w:color w:val="000000" w:themeColor="text1"/>
                <w:sz w:val="24"/>
                <w:szCs w:val="24"/>
              </w:rPr>
            </w:pPr>
          </w:p>
        </w:tc>
        <w:tc>
          <w:tcPr>
            <w:tcW w:w="1244" w:type="dxa"/>
          </w:tcPr>
          <w:p w14:paraId="6164BC69" w14:textId="6E3B7A8F" w:rsidR="6FC3E2E7" w:rsidRDefault="6FC3E2E7" w:rsidP="6FC3E2E7">
            <w:pPr>
              <w:spacing w:after="200" w:line="276" w:lineRule="auto"/>
              <w:jc w:val="both"/>
              <w:rPr>
                <w:rFonts w:ascii="Arial Narrow" w:eastAsia="Arial Narrow" w:hAnsi="Arial Narrow" w:cs="Arial Narrow"/>
                <w:color w:val="000000" w:themeColor="text1"/>
                <w:sz w:val="24"/>
                <w:szCs w:val="24"/>
              </w:rPr>
            </w:pPr>
          </w:p>
        </w:tc>
        <w:tc>
          <w:tcPr>
            <w:tcW w:w="7064" w:type="dxa"/>
          </w:tcPr>
          <w:p w14:paraId="351DA584" w14:textId="6DF91D33" w:rsidR="6FC3E2E7" w:rsidRDefault="6FC3E2E7" w:rsidP="6FC3E2E7">
            <w:pPr>
              <w:pStyle w:val="ListParagraph"/>
              <w:numPr>
                <w:ilvl w:val="0"/>
                <w:numId w:val="8"/>
              </w:numPr>
              <w:spacing w:after="200" w:line="276" w:lineRule="auto"/>
              <w:jc w:val="both"/>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 xml:space="preserve">Address any possible or anticipated data limitations in the collection, management or reporting of data; </w:t>
            </w:r>
            <w:r w:rsidR="008649B8" w:rsidRPr="6FC3E2E7">
              <w:rPr>
                <w:rFonts w:ascii="Arial Narrow" w:eastAsia="Arial Narrow" w:hAnsi="Arial Narrow" w:cs="Arial Narrow"/>
                <w:color w:val="000000" w:themeColor="text1"/>
              </w:rPr>
              <w:t>and</w:t>
            </w:r>
            <w:r w:rsidRPr="6FC3E2E7">
              <w:rPr>
                <w:rFonts w:ascii="Arial Narrow" w:eastAsia="Arial Narrow" w:hAnsi="Arial Narrow" w:cs="Arial Narrow"/>
                <w:color w:val="000000" w:themeColor="text1"/>
              </w:rPr>
              <w:t xml:space="preserve"> corresponding actions to address those limitations.</w:t>
            </w:r>
          </w:p>
        </w:tc>
      </w:tr>
    </w:tbl>
    <w:p w14:paraId="6171950F" w14:textId="05287B3A" w:rsidR="6FC3E2E7" w:rsidRDefault="6FC3E2E7" w:rsidP="6FC3E2E7">
      <w:pPr>
        <w:widowControl w:val="0"/>
        <w:tabs>
          <w:tab w:val="left" w:pos="360"/>
        </w:tabs>
        <w:spacing w:after="0" w:line="240" w:lineRule="auto"/>
        <w:rPr>
          <w:rFonts w:ascii="Times New Roman" w:eastAsia="Times New Roman" w:hAnsi="Times New Roman" w:cs="Times New Roman"/>
          <w:sz w:val="24"/>
          <w:szCs w:val="24"/>
        </w:rPr>
      </w:pPr>
    </w:p>
    <w:p w14:paraId="36B7023B" w14:textId="41A9BC4D" w:rsidR="5A2680D9" w:rsidRDefault="5A2680D9" w:rsidP="5A2680D9">
      <w:pPr>
        <w:widowControl w:val="0"/>
        <w:tabs>
          <w:tab w:val="left" w:pos="360"/>
        </w:tabs>
        <w:spacing w:after="0" w:line="240" w:lineRule="auto"/>
        <w:rPr>
          <w:rFonts w:ascii="Times New Roman" w:eastAsia="Times New Roman" w:hAnsi="Times New Roman" w:cs="Times New Roman"/>
          <w:sz w:val="24"/>
          <w:szCs w:val="24"/>
        </w:rPr>
      </w:pPr>
    </w:p>
    <w:p w14:paraId="3713F046" w14:textId="36F5ADF4" w:rsidR="00AD1B75" w:rsidRPr="003A3E08" w:rsidRDefault="40572E23" w:rsidP="5A2680D9">
      <w:pPr>
        <w:widowControl w:val="0"/>
        <w:tabs>
          <w:tab w:val="left" w:pos="360"/>
        </w:tabs>
        <w:spacing w:after="0" w:line="240" w:lineRule="auto"/>
        <w:rPr>
          <w:rFonts w:ascii="Times New Roman" w:eastAsia="Times New Roman" w:hAnsi="Times New Roman" w:cs="Times New Roman"/>
          <w:b/>
          <w:bCs/>
          <w:sz w:val="24"/>
          <w:szCs w:val="24"/>
        </w:rPr>
      </w:pPr>
      <w:r w:rsidRPr="6FC3E2E7">
        <w:rPr>
          <w:rFonts w:ascii="Times New Roman" w:eastAsia="Times New Roman" w:hAnsi="Times New Roman" w:cs="Times New Roman"/>
          <w:b/>
          <w:bCs/>
          <w:sz w:val="24"/>
          <w:szCs w:val="24"/>
        </w:rPr>
        <w:t>This notice is subject to the continuing availability of funding.</w:t>
      </w:r>
    </w:p>
    <w:p w14:paraId="796A7361" w14:textId="607BA33F" w:rsidR="004021B5" w:rsidRDefault="004021B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2EBF3853" w14:textId="506FBD48" w:rsidR="00290D8C" w:rsidRDefault="0FF30715" w:rsidP="6FC3E2E7">
      <w:pPr>
        <w:spacing w:after="0"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xml:space="preserve">Primary organizations </w:t>
      </w:r>
      <w:r w:rsidR="25251C64" w:rsidRPr="6FC3E2E7">
        <w:rPr>
          <w:rFonts w:ascii="Times New Roman" w:eastAsia="Times New Roman" w:hAnsi="Times New Roman" w:cs="Times New Roman"/>
          <w:sz w:val="24"/>
          <w:szCs w:val="24"/>
        </w:rPr>
        <w:t xml:space="preserve">can submit one application in response to this </w:t>
      </w:r>
      <w:r w:rsidRPr="6FC3E2E7">
        <w:rPr>
          <w:rFonts w:ascii="Times New Roman" w:eastAsia="Times New Roman" w:hAnsi="Times New Roman" w:cs="Times New Roman"/>
          <w:sz w:val="24"/>
          <w:szCs w:val="24"/>
        </w:rPr>
        <w:t xml:space="preserve">NOFO. </w:t>
      </w:r>
      <w:r w:rsidR="3917CCC7" w:rsidRPr="6FC3E2E7">
        <w:rPr>
          <w:rFonts w:ascii="Times New Roman" w:eastAsia="Times New Roman" w:hAnsi="Times New Roman" w:cs="Times New Roman"/>
          <w:sz w:val="24"/>
          <w:szCs w:val="24"/>
        </w:rPr>
        <w:t xml:space="preserve"> </w:t>
      </w:r>
    </w:p>
    <w:p w14:paraId="78E0A044" w14:textId="490028BB"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388E7F71" w:rsidP="00473E00">
      <w:pPr>
        <w:spacing w:after="0" w:line="240" w:lineRule="auto"/>
        <w:ind w:right="405"/>
      </w:pPr>
      <w:r w:rsidRPr="6FC3E2E7">
        <w:rPr>
          <w:rFonts w:ascii="Times New Roman" w:eastAsia="Times New Roman" w:hAnsi="Times New Roman" w:cs="Times New Roman"/>
          <w:sz w:val="24"/>
          <w:szCs w:val="24"/>
        </w:rPr>
        <w:t xml:space="preserve">The U.S. </w:t>
      </w:r>
      <w:r w:rsidR="3D0F5B2B" w:rsidRPr="6FC3E2E7">
        <w:rPr>
          <w:rFonts w:ascii="Times New Roman" w:eastAsia="Times New Roman" w:hAnsi="Times New Roman" w:cs="Times New Roman"/>
          <w:sz w:val="24"/>
          <w:szCs w:val="24"/>
        </w:rPr>
        <w:t>g</w:t>
      </w:r>
      <w:r w:rsidRPr="6FC3E2E7">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7D55E127"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 xml:space="preserve">The U.S. </w:t>
      </w:r>
      <w:r w:rsidR="3D0F5B2B" w:rsidRPr="6FC3E2E7">
        <w:rPr>
          <w:rFonts w:ascii="Times New Roman" w:eastAsia="Times New Roman" w:hAnsi="Times New Roman" w:cs="Times New Roman"/>
          <w:sz w:val="24"/>
          <w:szCs w:val="24"/>
        </w:rPr>
        <w:t>g</w:t>
      </w:r>
      <w:r w:rsidRPr="6FC3E2E7">
        <w:rPr>
          <w:rFonts w:ascii="Times New Roman" w:eastAsia="Times New Roman" w:hAnsi="Times New Roman" w:cs="Times New Roman"/>
          <w:sz w:val="24"/>
          <w:szCs w:val="24"/>
        </w:rPr>
        <w:t xml:space="preserve">overnment reserves the right (though it is under </w:t>
      </w:r>
      <w:r w:rsidR="6564264F" w:rsidRPr="6FC3E2E7">
        <w:rPr>
          <w:rFonts w:ascii="Times New Roman" w:eastAsia="Times New Roman" w:hAnsi="Times New Roman" w:cs="Times New Roman"/>
          <w:sz w:val="24"/>
          <w:szCs w:val="24"/>
        </w:rPr>
        <w:t xml:space="preserve">no </w:t>
      </w:r>
      <w:r w:rsidRPr="6FC3E2E7">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3A18C302" w14:textId="0E826C0D" w:rsidR="01E3B5AB" w:rsidRDefault="01E3B5AB" w:rsidP="6FC3E2E7">
      <w:pPr>
        <w:spacing w:after="0" w:line="240" w:lineRule="auto"/>
        <w:rPr>
          <w:rFonts w:ascii="Times New Roman" w:eastAsia="Times New Roman" w:hAnsi="Times New Roman" w:cs="Times New Roman"/>
          <w:sz w:val="24"/>
          <w:szCs w:val="24"/>
          <w:u w:val="single"/>
        </w:rPr>
      </w:pPr>
      <w:r w:rsidRPr="6FC3E2E7">
        <w:rPr>
          <w:rFonts w:ascii="Times New Roman" w:eastAsia="Times New Roman" w:hAnsi="Times New Roman" w:cs="Times New Roman"/>
          <w:sz w:val="24"/>
          <w:szCs w:val="24"/>
          <w:u w:val="single"/>
        </w:rPr>
        <w:t>Substantial Involvement</w:t>
      </w:r>
    </w:p>
    <w:p w14:paraId="77FCB4E2" w14:textId="24439645" w:rsidR="6FC3E2E7" w:rsidRDefault="6FC3E2E7" w:rsidP="6FC3E2E7">
      <w:pPr>
        <w:spacing w:after="0" w:line="240" w:lineRule="auto"/>
      </w:pPr>
    </w:p>
    <w:p w14:paraId="1578D19F" w14:textId="25404A33" w:rsidR="00290D8C" w:rsidRDefault="5512EC09" w:rsidP="00473E00">
      <w:pPr>
        <w:spacing w:after="0" w:line="240" w:lineRule="auto"/>
      </w:pPr>
      <w:r w:rsidRPr="6FC3E2E7">
        <w:rPr>
          <w:rFonts w:ascii="Times New Roman" w:eastAsia="Times New Roman" w:hAnsi="Times New Roman" w:cs="Times New Roman"/>
          <w:sz w:val="24"/>
          <w:szCs w:val="24"/>
        </w:rPr>
        <w:t xml:space="preserve">It is anticipated that a cooperative agreement will be awarded. </w:t>
      </w:r>
      <w:r w:rsidR="76C0FE48"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The final determination</w:t>
      </w:r>
      <w:r w:rsidR="775304B3" w:rsidRPr="6FC3E2E7">
        <w:rPr>
          <w:rFonts w:ascii="Times New Roman" w:eastAsia="Times New Roman" w:hAnsi="Times New Roman" w:cs="Times New Roman"/>
          <w:sz w:val="24"/>
          <w:szCs w:val="24"/>
        </w:rPr>
        <w:t xml:space="preserve"> on </w:t>
      </w:r>
      <w:r w:rsidR="3F3A8C6A" w:rsidRPr="6FC3E2E7">
        <w:rPr>
          <w:rFonts w:ascii="Times New Roman" w:eastAsia="Times New Roman" w:hAnsi="Times New Roman" w:cs="Times New Roman"/>
          <w:sz w:val="24"/>
          <w:szCs w:val="24"/>
        </w:rPr>
        <w:t xml:space="preserve">award </w:t>
      </w:r>
      <w:r w:rsidR="775304B3" w:rsidRPr="6FC3E2E7">
        <w:rPr>
          <w:rFonts w:ascii="Times New Roman" w:eastAsia="Times New Roman" w:hAnsi="Times New Roman" w:cs="Times New Roman"/>
          <w:sz w:val="24"/>
          <w:szCs w:val="24"/>
        </w:rPr>
        <w:t xml:space="preserve">mechanism </w:t>
      </w:r>
      <w:r w:rsidRPr="6FC3E2E7">
        <w:rPr>
          <w:rFonts w:ascii="Times New Roman" w:eastAsia="Times New Roman" w:hAnsi="Times New Roman" w:cs="Times New Roman"/>
          <w:sz w:val="24"/>
          <w:szCs w:val="24"/>
        </w:rPr>
        <w:t>will be</w:t>
      </w:r>
      <w:r w:rsidR="790990DE" w:rsidRPr="6FC3E2E7">
        <w:rPr>
          <w:rFonts w:ascii="Times New Roman" w:eastAsia="Times New Roman" w:hAnsi="Times New Roman" w:cs="Times New Roman"/>
          <w:sz w:val="24"/>
          <w:szCs w:val="24"/>
        </w:rPr>
        <w:t xml:space="preserve"> made by the Grants Officer</w:t>
      </w:r>
      <w:r w:rsidR="76C0FE48" w:rsidRPr="6FC3E2E7">
        <w:rPr>
          <w:rFonts w:ascii="Times New Roman" w:eastAsia="Times New Roman" w:hAnsi="Times New Roman" w:cs="Times New Roman"/>
          <w:sz w:val="24"/>
          <w:szCs w:val="24"/>
        </w:rPr>
        <w:t xml:space="preserve">.  </w:t>
      </w:r>
      <w:r w:rsidR="2FE1878F" w:rsidRPr="6FC3E2E7">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26AB5156" w:rsidRPr="6FC3E2E7">
        <w:rPr>
          <w:rFonts w:ascii="Times New Roman" w:eastAsia="Times New Roman" w:hAnsi="Times New Roman" w:cs="Times New Roman"/>
          <w:sz w:val="24"/>
          <w:szCs w:val="24"/>
        </w:rPr>
        <w:t>g</w:t>
      </w:r>
      <w:r w:rsidR="2FE1878F" w:rsidRPr="6FC3E2E7">
        <w:rPr>
          <w:rFonts w:ascii="Times New Roman" w:eastAsia="Times New Roman" w:hAnsi="Times New Roman" w:cs="Times New Roman"/>
          <w:sz w:val="24"/>
          <w:szCs w:val="24"/>
        </w:rPr>
        <w:t xml:space="preserve">overnment participation in the project.  </w:t>
      </w:r>
      <w:r w:rsidRPr="6FC3E2E7">
        <w:rPr>
          <w:rFonts w:ascii="Times New Roman" w:eastAsia="Times New Roman" w:hAnsi="Times New Roman" w:cs="Times New Roman"/>
          <w:sz w:val="24"/>
          <w:szCs w:val="24"/>
        </w:rPr>
        <w:t>If a coo</w:t>
      </w:r>
      <w:r w:rsidR="30AFF592" w:rsidRPr="6FC3E2E7">
        <w:rPr>
          <w:rFonts w:ascii="Times New Roman" w:eastAsia="Times New Roman" w:hAnsi="Times New Roman" w:cs="Times New Roman"/>
          <w:sz w:val="24"/>
          <w:szCs w:val="24"/>
        </w:rPr>
        <w:t>perative agreement is awarded, OES</w:t>
      </w:r>
      <w:r w:rsidRPr="6FC3E2E7">
        <w:rPr>
          <w:rFonts w:ascii="Times New Roman" w:eastAsia="Times New Roman" w:hAnsi="Times New Roman" w:cs="Times New Roman"/>
          <w:sz w:val="24"/>
          <w:szCs w:val="24"/>
        </w:rPr>
        <w:t xml:space="preserve"> </w:t>
      </w:r>
      <w:r w:rsidR="3679AB1B" w:rsidRPr="6FC3E2E7">
        <w:rPr>
          <w:rFonts w:ascii="Times New Roman" w:eastAsia="Times New Roman" w:hAnsi="Times New Roman" w:cs="Times New Roman"/>
          <w:sz w:val="24"/>
          <w:szCs w:val="24"/>
        </w:rPr>
        <w:t>will</w:t>
      </w:r>
      <w:r w:rsidRPr="6FC3E2E7">
        <w:rPr>
          <w:rFonts w:ascii="Times New Roman" w:eastAsia="Times New Roman" w:hAnsi="Times New Roman" w:cs="Times New Roman"/>
          <w:sz w:val="24"/>
          <w:szCs w:val="24"/>
        </w:rPr>
        <w:t xml:space="preserve"> </w:t>
      </w:r>
      <w:r w:rsidR="2FE1878F" w:rsidRPr="6FC3E2E7">
        <w:rPr>
          <w:rFonts w:ascii="Times New Roman" w:eastAsia="Times New Roman" w:hAnsi="Times New Roman" w:cs="Times New Roman"/>
          <w:sz w:val="24"/>
          <w:szCs w:val="24"/>
        </w:rPr>
        <w:t>undertake reasonable and programmatically necessary substantial involvement</w:t>
      </w:r>
      <w:r w:rsidRPr="6FC3E2E7">
        <w:rPr>
          <w:rFonts w:ascii="Times New Roman" w:eastAsia="Times New Roman" w:hAnsi="Times New Roman" w:cs="Times New Roman"/>
          <w:sz w:val="24"/>
          <w:szCs w:val="24"/>
        </w:rPr>
        <w:t>.  Examples of substantial involvement can include</w:t>
      </w:r>
      <w:r w:rsidR="3679AB1B" w:rsidRPr="6FC3E2E7">
        <w:rPr>
          <w:rFonts w:ascii="Times New Roman" w:eastAsia="Times New Roman" w:hAnsi="Times New Roman" w:cs="Times New Roman"/>
          <w:sz w:val="24"/>
          <w:szCs w:val="24"/>
        </w:rPr>
        <w:t>, but</w:t>
      </w:r>
      <w:r w:rsidR="735EF1C7" w:rsidRPr="6FC3E2E7">
        <w:rPr>
          <w:rFonts w:ascii="Times New Roman" w:eastAsia="Times New Roman" w:hAnsi="Times New Roman" w:cs="Times New Roman"/>
          <w:sz w:val="24"/>
          <w:szCs w:val="24"/>
        </w:rPr>
        <w:t xml:space="preserve"> are</w:t>
      </w:r>
      <w:r w:rsidR="3679AB1B" w:rsidRPr="6FC3E2E7">
        <w:rPr>
          <w:rFonts w:ascii="Times New Roman" w:eastAsia="Times New Roman" w:hAnsi="Times New Roman" w:cs="Times New Roman"/>
          <w:sz w:val="24"/>
          <w:szCs w:val="24"/>
        </w:rPr>
        <w:t xml:space="preserve"> not limited to</w:t>
      </w:r>
      <w:r w:rsidRPr="6FC3E2E7">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28A069A3" w14:textId="5AD61825" w:rsidR="6FC3E2E7" w:rsidRDefault="6FC3E2E7" w:rsidP="6FC3E2E7">
      <w:pPr>
        <w:numPr>
          <w:ilvl w:val="0"/>
          <w:numId w:val="20"/>
        </w:numPr>
        <w:spacing w:after="0" w:line="240" w:lineRule="auto"/>
        <w:ind w:hanging="360"/>
        <w:rPr>
          <w:color w:val="000000" w:themeColor="text1"/>
          <w:sz w:val="24"/>
          <w:szCs w:val="24"/>
        </w:rPr>
      </w:pPr>
      <w:r w:rsidRPr="6FC3E2E7">
        <w:rPr>
          <w:rFonts w:ascii="Times New Roman" w:eastAsia="Times New Roman" w:hAnsi="Times New Roman" w:cs="Times New Roman"/>
          <w:color w:val="000000" w:themeColor="text1"/>
          <w:sz w:val="24"/>
          <w:szCs w:val="24"/>
        </w:rPr>
        <w:t>Active collaboration with the recipient throughout the implementation of the award, including periodic check-ins at the request of OES/EGC;</w:t>
      </w:r>
    </w:p>
    <w:p w14:paraId="09491E31" w14:textId="68AE6D3B" w:rsidR="6FC3E2E7" w:rsidRDefault="6FC3E2E7" w:rsidP="6FC3E2E7">
      <w:pPr>
        <w:numPr>
          <w:ilvl w:val="0"/>
          <w:numId w:val="20"/>
        </w:numPr>
        <w:spacing w:after="0" w:line="240" w:lineRule="auto"/>
        <w:ind w:hanging="360"/>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OES/EGC will support implementer outreach or coordination with the Department of State or other U.S. government entities, including the provision of point of contacts, as needed</w:t>
      </w:r>
    </w:p>
    <w:p w14:paraId="60CA3A7F" w14:textId="5D7B08F4" w:rsidR="2FE1878F" w:rsidRDefault="2FE1878F" w:rsidP="6FC3E2E7">
      <w:pPr>
        <w:numPr>
          <w:ilvl w:val="0"/>
          <w:numId w:val="20"/>
        </w:numPr>
        <w:spacing w:after="0" w:line="240" w:lineRule="auto"/>
        <w:ind w:hanging="360"/>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Review and approval of one stage of work before another can begin</w:t>
      </w:r>
      <w:r w:rsidR="63C88388"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 xml:space="preserve"> </w:t>
      </w:r>
    </w:p>
    <w:p w14:paraId="3B385D8F" w14:textId="541365E3" w:rsidR="2FE1878F" w:rsidRDefault="2FE1878F" w:rsidP="6FC3E2E7">
      <w:pPr>
        <w:numPr>
          <w:ilvl w:val="0"/>
          <w:numId w:val="20"/>
        </w:numPr>
        <w:spacing w:after="0" w:line="240" w:lineRule="auto"/>
        <w:ind w:hanging="360"/>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Review and app</w:t>
      </w:r>
      <w:r w:rsidR="34D055E1" w:rsidRPr="6FC3E2E7">
        <w:rPr>
          <w:rFonts w:ascii="Times New Roman" w:eastAsia="Times New Roman" w:hAnsi="Times New Roman" w:cs="Times New Roman"/>
          <w:sz w:val="24"/>
          <w:szCs w:val="24"/>
        </w:rPr>
        <w:t>r</w:t>
      </w:r>
      <w:r w:rsidRPr="6FC3E2E7">
        <w:rPr>
          <w:rFonts w:ascii="Times New Roman" w:eastAsia="Times New Roman" w:hAnsi="Times New Roman" w:cs="Times New Roman"/>
          <w:sz w:val="24"/>
          <w:szCs w:val="24"/>
        </w:rPr>
        <w:t>oval of substantive provisions of proposed sub</w:t>
      </w:r>
      <w:r w:rsidR="63C88388"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awards or contracts</w:t>
      </w:r>
      <w:r w:rsidR="4E0C1F65" w:rsidRPr="6FC3E2E7">
        <w:rPr>
          <w:rFonts w:ascii="Times New Roman" w:eastAsia="Times New Roman" w:hAnsi="Times New Roman" w:cs="Times New Roman"/>
          <w:sz w:val="24"/>
          <w:szCs w:val="24"/>
        </w:rPr>
        <w:t xml:space="preserve"> beyond existing Federal policy</w:t>
      </w:r>
      <w:r w:rsidR="63C88388"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 xml:space="preserve"> </w:t>
      </w:r>
    </w:p>
    <w:p w14:paraId="1678A64F" w14:textId="756F3493" w:rsidR="6FC3E2E7" w:rsidRDefault="6FC3E2E7" w:rsidP="6FC3E2E7">
      <w:pPr>
        <w:numPr>
          <w:ilvl w:val="0"/>
          <w:numId w:val="20"/>
        </w:numPr>
        <w:spacing w:after="0" w:line="240" w:lineRule="auto"/>
        <w:ind w:hanging="360"/>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t>Review and approval of key project strategy documents and deliverables, such as a work plan, potential environmental/sustainability, social, and governance criteria for investment, investments included in investment pipelines, and others as identified in the project’s final scope of work;</w:t>
      </w:r>
    </w:p>
    <w:p w14:paraId="78943475" w14:textId="3DCE1E2A" w:rsidR="6FC3E2E7" w:rsidRDefault="6FC3E2E7" w:rsidP="6FC3E2E7">
      <w:pPr>
        <w:numPr>
          <w:ilvl w:val="0"/>
          <w:numId w:val="20"/>
        </w:numPr>
        <w:spacing w:after="0" w:line="240" w:lineRule="auto"/>
        <w:ind w:hanging="360"/>
        <w:rPr>
          <w:color w:val="000000" w:themeColor="text1"/>
          <w:sz w:val="24"/>
          <w:szCs w:val="24"/>
        </w:rPr>
      </w:pPr>
      <w:r w:rsidRPr="6FC3E2E7">
        <w:rPr>
          <w:rFonts w:ascii="Times New Roman" w:eastAsia="Times New Roman" w:hAnsi="Times New Roman" w:cs="Times New Roman"/>
          <w:sz w:val="24"/>
          <w:szCs w:val="24"/>
        </w:rPr>
        <w:t>Review and approval of changes in key personnel;</w:t>
      </w:r>
    </w:p>
    <w:p w14:paraId="7ABCB611" w14:textId="59313D42" w:rsidR="2FE1878F" w:rsidRDefault="2FE1878F" w:rsidP="6FC3E2E7">
      <w:pPr>
        <w:numPr>
          <w:ilvl w:val="0"/>
          <w:numId w:val="20"/>
        </w:numPr>
        <w:spacing w:after="0" w:line="240" w:lineRule="auto"/>
        <w:ind w:hanging="360"/>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lastRenderedPageBreak/>
        <w:t>Approval of the recipient’s budget or plan of work prior to the award.</w:t>
      </w:r>
    </w:p>
    <w:p w14:paraId="2BF1DA08" w14:textId="1EE67F14" w:rsidR="00290D8C" w:rsidRDefault="00290D8C" w:rsidP="6FC3E2E7">
      <w:pPr>
        <w:spacing w:after="0" w:line="240" w:lineRule="auto"/>
        <w:rPr>
          <w:rFonts w:ascii="Times New Roman" w:eastAsia="Times New Roman" w:hAnsi="Times New Roman" w:cs="Times New Roman"/>
          <w:sz w:val="24"/>
          <w:szCs w:val="24"/>
        </w:rPr>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30C318F7" w:rsidR="00B27A20" w:rsidRDefault="08B6868D" w:rsidP="6FC3E2E7">
      <w:pPr>
        <w:spacing w:after="0" w:line="240" w:lineRule="auto"/>
        <w:rPr>
          <w:rFonts w:ascii="Times New Roman" w:hAnsi="Times New Roman" w:cs="Times New Roman"/>
          <w:sz w:val="24"/>
          <w:szCs w:val="24"/>
        </w:rPr>
      </w:pPr>
      <w:r w:rsidRPr="6FC3E2E7">
        <w:rPr>
          <w:rFonts w:ascii="Times New Roman" w:hAnsi="Times New Roman" w:cs="Times New Roman"/>
          <w:sz w:val="24"/>
          <w:szCs w:val="24"/>
        </w:rPr>
        <w:t xml:space="preserve">To maximize the impact and sustainability of the award(s) that result from this NOFO, </w:t>
      </w:r>
      <w:r w:rsidR="1C5D5A5C" w:rsidRPr="6FC3E2E7">
        <w:rPr>
          <w:rFonts w:ascii="Times New Roman" w:hAnsi="Times New Roman" w:cs="Times New Roman"/>
          <w:sz w:val="24"/>
          <w:szCs w:val="24"/>
        </w:rPr>
        <w:t>OES</w:t>
      </w:r>
      <w:r w:rsidRPr="6FC3E2E7">
        <w:rPr>
          <w:rFonts w:ascii="Times New Roman" w:hAnsi="Times New Roman" w:cs="Times New Roman"/>
          <w:sz w:val="24"/>
          <w:szCs w:val="24"/>
        </w:rPr>
        <w:t xml:space="preserve"> retains the right to execute non-competitive continuation amendment(s).  The total duration of any award, including potential non-competitive continuation amendments, shall not exceed </w:t>
      </w:r>
      <w:r w:rsidR="14A2DD37" w:rsidRPr="6FC3E2E7">
        <w:rPr>
          <w:rFonts w:ascii="Times New Roman" w:hAnsi="Times New Roman" w:cs="Times New Roman"/>
          <w:sz w:val="24"/>
          <w:szCs w:val="24"/>
        </w:rPr>
        <w:t xml:space="preserve">54 </w:t>
      </w:r>
      <w:r w:rsidRPr="6FC3E2E7">
        <w:rPr>
          <w:rFonts w:ascii="Times New Roman" w:hAnsi="Times New Roman" w:cs="Times New Roman"/>
          <w:sz w:val="24"/>
          <w:szCs w:val="24"/>
        </w:rPr>
        <w:t>months</w:t>
      </w:r>
      <w:r w:rsidR="5F504AFF" w:rsidRPr="6FC3E2E7">
        <w:rPr>
          <w:rFonts w:ascii="Times New Roman" w:hAnsi="Times New Roman" w:cs="Times New Roman"/>
          <w:sz w:val="24"/>
          <w:szCs w:val="24"/>
        </w:rPr>
        <w:t>,</w:t>
      </w:r>
      <w:r w:rsidRPr="6FC3E2E7">
        <w:rPr>
          <w:rFonts w:ascii="Times New Roman" w:hAnsi="Times New Roman" w:cs="Times New Roman"/>
          <w:sz w:val="24"/>
          <w:szCs w:val="24"/>
        </w:rPr>
        <w:t xml:space="preserve"> or </w:t>
      </w:r>
      <w:r w:rsidR="14A2DD37" w:rsidRPr="6FC3E2E7">
        <w:rPr>
          <w:rFonts w:ascii="Times New Roman" w:hAnsi="Times New Roman" w:cs="Times New Roman"/>
          <w:sz w:val="24"/>
          <w:szCs w:val="24"/>
        </w:rPr>
        <w:t>four and a half</w:t>
      </w:r>
      <w:r w:rsidRPr="6FC3E2E7">
        <w:rPr>
          <w:rFonts w:ascii="Times New Roman" w:hAnsi="Times New Roman" w:cs="Times New Roman"/>
          <w:sz w:val="24"/>
          <w:szCs w:val="24"/>
        </w:rPr>
        <w:t xml:space="preserve"> years.  Any non-competitive continuation is contingent on performance and </w:t>
      </w:r>
      <w:r w:rsidRPr="6FC3E2E7">
        <w:rPr>
          <w:rFonts w:ascii="Times New Roman" w:hAnsi="Times New Roman" w:cs="Times New Roman"/>
          <w:b/>
          <w:bCs/>
          <w:sz w:val="24"/>
          <w:szCs w:val="24"/>
        </w:rPr>
        <w:t xml:space="preserve">pending availability of funds.  </w:t>
      </w:r>
      <w:r w:rsidRPr="6FC3E2E7">
        <w:rPr>
          <w:rFonts w:ascii="Times New Roman" w:hAnsi="Times New Roman" w:cs="Times New Roman"/>
          <w:sz w:val="24"/>
          <w:szCs w:val="24"/>
        </w:rPr>
        <w:t xml:space="preserve">A non-competitive continuation is not </w:t>
      </w:r>
      <w:r w:rsidR="14A2DD37" w:rsidRPr="6FC3E2E7">
        <w:rPr>
          <w:rFonts w:ascii="Times New Roman" w:hAnsi="Times New Roman" w:cs="Times New Roman"/>
          <w:sz w:val="24"/>
          <w:szCs w:val="24"/>
        </w:rPr>
        <w:t>guaranteed,</w:t>
      </w:r>
      <w:r w:rsidRPr="6FC3E2E7">
        <w:rPr>
          <w:rFonts w:ascii="Times New Roman" w:hAnsi="Times New Roman" w:cs="Times New Roman"/>
          <w:sz w:val="24"/>
          <w:szCs w:val="24"/>
        </w:rPr>
        <w:t xml:space="preserve"> and the Department of State reserves the right to exercise or not to exercise this option.  </w:t>
      </w: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4D01F11" w14:textId="1A56F83A" w:rsidR="00290D8C" w:rsidRDefault="00290D8C" w:rsidP="6FC3E2E7">
      <w:pPr>
        <w:spacing w:after="0" w:line="240" w:lineRule="auto"/>
      </w:pPr>
    </w:p>
    <w:p w14:paraId="6B20D53C" w14:textId="51EE82F1" w:rsidR="00290D8C" w:rsidRDefault="6FC3E2E7" w:rsidP="6FC3E2E7">
      <w:pPr>
        <w:spacing w:after="0" w:line="240" w:lineRule="auto"/>
        <w:rPr>
          <w:rFonts w:ascii="Times" w:eastAsia="Times" w:hAnsi="Times" w:cs="Times"/>
          <w:sz w:val="24"/>
          <w:szCs w:val="24"/>
        </w:rPr>
      </w:pPr>
      <w:r w:rsidRPr="6FC3E2E7">
        <w:rPr>
          <w:rFonts w:ascii="Times" w:eastAsia="Times" w:hAnsi="Times" w:cs="Times"/>
          <w:sz w:val="24"/>
          <w:szCs w:val="24"/>
        </w:rPr>
        <w:t xml:space="preserve">Eligibility is limited to U.S. non-profit/nongovernmental organizations (NGOs) subject to section 501(c)(3) of the U.S. tax code, foreign not-for-profit/NGOs, Public International Organizations; Foreign Public Organizations; for profit organizations, and educational institutions.  </w:t>
      </w:r>
    </w:p>
    <w:p w14:paraId="3C01B7E6" w14:textId="2DDBB4BB" w:rsidR="00290D8C" w:rsidRDefault="00290D8C" w:rsidP="6FC3E2E7">
      <w:pPr>
        <w:spacing w:after="0" w:line="240" w:lineRule="auto"/>
        <w:rPr>
          <w:rFonts w:ascii="Arial" w:eastAsia="Arial" w:hAnsi="Arial" w:cs="Arial"/>
          <w:sz w:val="20"/>
          <w:szCs w:val="20"/>
        </w:rPr>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24AD1FE3" w14:textId="1CAB8E56" w:rsidR="00492CCF" w:rsidRDefault="388E7F71" w:rsidP="003D5CC5">
      <w:pPr>
        <w:spacing w:after="0" w:line="240" w:lineRule="auto"/>
      </w:pPr>
      <w:r w:rsidRPr="6FC3E2E7">
        <w:rPr>
          <w:rFonts w:ascii="Times New Roman" w:eastAsia="Times New Roman" w:hAnsi="Times New Roman" w:cs="Times New Roman"/>
          <w:b/>
          <w:bCs/>
          <w:i/>
          <w:iCs/>
          <w:sz w:val="24"/>
          <w:szCs w:val="24"/>
        </w:rPr>
        <w:t>C.2 Cost Sharing or Matching</w:t>
      </w:r>
    </w:p>
    <w:p w14:paraId="1E9BA3EE" w14:textId="67CA930F" w:rsidR="00492CCF" w:rsidRDefault="6FC3E2E7" w:rsidP="6FC3E2E7">
      <w:pPr>
        <w:spacing w:after="0"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Providing cost sharing, matching, or cost participation is not an eligibility factor or requirement for this NOFO and providing cost share will not result in a more favorable competitive ranking. However, providing co-share is encouraged.  When cost sharing is offered, all cost share or matching must be included in detail in the </w:t>
      </w:r>
      <w:r w:rsidR="008649B8" w:rsidRPr="6FC3E2E7">
        <w:rPr>
          <w:rFonts w:ascii="Times New Roman" w:eastAsia="Times New Roman" w:hAnsi="Times New Roman" w:cs="Times New Roman"/>
          <w:color w:val="000000" w:themeColor="text1"/>
          <w:sz w:val="24"/>
          <w:szCs w:val="24"/>
        </w:rPr>
        <w:t>line-item</w:t>
      </w:r>
      <w:r w:rsidRPr="6FC3E2E7">
        <w:rPr>
          <w:rFonts w:ascii="Times New Roman" w:eastAsia="Times New Roman" w:hAnsi="Times New Roman" w:cs="Times New Roman"/>
          <w:color w:val="000000" w:themeColor="text1"/>
          <w:sz w:val="24"/>
          <w:szCs w:val="24"/>
        </w:rPr>
        <w:t xml:space="preserve"> budget and noted in the budget narrative.  It is understood and agreed that the applicant must provide the amount of cost sharing that it elects to stipulate in its proposal and that is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2 CFR 200.306 – Cost Sharing and Matching</w:t>
      </w:r>
    </w:p>
    <w:p w14:paraId="1EE0F529" w14:textId="2C2DA046" w:rsidR="6FC3E2E7" w:rsidRDefault="6FC3E2E7" w:rsidP="6FC3E2E7">
      <w:pPr>
        <w:spacing w:after="0" w:line="240" w:lineRule="auto"/>
        <w:rPr>
          <w:rFonts w:ascii="Times New Roman" w:eastAsia="Times New Roman" w:hAnsi="Times New Roman" w:cs="Times New Roman"/>
          <w:color w:val="000000" w:themeColor="text1"/>
          <w:sz w:val="24"/>
          <w:szCs w:val="24"/>
        </w:rPr>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03B42362" w14:textId="77777777" w:rsidR="00492CCF" w:rsidRDefault="79B79B71">
      <w:pPr>
        <w:spacing w:after="0"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lastRenderedPageBreak/>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Default="00492CCF">
      <w:pPr>
        <w:spacing w:after="0" w:line="240" w:lineRule="auto"/>
      </w:pPr>
      <w:r w:rsidRPr="00492CCF">
        <w:rPr>
          <w:rFonts w:ascii="Times New Roman" w:eastAsia="Times New Roman" w:hAnsi="Times New Roman" w:cs="Times New Roman"/>
          <w:sz w:val="24"/>
          <w:szCs w:val="24"/>
        </w:rPr>
        <w:t xml:space="preserve"> </w:t>
      </w: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12"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75254CD" w:rsidR="00B54475" w:rsidRDefault="388E7F71">
      <w:pPr>
        <w:spacing w:after="0"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xml:space="preserve">Applicants can find application forms, kits, or other materials needed to apply on </w:t>
      </w:r>
      <w:hyperlink r:id="rId13">
        <w:r w:rsidR="795144B9" w:rsidRPr="6FC3E2E7">
          <w:rPr>
            <w:rStyle w:val="Hyperlink"/>
            <w:rFonts w:ascii="Times New Roman" w:eastAsia="Times New Roman" w:hAnsi="Times New Roman" w:cs="Times New Roman"/>
            <w:sz w:val="24"/>
            <w:szCs w:val="24"/>
          </w:rPr>
          <w:t>www.grants.gov</w:t>
        </w:r>
      </w:hyperlink>
      <w:r w:rsidR="795144B9" w:rsidRPr="6FC3E2E7">
        <w:rPr>
          <w:rFonts w:ascii="Times New Roman" w:eastAsia="Times New Roman" w:hAnsi="Times New Roman" w:cs="Times New Roman"/>
          <w:color w:val="0000FF"/>
          <w:sz w:val="24"/>
          <w:szCs w:val="24"/>
        </w:rPr>
        <w:t xml:space="preserve"> </w:t>
      </w:r>
      <w:r w:rsidRPr="6FC3E2E7">
        <w:rPr>
          <w:rFonts w:ascii="Times New Roman" w:eastAsia="Times New Roman" w:hAnsi="Times New Roman" w:cs="Times New Roman"/>
          <w:sz w:val="24"/>
          <w:szCs w:val="24"/>
        </w:rPr>
        <w:t xml:space="preserve">and </w:t>
      </w:r>
      <w:hyperlink r:id="rId14">
        <w:r w:rsidR="5493396E" w:rsidRPr="6FC3E2E7">
          <w:rPr>
            <w:rStyle w:val="Hyperlink"/>
            <w:rFonts w:ascii="Times New Roman" w:eastAsia="Times New Roman" w:hAnsi="Times New Roman" w:cs="Times New Roman"/>
            <w:color w:val="auto"/>
            <w:sz w:val="24"/>
            <w:szCs w:val="24"/>
            <w:u w:val="none"/>
          </w:rPr>
          <w:t>SAM</w:t>
        </w:r>
      </w:hyperlink>
      <w:r w:rsidR="5493396E" w:rsidRPr="6FC3E2E7">
        <w:rPr>
          <w:rFonts w:ascii="Times New Roman" w:eastAsia="Times New Roman" w:hAnsi="Times New Roman" w:cs="Times New Roman"/>
          <w:sz w:val="24"/>
          <w:szCs w:val="24"/>
        </w:rPr>
        <w:t xml:space="preserve">S </w:t>
      </w:r>
      <w:r w:rsidR="5493396E" w:rsidRPr="6FC3E2E7">
        <w:rPr>
          <w:rFonts w:ascii="Times New Roman" w:eastAsia="Times New Roman" w:hAnsi="Times New Roman" w:cs="Times New Roman"/>
          <w:color w:val="auto"/>
          <w:sz w:val="24"/>
          <w:szCs w:val="24"/>
        </w:rPr>
        <w:t>Domestic</w:t>
      </w:r>
      <w:r w:rsidR="5493396E" w:rsidRPr="6FC3E2E7">
        <w:rPr>
          <w:rFonts w:ascii="Times New Roman" w:eastAsia="Times New Roman" w:hAnsi="Times New Roman" w:cs="Times New Roman"/>
          <w:b/>
          <w:bCs/>
          <w:color w:val="auto"/>
          <w:sz w:val="24"/>
          <w:szCs w:val="24"/>
        </w:rPr>
        <w:t xml:space="preserve"> </w:t>
      </w:r>
      <w:r w:rsidR="5493396E" w:rsidRPr="6FC3E2E7">
        <w:rPr>
          <w:rFonts w:ascii="Times New Roman" w:eastAsia="Times New Roman" w:hAnsi="Times New Roman" w:cs="Times New Roman"/>
          <w:color w:val="0000FF"/>
          <w:sz w:val="24"/>
          <w:szCs w:val="24"/>
          <w:u w:val="single"/>
        </w:rPr>
        <w:t>(</w:t>
      </w:r>
      <w:hyperlink r:id="rId15">
        <w:r w:rsidR="0DC4B03E" w:rsidRPr="6FC3E2E7">
          <w:rPr>
            <w:rStyle w:val="Hyperlink"/>
            <w:rFonts w:ascii="Times New Roman" w:hAnsi="Times New Roman" w:cs="Times New Roman"/>
            <w:sz w:val="24"/>
            <w:szCs w:val="24"/>
          </w:rPr>
          <w:t>https://mygrants.servicenowservices.com</w:t>
        </w:r>
      </w:hyperlink>
      <w:r w:rsidR="5493396E" w:rsidRPr="6FC3E2E7">
        <w:rPr>
          <w:rFonts w:ascii="Times New Roman" w:hAnsi="Times New Roman" w:cs="Times New Roman"/>
          <w:sz w:val="24"/>
          <w:szCs w:val="24"/>
        </w:rPr>
        <w:t>)</w:t>
      </w:r>
      <w:r w:rsidR="3E53DA8F" w:rsidRPr="6FC3E2E7">
        <w:rPr>
          <w:rFonts w:ascii="Times New Roman" w:hAnsi="Times New Roman" w:cs="Times New Roman"/>
          <w:sz w:val="24"/>
          <w:szCs w:val="24"/>
        </w:rPr>
        <w:t xml:space="preserve"> </w:t>
      </w:r>
      <w:r w:rsidRPr="6FC3E2E7">
        <w:rPr>
          <w:rFonts w:ascii="Times New Roman" w:eastAsia="Times New Roman" w:hAnsi="Times New Roman" w:cs="Times New Roman"/>
          <w:sz w:val="24"/>
          <w:szCs w:val="24"/>
        </w:rPr>
        <w:t>under the announcement</w:t>
      </w:r>
      <w:r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sz w:val="24"/>
          <w:szCs w:val="24"/>
        </w:rPr>
        <w:t>title “</w:t>
      </w:r>
      <w:r w:rsidR="6FC3E2E7" w:rsidRPr="6FC3E2E7">
        <w:rPr>
          <w:rFonts w:ascii="Times New Roman" w:eastAsia="Times New Roman" w:hAnsi="Times New Roman" w:cs="Times New Roman"/>
          <w:sz w:val="24"/>
          <w:szCs w:val="24"/>
        </w:rPr>
        <w:t>Forest Investment Development Facility (ForInvest)</w:t>
      </w:r>
      <w:r w:rsidR="5277934B" w:rsidRPr="6FC3E2E7">
        <w:rPr>
          <w:rFonts w:ascii="Times New Roman" w:eastAsia="Times New Roman" w:hAnsi="Times New Roman" w:cs="Times New Roman"/>
          <w:sz w:val="24"/>
          <w:szCs w:val="24"/>
        </w:rPr>
        <w:t>,</w:t>
      </w:r>
      <w:r w:rsidR="55369175" w:rsidRPr="6FC3E2E7">
        <w:rPr>
          <w:rFonts w:ascii="Times New Roman" w:eastAsia="Times New Roman" w:hAnsi="Times New Roman" w:cs="Times New Roman"/>
          <w:sz w:val="24"/>
          <w:szCs w:val="24"/>
        </w:rPr>
        <w:t>” funding</w:t>
      </w:r>
      <w:r w:rsidRPr="6FC3E2E7">
        <w:rPr>
          <w:rFonts w:ascii="Times New Roman" w:eastAsia="Times New Roman" w:hAnsi="Times New Roman" w:cs="Times New Roman"/>
          <w:sz w:val="24"/>
          <w:szCs w:val="24"/>
        </w:rPr>
        <w:t xml:space="preserve"> opportunity number </w:t>
      </w:r>
      <w:r w:rsidR="5277934B" w:rsidRPr="6FC3E2E7">
        <w:rPr>
          <w:rFonts w:ascii="Times New Roman" w:eastAsia="Times New Roman" w:hAnsi="Times New Roman" w:cs="Times New Roman"/>
          <w:sz w:val="24"/>
          <w:szCs w:val="24"/>
        </w:rPr>
        <w:t>“</w:t>
      </w:r>
      <w:r w:rsidR="00CA52ED" w:rsidRPr="00CA52ED">
        <w:rPr>
          <w:rFonts w:ascii="Times New Roman" w:eastAsia="Times New Roman" w:hAnsi="Times New Roman" w:cs="Times New Roman"/>
          <w:sz w:val="24"/>
          <w:szCs w:val="24"/>
        </w:rPr>
        <w:t>SFOP0008827</w:t>
      </w:r>
      <w:r w:rsidRPr="6FC3E2E7">
        <w:rPr>
          <w:rFonts w:ascii="Times New Roman" w:eastAsia="Times New Roman" w:hAnsi="Times New Roman" w:cs="Times New Roman"/>
          <w:sz w:val="24"/>
          <w:szCs w:val="24"/>
        </w:rPr>
        <w:t>.</w:t>
      </w:r>
      <w:r w:rsidR="7D55E127"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 xml:space="preserve">Please contact OES point of contact listed in </w:t>
      </w:r>
      <w:r w:rsidR="006CCEF0" w:rsidRPr="6FC3E2E7">
        <w:rPr>
          <w:rFonts w:ascii="Times New Roman" w:eastAsia="Times New Roman" w:hAnsi="Times New Roman" w:cs="Times New Roman"/>
          <w:sz w:val="24"/>
          <w:szCs w:val="24"/>
        </w:rPr>
        <w:t>S</w:t>
      </w:r>
      <w:r w:rsidRPr="6FC3E2E7">
        <w:rPr>
          <w:rFonts w:ascii="Times New Roman" w:eastAsia="Times New Roman" w:hAnsi="Times New Roman" w:cs="Times New Roman"/>
          <w:sz w:val="24"/>
          <w:szCs w:val="24"/>
        </w:rPr>
        <w:t>ection G if requesting reasonable accommodations for persons with disabilities or for security reasons.  Please note</w:t>
      </w:r>
      <w:r w:rsidR="006CCEF0" w:rsidRPr="6FC3E2E7">
        <w:rPr>
          <w:rFonts w:ascii="Times New Roman" w:eastAsia="Times New Roman" w:hAnsi="Times New Roman" w:cs="Times New Roman"/>
          <w:sz w:val="24"/>
          <w:szCs w:val="24"/>
        </w:rPr>
        <w:t xml:space="preserve"> that</w:t>
      </w:r>
      <w:r w:rsidRPr="6FC3E2E7">
        <w:rPr>
          <w:rFonts w:ascii="Times New Roman" w:eastAsia="Times New Roman" w:hAnsi="Times New Roman" w:cs="Times New Roman"/>
          <w:sz w:val="24"/>
          <w:szCs w:val="24"/>
        </w:rPr>
        <w:t xml:space="preserve"> reasonable accommodations do not include deadline extensions.</w:t>
      </w:r>
      <w:r w:rsidR="5E88F826" w:rsidRPr="6FC3E2E7">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388E7F71">
      <w:pPr>
        <w:spacing w:after="0" w:line="240" w:lineRule="auto"/>
      </w:pPr>
      <w:r w:rsidRPr="6FC3E2E7">
        <w:rPr>
          <w:rFonts w:ascii="Times New Roman" w:eastAsia="Times New Roman" w:hAnsi="Times New Roman" w:cs="Times New Roman"/>
          <w:sz w:val="24"/>
          <w:szCs w:val="24"/>
        </w:rPr>
        <w:t>For all application documents, please ensure:</w:t>
      </w:r>
    </w:p>
    <w:p w14:paraId="0B767D6F" w14:textId="28941485" w:rsidR="00290D8C" w:rsidRDefault="002607E8" w:rsidP="00031DB1">
      <w:pPr>
        <w:numPr>
          <w:ilvl w:val="0"/>
          <w:numId w:val="2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031DB1">
      <w:pPr>
        <w:numPr>
          <w:ilvl w:val="0"/>
          <w:numId w:val="2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031DB1">
      <w:pPr>
        <w:numPr>
          <w:ilvl w:val="0"/>
          <w:numId w:val="2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031DB1">
      <w:pPr>
        <w:numPr>
          <w:ilvl w:val="0"/>
          <w:numId w:val="22"/>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031DB1">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031DB1">
      <w:pPr>
        <w:pStyle w:val="NoSpacing"/>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7819B084" w14:textId="01F2584B" w:rsidR="00CF1A66" w:rsidRPr="005F3963" w:rsidRDefault="133732D3" w:rsidP="00031DB1">
      <w:pPr>
        <w:pStyle w:val="NoSpacing"/>
        <w:numPr>
          <w:ilvl w:val="0"/>
          <w:numId w:val="19"/>
        </w:numPr>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Cover Page</w:t>
      </w:r>
      <w:r w:rsidR="596258A5" w:rsidRPr="6FC3E2E7">
        <w:rPr>
          <w:rFonts w:ascii="Times New Roman" w:eastAsia="Times New Roman" w:hAnsi="Times New Roman" w:cs="Times New Roman"/>
          <w:b/>
          <w:bCs/>
          <w:sz w:val="24"/>
          <w:szCs w:val="24"/>
        </w:rPr>
        <w:t>/Executive Summary</w:t>
      </w:r>
      <w:r w:rsidRPr="6FC3E2E7">
        <w:rPr>
          <w:rFonts w:ascii="Times New Roman" w:eastAsia="Times New Roman" w:hAnsi="Times New Roman" w:cs="Times New Roman"/>
          <w:sz w:val="24"/>
          <w:szCs w:val="24"/>
        </w:rPr>
        <w:t xml:space="preserve"> (not to exceed one </w:t>
      </w:r>
      <w:r w:rsidR="4CCC47A3" w:rsidRPr="6FC3E2E7">
        <w:rPr>
          <w:rFonts w:ascii="Times New Roman" w:eastAsia="Times New Roman" w:hAnsi="Times New Roman" w:cs="Times New Roman"/>
          <w:sz w:val="24"/>
          <w:szCs w:val="24"/>
        </w:rPr>
        <w:t>(1)</w:t>
      </w:r>
      <w:r w:rsidRPr="6FC3E2E7">
        <w:rPr>
          <w:rFonts w:ascii="Times New Roman" w:eastAsia="Times New Roman" w:hAnsi="Times New Roman" w:cs="Times New Roman"/>
          <w:sz w:val="24"/>
          <w:szCs w:val="24"/>
        </w:rPr>
        <w:t xml:space="preserve"> page, preferably as a Word Document) that includes a table with the organization name, project title, target country/countries, and name and contact information for the application’s main point of contact</w:t>
      </w:r>
      <w:r w:rsidR="596258A5" w:rsidRPr="6FC3E2E7">
        <w:rPr>
          <w:rFonts w:ascii="Times New Roman" w:eastAsia="Times New Roman" w:hAnsi="Times New Roman" w:cs="Times New Roman"/>
          <w:sz w:val="24"/>
          <w:szCs w:val="24"/>
        </w:rPr>
        <w:t xml:space="preserve"> and brief section that clearly outlines: (1) the problem statement addressed by the project, (2) research-based evidence justifying the applicant’s approach, and (3) quantifiable project outcomes and impacts.</w:t>
      </w:r>
      <w:r w:rsidR="00CF1A66">
        <w:br/>
      </w:r>
    </w:p>
    <w:p w14:paraId="63DE29B2" w14:textId="1C1DD5A2" w:rsidR="00B12CD2" w:rsidRDefault="133732D3" w:rsidP="00031DB1">
      <w:pPr>
        <w:pStyle w:val="ListParagraph"/>
        <w:numPr>
          <w:ilvl w:val="0"/>
          <w:numId w:val="19"/>
        </w:numPr>
        <w:spacing w:after="0" w:line="240" w:lineRule="auto"/>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Proposal Narrative</w:t>
      </w:r>
      <w:r w:rsidRPr="6FC3E2E7">
        <w:rPr>
          <w:rFonts w:ascii="Times New Roman" w:eastAsia="Times New Roman" w:hAnsi="Times New Roman" w:cs="Times New Roman"/>
          <w:sz w:val="24"/>
          <w:szCs w:val="24"/>
        </w:rPr>
        <w:t xml:space="preserve"> (not to exceed ten </w:t>
      </w:r>
      <w:r w:rsidR="3EBBC6CC"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10</w:t>
      </w:r>
      <w:r w:rsidR="3EBBC6CC"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 xml:space="preserve"> pages, preferably as a Word Document).  Please note the </w:t>
      </w:r>
      <w:r w:rsidR="08B6868D" w:rsidRPr="6FC3E2E7">
        <w:rPr>
          <w:rFonts w:ascii="Times New Roman" w:eastAsia="Times New Roman" w:hAnsi="Times New Roman" w:cs="Times New Roman"/>
          <w:sz w:val="24"/>
          <w:szCs w:val="24"/>
        </w:rPr>
        <w:t>ten-page</w:t>
      </w:r>
      <w:r w:rsidRPr="6FC3E2E7">
        <w:rPr>
          <w:rFonts w:ascii="Times New Roman" w:eastAsia="Times New Roman" w:hAnsi="Times New Roman" w:cs="Times New Roman"/>
          <w:sz w:val="24"/>
          <w:szCs w:val="24"/>
        </w:rPr>
        <w:t xml:space="preserve"> limit </w:t>
      </w:r>
      <w:r w:rsidRPr="6FC3E2E7">
        <w:rPr>
          <w:rFonts w:ascii="Times New Roman" w:eastAsia="Times New Roman" w:hAnsi="Times New Roman" w:cs="Times New Roman"/>
          <w:b/>
          <w:bCs/>
          <w:sz w:val="24"/>
          <w:szCs w:val="24"/>
        </w:rPr>
        <w:t>does not include</w:t>
      </w:r>
      <w:r w:rsidRPr="6FC3E2E7">
        <w:rPr>
          <w:rFonts w:ascii="Times New Roman" w:eastAsia="Times New Roman" w:hAnsi="Times New Roman" w:cs="Times New Roman"/>
          <w:sz w:val="24"/>
          <w:szCs w:val="24"/>
        </w:rPr>
        <w:t xml:space="preserve"> the Cover Page, Executive Summary, Table of Contents, Attachments, Detailed Budget, Budget Narrative, Audit, Letter of Institutional Support, </w:t>
      </w:r>
      <w:r w:rsidR="00DD59B5" w:rsidRPr="00DD59B5">
        <w:rPr>
          <w:rFonts w:ascii="Times New Roman" w:eastAsia="Times New Roman" w:hAnsi="Times New Roman" w:cs="Times New Roman"/>
          <w:sz w:val="24"/>
          <w:szCs w:val="24"/>
        </w:rPr>
        <w:t xml:space="preserve">Performance Monitoring Plan </w:t>
      </w:r>
      <w:r w:rsidR="00DD59B5">
        <w:rPr>
          <w:rFonts w:ascii="Times New Roman" w:eastAsia="Times New Roman" w:hAnsi="Times New Roman" w:cs="Times New Roman"/>
          <w:sz w:val="24"/>
          <w:szCs w:val="24"/>
        </w:rPr>
        <w:t xml:space="preserve">document, </w:t>
      </w:r>
      <w:r w:rsidRPr="6FC3E2E7">
        <w:rPr>
          <w:rFonts w:ascii="Times New Roman" w:eastAsia="Times New Roman" w:hAnsi="Times New Roman" w:cs="Times New Roman"/>
          <w:sz w:val="24"/>
          <w:szCs w:val="24"/>
        </w:rPr>
        <w:t>or NICRA.  Applicants are encouraged to combine multiple documents in</w:t>
      </w:r>
      <w:r w:rsidR="795144B9" w:rsidRPr="6FC3E2E7">
        <w:rPr>
          <w:rFonts w:ascii="Times New Roman" w:eastAsia="Times New Roman" w:hAnsi="Times New Roman" w:cs="Times New Roman"/>
          <w:sz w:val="24"/>
          <w:szCs w:val="24"/>
        </w:rPr>
        <w:t>to</w:t>
      </w:r>
      <w:r w:rsidRPr="6FC3E2E7">
        <w:rPr>
          <w:rFonts w:ascii="Times New Roman" w:eastAsia="Times New Roman" w:hAnsi="Times New Roman" w:cs="Times New Roman"/>
          <w:sz w:val="24"/>
          <w:szCs w:val="24"/>
        </w:rPr>
        <w:t xml:space="preserve"> a single Word Document or PDF (</w:t>
      </w:r>
      <w:r w:rsidR="008649B8" w:rsidRPr="6FC3E2E7">
        <w:rPr>
          <w:rFonts w:ascii="Times New Roman" w:eastAsia="Times New Roman" w:hAnsi="Times New Roman" w:cs="Times New Roman"/>
          <w:sz w:val="24"/>
          <w:szCs w:val="24"/>
        </w:rPr>
        <w:t>i.e.,</w:t>
      </w:r>
      <w:r w:rsidRPr="6FC3E2E7">
        <w:rPr>
          <w:rFonts w:ascii="Times New Roman" w:eastAsia="Times New Roman" w:hAnsi="Times New Roman" w:cs="Times New Roman"/>
          <w:sz w:val="24"/>
          <w:szCs w:val="24"/>
        </w:rPr>
        <w:t xml:space="preserve"> Cover Page, Table of Contents, Executive Summary, and Proposal Narrative in one file). </w:t>
      </w:r>
      <w:r w:rsidR="2531647A" w:rsidRPr="6FC3E2E7">
        <w:rPr>
          <w:rFonts w:ascii="Times New Roman" w:eastAsia="Times New Roman" w:hAnsi="Times New Roman" w:cs="Times New Roman"/>
          <w:sz w:val="24"/>
          <w:szCs w:val="24"/>
        </w:rPr>
        <w:t>The Narrative must include the following:</w:t>
      </w:r>
    </w:p>
    <w:p w14:paraId="3EBD76B9" w14:textId="6FB3937A" w:rsidR="00E8381A" w:rsidRPr="005F3963" w:rsidRDefault="00E8381A" w:rsidP="00031DB1">
      <w:pPr>
        <w:pStyle w:val="ListParagraph"/>
        <w:numPr>
          <w:ilvl w:val="0"/>
          <w:numId w:val="23"/>
        </w:numPr>
        <w:shd w:val="clear" w:color="auto" w:fill="FFFFFF"/>
        <w:spacing w:after="0" w:line="240" w:lineRule="auto"/>
        <w:ind w:left="1440"/>
        <w:textAlignment w:val="baseline"/>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bdr w:val="none" w:sz="0" w:space="0" w:color="auto" w:frame="1"/>
        </w:rPr>
        <w:t>Introduction to the Organization</w:t>
      </w:r>
      <w:r w:rsidRPr="005F3963">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E8381A" w:rsidRDefault="00E8381A" w:rsidP="00031DB1">
      <w:pPr>
        <w:pStyle w:val="ListParagraph"/>
        <w:numPr>
          <w:ilvl w:val="0"/>
          <w:numId w:val="23"/>
        </w:numPr>
        <w:ind w:left="1440"/>
        <w:rPr>
          <w:rFonts w:ascii="Times New Roman" w:eastAsia="Times New Roman" w:hAnsi="Times New Roman" w:cs="Times New Roman"/>
          <w:sz w:val="24"/>
          <w:szCs w:val="24"/>
        </w:rPr>
      </w:pPr>
      <w:r w:rsidRPr="005F3963">
        <w:rPr>
          <w:rFonts w:ascii="Times New Roman" w:eastAsia="Times New Roman" w:hAnsi="Times New Roman" w:cs="Times New Roman"/>
          <w:b/>
          <w:bCs/>
          <w:sz w:val="24"/>
          <w:szCs w:val="24"/>
        </w:rPr>
        <w:t>Program Methods</w:t>
      </w:r>
      <w:r w:rsidRPr="00E8381A">
        <w:rPr>
          <w:rFonts w:ascii="Times New Roman" w:eastAsia="Times New Roman" w:hAnsi="Times New Roman" w:cs="Times New Roman"/>
          <w:b/>
          <w:bCs/>
          <w:sz w:val="24"/>
          <w:szCs w:val="24"/>
        </w:rPr>
        <w:t xml:space="preserve"> and Design:</w:t>
      </w:r>
      <w:r w:rsidRPr="00E8381A">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Default="00176808" w:rsidP="00031DB1">
      <w:pPr>
        <w:pStyle w:val="ListParagraph"/>
        <w:numPr>
          <w:ilvl w:val="0"/>
          <w:numId w:val="23"/>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Goal:</w:t>
      </w:r>
      <w:r w:rsidRPr="00176808">
        <w:rPr>
          <w:rFonts w:ascii="Times New Roman" w:eastAsia="Times New Roman" w:hAnsi="Times New Roman" w:cs="Times New Roman"/>
          <w:sz w:val="24"/>
          <w:szCs w:val="24"/>
        </w:rPr>
        <w:t xml:space="preserve"> The </w:t>
      </w:r>
      <w:r w:rsidR="00E8381A">
        <w:rPr>
          <w:rFonts w:ascii="Times New Roman" w:eastAsia="Times New Roman" w:hAnsi="Times New Roman" w:cs="Times New Roman"/>
          <w:sz w:val="24"/>
          <w:szCs w:val="24"/>
        </w:rPr>
        <w:t>“</w:t>
      </w:r>
      <w:r w:rsidRPr="00176808">
        <w:rPr>
          <w:rFonts w:ascii="Times New Roman" w:eastAsia="Times New Roman" w:hAnsi="Times New Roman" w:cs="Times New Roman"/>
          <w:sz w:val="24"/>
          <w:szCs w:val="24"/>
        </w:rPr>
        <w:t>goal</w:t>
      </w:r>
      <w:r w:rsidR="00E8381A">
        <w:rPr>
          <w:rFonts w:ascii="Times New Roman" w:eastAsia="Times New Roman" w:hAnsi="Times New Roman" w:cs="Times New Roman"/>
          <w:sz w:val="24"/>
          <w:szCs w:val="24"/>
        </w:rPr>
        <w:t>(s)”</w:t>
      </w:r>
      <w:r w:rsidR="00A418D3">
        <w:rPr>
          <w:rFonts w:ascii="Times New Roman" w:eastAsia="Times New Roman" w:hAnsi="Times New Roman" w:cs="Times New Roman"/>
          <w:sz w:val="24"/>
          <w:szCs w:val="24"/>
        </w:rPr>
        <w:t xml:space="preserve"> </w:t>
      </w:r>
      <w:r w:rsidR="00E8381A">
        <w:rPr>
          <w:rFonts w:ascii="Times New Roman" w:eastAsia="Times New Roman" w:hAnsi="Times New Roman" w:cs="Times New Roman"/>
          <w:sz w:val="24"/>
          <w:szCs w:val="24"/>
        </w:rPr>
        <w:t>describe</w:t>
      </w:r>
      <w:r w:rsidR="00A418D3">
        <w:rPr>
          <w:rFonts w:ascii="Times New Roman" w:eastAsia="Times New Roman" w:hAnsi="Times New Roman" w:cs="Times New Roman"/>
          <w:sz w:val="24"/>
          <w:szCs w:val="24"/>
        </w:rPr>
        <w:t xml:space="preserve"> the larger outcome intended</w:t>
      </w:r>
    </w:p>
    <w:p w14:paraId="0F563580" w14:textId="67241E84" w:rsidR="00A621C0" w:rsidRDefault="00E87014" w:rsidP="00031DB1">
      <w:pPr>
        <w:pStyle w:val="ListParagraph"/>
        <w:numPr>
          <w:ilvl w:val="0"/>
          <w:numId w:val="23"/>
        </w:numPr>
        <w:spacing w:after="0" w:line="240" w:lineRule="auto"/>
        <w:ind w:left="1440"/>
        <w:rPr>
          <w:rFonts w:ascii="Times New Roman" w:eastAsia="Times New Roman" w:hAnsi="Times New Roman" w:cs="Times New Roman"/>
          <w:sz w:val="24"/>
          <w:szCs w:val="24"/>
        </w:rPr>
      </w:pPr>
      <w:r w:rsidRPr="00E8381A">
        <w:rPr>
          <w:rFonts w:ascii="Times New Roman" w:eastAsia="Times New Roman" w:hAnsi="Times New Roman" w:cs="Times New Roman"/>
          <w:b/>
          <w:bCs/>
          <w:sz w:val="24"/>
          <w:szCs w:val="24"/>
        </w:rPr>
        <w:t>Program Objectives:</w:t>
      </w:r>
      <w:r w:rsidR="00A418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A418D3">
        <w:rPr>
          <w:rFonts w:ascii="Times New Roman" w:eastAsia="Times New Roman" w:hAnsi="Times New Roman" w:cs="Times New Roman"/>
          <w:sz w:val="24"/>
          <w:szCs w:val="24"/>
        </w:rPr>
        <w:t xml:space="preserve">he </w:t>
      </w:r>
      <w:r w:rsidR="00E8381A">
        <w:rPr>
          <w:rFonts w:ascii="Times New Roman" w:eastAsia="Times New Roman" w:hAnsi="Times New Roman" w:cs="Times New Roman"/>
          <w:sz w:val="24"/>
          <w:szCs w:val="24"/>
        </w:rPr>
        <w:t>intermediate accomplishments</w:t>
      </w:r>
      <w:r w:rsidR="00A418D3">
        <w:rPr>
          <w:rFonts w:ascii="Times New Roman" w:eastAsia="Times New Roman" w:hAnsi="Times New Roman" w:cs="Times New Roman"/>
          <w:sz w:val="24"/>
          <w:szCs w:val="24"/>
        </w:rPr>
        <w:t xml:space="preserve"> and measurable </w:t>
      </w:r>
      <w:r w:rsidR="00B337C6">
        <w:rPr>
          <w:rFonts w:ascii="Times New Roman" w:eastAsia="Times New Roman" w:hAnsi="Times New Roman" w:cs="Times New Roman"/>
          <w:sz w:val="24"/>
          <w:szCs w:val="24"/>
        </w:rPr>
        <w:t>targets</w:t>
      </w:r>
      <w:r w:rsidR="00A418D3">
        <w:rPr>
          <w:rFonts w:ascii="Times New Roman" w:eastAsia="Times New Roman" w:hAnsi="Times New Roman" w:cs="Times New Roman"/>
          <w:sz w:val="24"/>
          <w:szCs w:val="24"/>
        </w:rPr>
        <w:t xml:space="preserve"> to achieve a goal</w:t>
      </w:r>
      <w:r w:rsidR="00176808" w:rsidRPr="00176808">
        <w:rPr>
          <w:rFonts w:ascii="Times New Roman" w:eastAsia="Times New Roman" w:hAnsi="Times New Roman" w:cs="Times New Roman"/>
          <w:sz w:val="24"/>
          <w:szCs w:val="24"/>
        </w:rPr>
        <w:t xml:space="preserve">. </w:t>
      </w:r>
      <w:r w:rsidR="00A418D3">
        <w:rPr>
          <w:rFonts w:ascii="Times New Roman" w:eastAsia="Times New Roman" w:hAnsi="Times New Roman" w:cs="Times New Roman"/>
          <w:sz w:val="24"/>
          <w:szCs w:val="24"/>
        </w:rPr>
        <w:t>O</w:t>
      </w:r>
      <w:r w:rsidR="00176808" w:rsidRPr="00176808">
        <w:rPr>
          <w:rFonts w:ascii="Times New Roman" w:eastAsia="Times New Roman" w:hAnsi="Times New Roman" w:cs="Times New Roman"/>
          <w:sz w:val="24"/>
          <w:szCs w:val="24"/>
        </w:rPr>
        <w:t xml:space="preserve">bjectives of the program should be </w:t>
      </w:r>
      <w:r w:rsidR="00A621C0">
        <w:rPr>
          <w:rFonts w:ascii="Times New Roman" w:eastAsia="Times New Roman" w:hAnsi="Times New Roman" w:cs="Times New Roman"/>
          <w:sz w:val="24"/>
          <w:szCs w:val="24"/>
        </w:rPr>
        <w:t xml:space="preserve">SMART: </w:t>
      </w:r>
    </w:p>
    <w:p w14:paraId="3AA4AACE" w14:textId="77777777" w:rsidR="00A621C0" w:rsidRDefault="00A621C0" w:rsidP="00031DB1">
      <w:pPr>
        <w:pStyle w:val="ListParagraph"/>
        <w:numPr>
          <w:ilvl w:val="2"/>
          <w:numId w:val="2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S</w:t>
      </w:r>
      <w:r>
        <w:rPr>
          <w:rFonts w:ascii="Times New Roman" w:eastAsia="Times New Roman" w:hAnsi="Times New Roman" w:cs="Times New Roman"/>
          <w:sz w:val="24"/>
          <w:szCs w:val="24"/>
        </w:rPr>
        <w:t>pecific: Detailed and specifies what will be achieved</w:t>
      </w:r>
    </w:p>
    <w:p w14:paraId="1D754531" w14:textId="77777777" w:rsidR="00A621C0" w:rsidRDefault="00A621C0" w:rsidP="00031DB1">
      <w:pPr>
        <w:pStyle w:val="ListParagraph"/>
        <w:numPr>
          <w:ilvl w:val="2"/>
          <w:numId w:val="2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M</w:t>
      </w:r>
      <w:r w:rsidR="00176808" w:rsidRPr="00176808">
        <w:rPr>
          <w:rFonts w:ascii="Times New Roman" w:eastAsia="Times New Roman" w:hAnsi="Times New Roman" w:cs="Times New Roman"/>
          <w:sz w:val="24"/>
          <w:szCs w:val="24"/>
        </w:rPr>
        <w:t>easurable</w:t>
      </w:r>
      <w:r>
        <w:rPr>
          <w:rFonts w:ascii="Times New Roman" w:eastAsia="Times New Roman" w:hAnsi="Times New Roman" w:cs="Times New Roman"/>
          <w:sz w:val="24"/>
          <w:szCs w:val="24"/>
        </w:rPr>
        <w:t>: have associated metrics or measurements of success</w:t>
      </w:r>
    </w:p>
    <w:p w14:paraId="6EE5A342" w14:textId="77777777" w:rsidR="00A621C0" w:rsidRDefault="00A621C0" w:rsidP="00031DB1">
      <w:pPr>
        <w:pStyle w:val="ListParagraph"/>
        <w:numPr>
          <w:ilvl w:val="2"/>
          <w:numId w:val="2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color w:val="auto"/>
          <w:sz w:val="24"/>
          <w:szCs w:val="24"/>
        </w:rPr>
        <w:t>A</w:t>
      </w:r>
      <w:r>
        <w:rPr>
          <w:rFonts w:ascii="Times New Roman" w:eastAsia="Times New Roman" w:hAnsi="Times New Roman" w:cs="Times New Roman"/>
          <w:sz w:val="24"/>
          <w:szCs w:val="24"/>
        </w:rPr>
        <w:t>ttainable: appropriately challenging</w:t>
      </w:r>
      <w:r w:rsidR="00176808" w:rsidRPr="001768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objectives can be reasonably attained give the available resources</w:t>
      </w:r>
    </w:p>
    <w:p w14:paraId="673728BB" w14:textId="77777777" w:rsidR="00A621C0" w:rsidRDefault="00A621C0" w:rsidP="00031DB1">
      <w:pPr>
        <w:pStyle w:val="ListParagraph"/>
        <w:numPr>
          <w:ilvl w:val="2"/>
          <w:numId w:val="23"/>
        </w:numPr>
        <w:spacing w:after="0" w:line="240" w:lineRule="auto"/>
        <w:rPr>
          <w:rFonts w:ascii="Times New Roman" w:eastAsia="Times New Roman" w:hAnsi="Times New Roman" w:cs="Times New Roman"/>
          <w:sz w:val="24"/>
          <w:szCs w:val="24"/>
        </w:rPr>
      </w:pPr>
      <w:r w:rsidRPr="00A621C0">
        <w:rPr>
          <w:rFonts w:ascii="Times New Roman" w:eastAsia="Times New Roman" w:hAnsi="Times New Roman" w:cs="Times New Roman"/>
          <w:b/>
          <w:bCs/>
          <w:sz w:val="24"/>
          <w:szCs w:val="24"/>
        </w:rPr>
        <w:t>R</w:t>
      </w:r>
      <w:r>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176808" w:rsidRDefault="00A621C0" w:rsidP="00031DB1">
      <w:pPr>
        <w:pStyle w:val="ListParagraph"/>
        <w:numPr>
          <w:ilvl w:val="2"/>
          <w:numId w:val="23"/>
        </w:numPr>
        <w:spacing w:after="0" w:line="240" w:lineRule="auto"/>
        <w:rPr>
          <w:rFonts w:ascii="Times New Roman" w:eastAsia="Times New Roman" w:hAnsi="Times New Roman" w:cs="Times New Roman"/>
          <w:sz w:val="24"/>
          <w:szCs w:val="24"/>
        </w:rPr>
      </w:pPr>
      <w:r w:rsidRPr="00E87014">
        <w:rPr>
          <w:rFonts w:ascii="Times New Roman" w:eastAsia="Times New Roman" w:hAnsi="Times New Roman" w:cs="Times New Roman"/>
          <w:b/>
          <w:bCs/>
          <w:sz w:val="24"/>
          <w:szCs w:val="24"/>
        </w:rPr>
        <w:t>T</w:t>
      </w:r>
      <w:r>
        <w:rPr>
          <w:rFonts w:ascii="Times New Roman" w:eastAsia="Times New Roman" w:hAnsi="Times New Roman" w:cs="Times New Roman"/>
          <w:sz w:val="24"/>
          <w:szCs w:val="24"/>
        </w:rPr>
        <w:t xml:space="preserve">ime-Bound: </w:t>
      </w:r>
      <w:r w:rsidR="00176808" w:rsidRPr="00176808">
        <w:rPr>
          <w:rFonts w:ascii="Times New Roman" w:eastAsia="Times New Roman" w:hAnsi="Times New Roman" w:cs="Times New Roman"/>
          <w:sz w:val="24"/>
          <w:szCs w:val="24"/>
        </w:rPr>
        <w:t>achievable within the timeframe of the program</w:t>
      </w:r>
    </w:p>
    <w:p w14:paraId="40190B0D" w14:textId="6EB18ECE" w:rsidR="00176808" w:rsidRDefault="4D7DED06" w:rsidP="00031DB1">
      <w:pPr>
        <w:pStyle w:val="ListParagraph"/>
        <w:numPr>
          <w:ilvl w:val="0"/>
          <w:numId w:val="23"/>
        </w:numPr>
        <w:spacing w:after="0" w:line="240" w:lineRule="auto"/>
        <w:ind w:left="1440"/>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 xml:space="preserve">Program </w:t>
      </w:r>
      <w:r w:rsidR="091B0DFC" w:rsidRPr="6FC3E2E7">
        <w:rPr>
          <w:rFonts w:ascii="Times New Roman" w:eastAsia="Times New Roman" w:hAnsi="Times New Roman" w:cs="Times New Roman"/>
          <w:b/>
          <w:bCs/>
          <w:sz w:val="24"/>
          <w:szCs w:val="24"/>
        </w:rPr>
        <w:t>Activities:</w:t>
      </w:r>
      <w:r w:rsidR="091B0DFC" w:rsidRPr="6FC3E2E7">
        <w:rPr>
          <w:rFonts w:ascii="Times New Roman" w:eastAsia="Times New Roman" w:hAnsi="Times New Roman" w:cs="Times New Roman"/>
          <w:sz w:val="24"/>
          <w:szCs w:val="24"/>
        </w:rPr>
        <w:t xml:space="preserve"> </w:t>
      </w:r>
      <w:r w:rsidR="129A6999" w:rsidRPr="6FC3E2E7">
        <w:rPr>
          <w:rFonts w:ascii="Times New Roman" w:eastAsia="Times New Roman" w:hAnsi="Times New Roman" w:cs="Times New Roman"/>
          <w:sz w:val="24"/>
          <w:szCs w:val="24"/>
        </w:rPr>
        <w:t xml:space="preserve">Describe specific actions taken under Objective.  </w:t>
      </w:r>
      <w:r w:rsidR="091B0DFC" w:rsidRPr="6FC3E2E7">
        <w:rPr>
          <w:rFonts w:ascii="Times New Roman" w:eastAsia="Times New Roman" w:hAnsi="Times New Roman" w:cs="Times New Roman"/>
          <w:sz w:val="24"/>
          <w:szCs w:val="24"/>
        </w:rPr>
        <w:t xml:space="preserve">All activities should be clearly developed and sufficiently </w:t>
      </w:r>
      <w:r w:rsidR="129A6999" w:rsidRPr="6FC3E2E7">
        <w:rPr>
          <w:rFonts w:ascii="Times New Roman" w:eastAsia="Times New Roman" w:hAnsi="Times New Roman" w:cs="Times New Roman"/>
          <w:sz w:val="24"/>
          <w:szCs w:val="24"/>
        </w:rPr>
        <w:t xml:space="preserve">explain </w:t>
      </w:r>
      <w:r w:rsidR="091B0DFC" w:rsidRPr="6FC3E2E7">
        <w:rPr>
          <w:rFonts w:ascii="Times New Roman" w:eastAsia="Times New Roman" w:hAnsi="Times New Roman" w:cs="Times New Roman"/>
          <w:sz w:val="24"/>
          <w:szCs w:val="24"/>
        </w:rPr>
        <w:t>the resource and time requirements</w:t>
      </w:r>
      <w:r w:rsidR="129A6999" w:rsidRPr="6FC3E2E7">
        <w:rPr>
          <w:rFonts w:ascii="Times New Roman" w:eastAsia="Times New Roman" w:hAnsi="Times New Roman" w:cs="Times New Roman"/>
          <w:sz w:val="24"/>
          <w:szCs w:val="24"/>
        </w:rPr>
        <w:t xml:space="preserve"> (inputs)</w:t>
      </w:r>
      <w:r w:rsidRPr="6FC3E2E7">
        <w:rPr>
          <w:rFonts w:ascii="Times New Roman" w:eastAsia="Times New Roman" w:hAnsi="Times New Roman" w:cs="Times New Roman"/>
          <w:sz w:val="24"/>
          <w:szCs w:val="24"/>
        </w:rPr>
        <w:t xml:space="preserve"> and </w:t>
      </w:r>
      <w:r w:rsidR="129A6999" w:rsidRPr="6FC3E2E7">
        <w:rPr>
          <w:rFonts w:ascii="Times New Roman" w:eastAsia="Times New Roman" w:hAnsi="Times New Roman" w:cs="Times New Roman"/>
          <w:sz w:val="24"/>
          <w:szCs w:val="24"/>
        </w:rPr>
        <w:t>things done or produced (outputs).  Activities should detail:</w:t>
      </w:r>
      <w:r w:rsidR="091B0DFC" w:rsidRPr="6FC3E2E7">
        <w:rPr>
          <w:rFonts w:ascii="Times New Roman" w:eastAsia="Times New Roman" w:hAnsi="Times New Roman" w:cs="Times New Roman"/>
          <w:sz w:val="24"/>
          <w:szCs w:val="24"/>
        </w:rPr>
        <w:t xml:space="preserve"> target areas</w:t>
      </w:r>
      <w:r w:rsidR="129A6999" w:rsidRPr="6FC3E2E7">
        <w:rPr>
          <w:rFonts w:ascii="Times New Roman" w:eastAsia="Times New Roman" w:hAnsi="Times New Roman" w:cs="Times New Roman"/>
          <w:sz w:val="24"/>
          <w:szCs w:val="24"/>
        </w:rPr>
        <w:t>,</w:t>
      </w:r>
      <w:r w:rsidR="091B0DFC" w:rsidRPr="6FC3E2E7">
        <w:rPr>
          <w:rFonts w:ascii="Times New Roman" w:eastAsia="Times New Roman" w:hAnsi="Times New Roman" w:cs="Times New Roman"/>
          <w:sz w:val="24"/>
          <w:szCs w:val="24"/>
        </w:rPr>
        <w:t xml:space="preserve"> participant groups or selection criteria for participants; how relevant stakeholders</w:t>
      </w:r>
      <w:r w:rsidRPr="6FC3E2E7">
        <w:rPr>
          <w:rFonts w:ascii="Times New Roman" w:eastAsia="Times New Roman" w:hAnsi="Times New Roman" w:cs="Times New Roman"/>
          <w:sz w:val="24"/>
          <w:szCs w:val="24"/>
        </w:rPr>
        <w:t xml:space="preserve"> will be engages</w:t>
      </w:r>
      <w:r w:rsidR="091B0DFC" w:rsidRPr="6FC3E2E7">
        <w:rPr>
          <w:rFonts w:ascii="Times New Roman" w:eastAsia="Times New Roman" w:hAnsi="Times New Roman" w:cs="Times New Roman"/>
          <w:sz w:val="24"/>
          <w:szCs w:val="24"/>
        </w:rPr>
        <w:t>; and</w:t>
      </w:r>
      <w:r w:rsidR="2531647A" w:rsidRPr="6FC3E2E7">
        <w:rPr>
          <w:rFonts w:ascii="Times New Roman" w:eastAsia="Times New Roman" w:hAnsi="Times New Roman" w:cs="Times New Roman"/>
          <w:sz w:val="24"/>
          <w:szCs w:val="24"/>
        </w:rPr>
        <w:t xml:space="preserve"> actions taken by </w:t>
      </w:r>
      <w:r w:rsidR="091B0DFC" w:rsidRPr="6FC3E2E7">
        <w:rPr>
          <w:rFonts w:ascii="Times New Roman" w:eastAsia="Times New Roman" w:hAnsi="Times New Roman" w:cs="Times New Roman"/>
          <w:sz w:val="24"/>
          <w:szCs w:val="24"/>
        </w:rPr>
        <w:t>local partners as appropriate</w:t>
      </w:r>
      <w:r w:rsidR="2531647A" w:rsidRPr="6FC3E2E7">
        <w:rPr>
          <w:rFonts w:ascii="Times New Roman" w:eastAsia="Times New Roman" w:hAnsi="Times New Roman" w:cs="Times New Roman"/>
          <w:sz w:val="24"/>
          <w:szCs w:val="24"/>
        </w:rPr>
        <w:t>/relevant</w:t>
      </w:r>
      <w:r w:rsidR="091B0DFC" w:rsidRPr="6FC3E2E7">
        <w:rPr>
          <w:rFonts w:ascii="Times New Roman" w:eastAsia="Times New Roman" w:hAnsi="Times New Roman" w:cs="Times New Roman"/>
          <w:sz w:val="24"/>
          <w:szCs w:val="24"/>
        </w:rPr>
        <w:t xml:space="preserve">. </w:t>
      </w:r>
    </w:p>
    <w:p w14:paraId="7A01CBB8" w14:textId="72C1B329" w:rsidR="6FC3E2E7" w:rsidRDefault="6FC3E2E7" w:rsidP="6FC3E2E7">
      <w:pPr>
        <w:pStyle w:val="ListParagraph"/>
        <w:numPr>
          <w:ilvl w:val="0"/>
          <w:numId w:val="23"/>
        </w:numPr>
        <w:spacing w:after="0" w:line="240" w:lineRule="auto"/>
        <w:ind w:left="1440"/>
        <w:rPr>
          <w:sz w:val="24"/>
          <w:szCs w:val="24"/>
        </w:rPr>
      </w:pPr>
      <w:r w:rsidRPr="6FC3E2E7">
        <w:rPr>
          <w:rFonts w:ascii="Times New Roman" w:eastAsia="Times New Roman" w:hAnsi="Times New Roman" w:cs="Times New Roman"/>
          <w:b/>
          <w:bCs/>
          <w:color w:val="000000" w:themeColor="text1"/>
          <w:sz w:val="24"/>
          <w:szCs w:val="24"/>
        </w:rPr>
        <w:t>Monitoring and Evaluation:</w:t>
      </w:r>
      <w:r w:rsidRPr="6FC3E2E7">
        <w:rPr>
          <w:rFonts w:ascii="Times New Roman" w:eastAsia="Times New Roman" w:hAnsi="Times New Roman" w:cs="Times New Roman"/>
          <w:color w:val="000000" w:themeColor="text1"/>
          <w:sz w:val="24"/>
          <w:szCs w:val="24"/>
        </w:rPr>
        <w:t xml:space="preserve"> Provide milestones to measure progress towards the goals outlined in the proposals and describe how the applicant will measure program success against key indicators.  Show how and when these indicators will be measured and who will be responsible for them.</w:t>
      </w:r>
    </w:p>
    <w:p w14:paraId="558BFF37" w14:textId="77777777" w:rsidR="00176808" w:rsidRPr="00176808" w:rsidRDefault="00176808" w:rsidP="00176808">
      <w:pPr>
        <w:spacing w:after="0" w:line="240" w:lineRule="auto"/>
        <w:rPr>
          <w:rFonts w:ascii="Times New Roman" w:eastAsia="Times New Roman" w:hAnsi="Times New Roman" w:cs="Times New Roman"/>
          <w:sz w:val="24"/>
          <w:szCs w:val="24"/>
        </w:rPr>
      </w:pPr>
    </w:p>
    <w:p w14:paraId="5FBBEFDD" w14:textId="7CF9D17A" w:rsidR="006709B1" w:rsidRDefault="133732D3" w:rsidP="00031DB1">
      <w:pPr>
        <w:pStyle w:val="NoSpacing"/>
        <w:numPr>
          <w:ilvl w:val="0"/>
          <w:numId w:val="19"/>
        </w:numPr>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lastRenderedPageBreak/>
        <w:t>Budget</w:t>
      </w:r>
      <w:r w:rsidRPr="6FC3E2E7">
        <w:rPr>
          <w:rFonts w:ascii="Times New Roman" w:eastAsia="Times New Roman" w:hAnsi="Times New Roman" w:cs="Times New Roman"/>
          <w:sz w:val="24"/>
          <w:szCs w:val="24"/>
        </w:rPr>
        <w:t xml:space="preserve"> (preferably as an Excel workbook) that includes three </w:t>
      </w:r>
      <w:r w:rsidR="2EA668C1" w:rsidRPr="6FC3E2E7">
        <w:rPr>
          <w:rFonts w:ascii="Times New Roman" w:eastAsia="Times New Roman" w:hAnsi="Times New Roman" w:cs="Times New Roman"/>
          <w:sz w:val="24"/>
          <w:szCs w:val="24"/>
        </w:rPr>
        <w:t xml:space="preserve">(3) </w:t>
      </w:r>
      <w:r w:rsidRPr="6FC3E2E7">
        <w:rPr>
          <w:rFonts w:ascii="Times New Roman" w:eastAsia="Times New Roman" w:hAnsi="Times New Roman" w:cs="Times New Roman"/>
          <w:sz w:val="24"/>
          <w:szCs w:val="24"/>
        </w:rPr>
        <w:t xml:space="preserve">columns containing the request to OES any cost sharing contribution, and the total budget.  A summary budget should also be included using the OMB-approved budget categories (see SF-424A as a sample) in a separate tab.  Costs must be in U.S. </w:t>
      </w:r>
      <w:r w:rsidR="795144B9" w:rsidRPr="6FC3E2E7">
        <w:rPr>
          <w:rFonts w:ascii="Times New Roman" w:eastAsia="Times New Roman" w:hAnsi="Times New Roman" w:cs="Times New Roman"/>
          <w:sz w:val="24"/>
          <w:szCs w:val="24"/>
        </w:rPr>
        <w:t>D</w:t>
      </w:r>
      <w:r w:rsidRPr="6FC3E2E7">
        <w:rPr>
          <w:rFonts w:ascii="Times New Roman" w:eastAsia="Times New Roman" w:hAnsi="Times New Roman" w:cs="Times New Roman"/>
          <w:sz w:val="24"/>
          <w:szCs w:val="24"/>
        </w:rPr>
        <w:t>ollars.  Detailed line-item budgets for sub</w:t>
      </w:r>
      <w:r w:rsidR="795144B9"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498E26F0" w:rsidR="00384747" w:rsidRDefault="03BE2990" w:rsidP="00176808">
      <w:pPr>
        <w:pStyle w:val="NoSpacing"/>
        <w:ind w:left="720"/>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xml:space="preserve"> Please see </w:t>
      </w:r>
      <w:r w:rsidR="51F08E36" w:rsidRPr="6FC3E2E7">
        <w:rPr>
          <w:rFonts w:ascii="Times New Roman" w:eastAsia="Times New Roman" w:hAnsi="Times New Roman" w:cs="Times New Roman"/>
          <w:sz w:val="24"/>
          <w:szCs w:val="24"/>
        </w:rPr>
        <w:t xml:space="preserve">attached </w:t>
      </w:r>
      <w:r w:rsidRPr="6FC3E2E7">
        <w:rPr>
          <w:rFonts w:ascii="Times New Roman" w:eastAsia="Times New Roman" w:hAnsi="Times New Roman" w:cs="Times New Roman"/>
          <w:i/>
          <w:iCs/>
          <w:sz w:val="24"/>
          <w:szCs w:val="24"/>
        </w:rPr>
        <w:t xml:space="preserve">Budget Guidelines </w:t>
      </w:r>
      <w:r w:rsidR="51F08E36" w:rsidRPr="6FC3E2E7">
        <w:rPr>
          <w:rFonts w:ascii="Times New Roman" w:eastAsia="Times New Roman" w:hAnsi="Times New Roman" w:cs="Times New Roman"/>
          <w:i/>
          <w:iCs/>
          <w:sz w:val="24"/>
          <w:szCs w:val="24"/>
        </w:rPr>
        <w:t>for FADR (Dec 2021)</w:t>
      </w:r>
      <w:r w:rsidR="51F08E36"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for more information.</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DDC1AEC" w14:textId="78779A32" w:rsidR="0035360E" w:rsidRDefault="133732D3" w:rsidP="00031DB1">
      <w:pPr>
        <w:pStyle w:val="NoSpacing"/>
        <w:numPr>
          <w:ilvl w:val="0"/>
          <w:numId w:val="19"/>
        </w:numPr>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Budget Narrative</w:t>
      </w:r>
      <w:r w:rsidRPr="6FC3E2E7">
        <w:rPr>
          <w:rFonts w:ascii="Times New Roman" w:eastAsia="Times New Roman" w:hAnsi="Times New Roman" w:cs="Times New Roman"/>
          <w:sz w:val="24"/>
          <w:szCs w:val="24"/>
        </w:rPr>
        <w:t xml:space="preserve"> (preferably as a Word Document) </w:t>
      </w:r>
      <w:r w:rsidR="4091FFDA" w:rsidRPr="6FC3E2E7">
        <w:rPr>
          <w:rFonts w:ascii="Times New Roman" w:eastAsia="Times New Roman" w:hAnsi="Times New Roman" w:cs="Times New Roman"/>
          <w:sz w:val="24"/>
          <w:szCs w:val="24"/>
        </w:rPr>
        <w:t>Justify each line-item in the 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See Tab 1</w:t>
      </w:r>
      <w:r w:rsidR="6C361337" w:rsidRPr="6FC3E2E7">
        <w:rPr>
          <w:rFonts w:ascii="Times New Roman" w:eastAsia="Times New Roman" w:hAnsi="Times New Roman" w:cs="Times New Roman"/>
          <w:sz w:val="24"/>
          <w:szCs w:val="24"/>
        </w:rPr>
        <w:t xml:space="preserve"> </w:t>
      </w:r>
      <w:r w:rsidR="6C361337" w:rsidRPr="6FC3E2E7">
        <w:rPr>
          <w:rFonts w:ascii="Times New Roman" w:eastAsia="Times New Roman" w:hAnsi="Times New Roman" w:cs="Times New Roman"/>
          <w:i/>
          <w:iCs/>
          <w:sz w:val="24"/>
          <w:szCs w:val="24"/>
        </w:rPr>
        <w:t>Budget Guidelines for FADR (Dec 2021)</w:t>
      </w:r>
      <w:r w:rsidR="4091FFDA" w:rsidRPr="6FC3E2E7">
        <w:rPr>
          <w:rFonts w:ascii="Times New Roman" w:eastAsia="Times New Roman" w:hAnsi="Times New Roman" w:cs="Times New Roman"/>
          <w:sz w:val="24"/>
          <w:szCs w:val="24"/>
        </w:rPr>
        <w:t xml:space="preserve"> for more information.</w:t>
      </w:r>
    </w:p>
    <w:p w14:paraId="19ECE3F6" w14:textId="78AE3218" w:rsidR="00046B0B" w:rsidRPr="00843E29" w:rsidRDefault="00046B0B" w:rsidP="6FC3E2E7">
      <w:pPr>
        <w:pStyle w:val="NoSpacing"/>
      </w:pPr>
    </w:p>
    <w:p w14:paraId="76A772A9" w14:textId="08BB9E43" w:rsidR="00CF1A66" w:rsidRPr="00843E29" w:rsidRDefault="133732D3" w:rsidP="00031DB1">
      <w:pPr>
        <w:pStyle w:val="NoSpacing"/>
        <w:numPr>
          <w:ilvl w:val="0"/>
          <w:numId w:val="19"/>
        </w:numPr>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Key Personnel</w:t>
      </w:r>
      <w:r w:rsidRPr="6FC3E2E7">
        <w:rPr>
          <w:rFonts w:ascii="Times New Roman" w:eastAsia="Times New Roman" w:hAnsi="Times New Roman" w:cs="Times New Roman"/>
          <w:sz w:val="24"/>
          <w:szCs w:val="24"/>
        </w:rPr>
        <w:t xml:space="preserve"> (not to exceed two </w:t>
      </w:r>
      <w:r w:rsidR="16050397"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2</w:t>
      </w:r>
      <w:r w:rsidR="16050397"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page</w:t>
      </w:r>
      <w:r w:rsidR="7E9A0399" w:rsidRPr="6FC3E2E7">
        <w:rPr>
          <w:rFonts w:ascii="Times New Roman" w:eastAsia="Times New Roman" w:hAnsi="Times New Roman" w:cs="Times New Roman"/>
          <w:sz w:val="24"/>
          <w:szCs w:val="24"/>
        </w:rPr>
        <w:t>s</w:t>
      </w:r>
      <w:r w:rsidRPr="6FC3E2E7">
        <w:rPr>
          <w:rFonts w:ascii="Times New Roman" w:eastAsia="Times New Roman" w:hAnsi="Times New Roman" w:cs="Times New Roman"/>
          <w:sz w:val="24"/>
          <w:szCs w:val="24"/>
        </w:rPr>
        <w:t xml:space="preserve">, preferably as a Word Document).  </w:t>
      </w:r>
      <w:r w:rsidR="6C361337" w:rsidRPr="6FC3E2E7">
        <w:rPr>
          <w:rFonts w:ascii="Times New Roman" w:eastAsia="Times New Roman" w:hAnsi="Times New Roman" w:cs="Times New Roman"/>
          <w:sz w:val="24"/>
          <w:szCs w:val="24"/>
        </w:rPr>
        <w:t>I</w:t>
      </w:r>
      <w:r w:rsidRPr="6FC3E2E7">
        <w:rPr>
          <w:rFonts w:ascii="Times New Roman" w:eastAsia="Times New Roman" w:hAnsi="Times New Roman" w:cs="Times New Roman"/>
          <w:sz w:val="24"/>
          <w:szCs w:val="24"/>
        </w:rPr>
        <w:t xml:space="preserve">nclude short bios that highlight relevant professional experience.  </w:t>
      </w:r>
      <w:r w:rsidR="6C361337" w:rsidRPr="6FC3E2E7">
        <w:rPr>
          <w:rFonts w:ascii="Times New Roman" w:eastAsia="Times New Roman" w:hAnsi="Times New Roman" w:cs="Times New Roman"/>
          <w:sz w:val="24"/>
          <w:szCs w:val="24"/>
        </w:rPr>
        <w:t xml:space="preserve">Provides names, titles, </w:t>
      </w:r>
      <w:r w:rsidR="00D30EBD" w:rsidRPr="6FC3E2E7">
        <w:rPr>
          <w:rFonts w:ascii="Times New Roman" w:eastAsia="Times New Roman" w:hAnsi="Times New Roman" w:cs="Times New Roman"/>
          <w:sz w:val="24"/>
          <w:szCs w:val="24"/>
        </w:rPr>
        <w:t>roles,</w:t>
      </w:r>
      <w:r w:rsidR="6C361337" w:rsidRPr="6FC3E2E7">
        <w:rPr>
          <w:rFonts w:ascii="Times New Roman" w:eastAsia="Times New Roman" w:hAnsi="Times New Roman" w:cs="Times New Roman"/>
          <w:sz w:val="24"/>
          <w:szCs w:val="24"/>
        </w:rPr>
        <w:t xml:space="preserve"> and experience/qualifications of key personnel involved in the program.  </w:t>
      </w:r>
      <w:r w:rsidRPr="6FC3E2E7">
        <w:rPr>
          <w:rFonts w:ascii="Times New Roman" w:eastAsia="Times New Roman" w:hAnsi="Times New Roman" w:cs="Times New Roman"/>
          <w:sz w:val="24"/>
          <w:szCs w:val="24"/>
        </w:rPr>
        <w:t>Given the limited space, CVs are not recommended for submission.</w:t>
      </w:r>
      <w:r w:rsidR="00CF1A66">
        <w:br/>
      </w:r>
    </w:p>
    <w:p w14:paraId="5E99FD47" w14:textId="5E9AFFDF" w:rsidR="00CF1A66" w:rsidRPr="002C5E91" w:rsidRDefault="133732D3" w:rsidP="00031DB1">
      <w:pPr>
        <w:pStyle w:val="NoSpacing"/>
        <w:numPr>
          <w:ilvl w:val="0"/>
          <w:numId w:val="19"/>
        </w:numPr>
        <w:rPr>
          <w:rFonts w:ascii="Times New Roman" w:eastAsia="Times New Roman" w:hAnsi="Times New Roman" w:cs="Times New Roman"/>
          <w:color w:val="252525"/>
          <w:sz w:val="24"/>
          <w:szCs w:val="24"/>
        </w:rPr>
      </w:pPr>
      <w:r w:rsidRPr="6FC3E2E7">
        <w:rPr>
          <w:rFonts w:ascii="Times New Roman" w:eastAsia="Times New Roman" w:hAnsi="Times New Roman" w:cs="Times New Roman"/>
          <w:b/>
          <w:bCs/>
          <w:sz w:val="24"/>
          <w:szCs w:val="24"/>
        </w:rPr>
        <w:t>Timeline</w:t>
      </w:r>
      <w:r w:rsidRPr="6FC3E2E7">
        <w:rPr>
          <w:rFonts w:ascii="Times New Roman" w:eastAsia="Times New Roman" w:hAnsi="Times New Roman" w:cs="Times New Roman"/>
          <w:sz w:val="24"/>
          <w:szCs w:val="24"/>
        </w:rPr>
        <w:t xml:space="preserve"> (not to exceed one </w:t>
      </w:r>
      <w:r w:rsidR="16050397" w:rsidRPr="6FC3E2E7">
        <w:rPr>
          <w:rFonts w:ascii="Times New Roman" w:eastAsia="Times New Roman" w:hAnsi="Times New Roman" w:cs="Times New Roman"/>
          <w:sz w:val="24"/>
          <w:szCs w:val="24"/>
        </w:rPr>
        <w:t>(</w:t>
      </w:r>
      <w:r w:rsidRPr="6FC3E2E7">
        <w:rPr>
          <w:rFonts w:ascii="Times New Roman" w:eastAsia="Times New Roman" w:hAnsi="Times New Roman" w:cs="Times New Roman"/>
          <w:sz w:val="24"/>
          <w:szCs w:val="24"/>
        </w:rPr>
        <w:t>1</w:t>
      </w:r>
      <w:r w:rsidR="16050397"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page, preferably as a Word</w:t>
      </w:r>
      <w:r w:rsidR="7E9A0399" w:rsidRPr="6FC3E2E7">
        <w:rPr>
          <w:rFonts w:ascii="Times New Roman" w:eastAsia="Times New Roman" w:hAnsi="Times New Roman" w:cs="Times New Roman"/>
          <w:sz w:val="24"/>
          <w:szCs w:val="24"/>
        </w:rPr>
        <w:t xml:space="preserve"> Document</w:t>
      </w:r>
      <w:r w:rsidRPr="6FC3E2E7">
        <w:rPr>
          <w:rFonts w:ascii="Times New Roman" w:eastAsia="Times New Roman" w:hAnsi="Times New Roman" w:cs="Times New Roman"/>
          <w:sz w:val="24"/>
          <w:szCs w:val="24"/>
        </w:rPr>
        <w:t xml:space="preserve"> or Excel </w:t>
      </w:r>
      <w:r w:rsidR="7E9A0399" w:rsidRPr="6FC3E2E7">
        <w:rPr>
          <w:rFonts w:ascii="Times New Roman" w:eastAsia="Times New Roman" w:hAnsi="Times New Roman" w:cs="Times New Roman"/>
          <w:sz w:val="24"/>
          <w:szCs w:val="24"/>
        </w:rPr>
        <w:t>Sheet</w:t>
      </w:r>
      <w:r w:rsidRPr="6FC3E2E7">
        <w:rPr>
          <w:rFonts w:ascii="Times New Roman" w:eastAsia="Times New Roman" w:hAnsi="Times New Roman" w:cs="Times New Roman"/>
          <w:sz w:val="24"/>
          <w:szCs w:val="24"/>
        </w:rPr>
        <w:t>).  The timeline of the overall proposal should include activities, evaluation efforts, and program closeout.</w:t>
      </w:r>
    </w:p>
    <w:p w14:paraId="1A2D7E9E" w14:textId="296A2C18" w:rsidR="00CF1A66" w:rsidRPr="002C5E91" w:rsidRDefault="00CF1A66" w:rsidP="6FC3E2E7">
      <w:pPr>
        <w:pStyle w:val="NoSpacing"/>
        <w:rPr>
          <w:rFonts w:ascii="Times New Roman" w:eastAsia="Times New Roman" w:hAnsi="Times New Roman" w:cs="Times New Roman"/>
          <w:sz w:val="24"/>
          <w:szCs w:val="24"/>
        </w:rPr>
      </w:pPr>
    </w:p>
    <w:p w14:paraId="79D5B13C" w14:textId="77777777" w:rsidR="00DD59B5" w:rsidRPr="00DD59B5" w:rsidRDefault="6FC3E2E7" w:rsidP="6FC3E2E7">
      <w:pPr>
        <w:pStyle w:val="NoSpacing"/>
        <w:numPr>
          <w:ilvl w:val="0"/>
          <w:numId w:val="19"/>
        </w:numPr>
        <w:rPr>
          <w:color w:val="252525"/>
          <w:sz w:val="24"/>
          <w:szCs w:val="24"/>
        </w:rPr>
      </w:pPr>
      <w:r w:rsidRPr="6FC3E2E7">
        <w:rPr>
          <w:rFonts w:ascii="Times New Roman" w:eastAsia="Times New Roman" w:hAnsi="Times New Roman" w:cs="Times New Roman"/>
          <w:b/>
          <w:bCs/>
          <w:color w:val="000000" w:themeColor="text1"/>
          <w:sz w:val="24"/>
          <w:szCs w:val="24"/>
        </w:rPr>
        <w:t>Letter of Institutional Support</w:t>
      </w:r>
      <w:r w:rsidRPr="6FC3E2E7">
        <w:rPr>
          <w:rFonts w:ascii="Times New Roman" w:eastAsia="Times New Roman" w:hAnsi="Times New Roman" w:cs="Times New Roman"/>
          <w:color w:val="000000" w:themeColor="text1"/>
          <w:sz w:val="24"/>
          <w:szCs w:val="24"/>
        </w:rPr>
        <w:t xml:space="preserve"> (Refer to Annex I for a sample letter)</w:t>
      </w:r>
    </w:p>
    <w:p w14:paraId="15FD4CCD" w14:textId="77777777" w:rsidR="00DD59B5" w:rsidRDefault="00DD59B5" w:rsidP="00DD59B5">
      <w:pPr>
        <w:pStyle w:val="ListParagraph"/>
      </w:pPr>
    </w:p>
    <w:p w14:paraId="10E6A540" w14:textId="2FDB1B93" w:rsidR="00CF1A66" w:rsidRPr="00DD59B5" w:rsidRDefault="00DD59B5" w:rsidP="6FC3E2E7">
      <w:pPr>
        <w:pStyle w:val="NoSpacing"/>
        <w:numPr>
          <w:ilvl w:val="0"/>
          <w:numId w:val="19"/>
        </w:numPr>
        <w:rPr>
          <w:rFonts w:ascii="Times New Roman" w:hAnsi="Times New Roman" w:cs="Times New Roman"/>
          <w:b/>
          <w:bCs/>
          <w:color w:val="252525"/>
          <w:sz w:val="24"/>
          <w:szCs w:val="24"/>
        </w:rPr>
      </w:pPr>
      <w:r w:rsidRPr="00DD59B5">
        <w:rPr>
          <w:rFonts w:ascii="Times New Roman" w:hAnsi="Times New Roman" w:cs="Times New Roman"/>
          <w:b/>
          <w:bCs/>
          <w:sz w:val="24"/>
          <w:szCs w:val="24"/>
        </w:rPr>
        <w:t>Performance Monitoring Plan (PMP)</w:t>
      </w:r>
      <w:r>
        <w:rPr>
          <w:rFonts w:ascii="Times New Roman" w:hAnsi="Times New Roman" w:cs="Times New Roman"/>
          <w:b/>
          <w:bCs/>
        </w:rPr>
        <w:t xml:space="preserve"> document</w:t>
      </w:r>
      <w:r>
        <w:rPr>
          <w:rFonts w:ascii="Times New Roman" w:hAnsi="Times New Roman" w:cs="Times New Roman"/>
        </w:rPr>
        <w:t>- a document responsive to the Performance Monitoring Plan chart noted above.</w:t>
      </w:r>
      <w:r w:rsidR="00CF1A66" w:rsidRPr="00DD59B5">
        <w:rPr>
          <w:rFonts w:ascii="Times New Roman" w:hAnsi="Times New Roman" w:cs="Times New Roman"/>
          <w:b/>
          <w:bCs/>
        </w:rPr>
        <w:br/>
      </w:r>
    </w:p>
    <w:p w14:paraId="5CC3FD22" w14:textId="4163795F" w:rsidR="006448FC" w:rsidRPr="003A3E08" w:rsidRDefault="006448FC" w:rsidP="005F3963">
      <w:pPr>
        <w:pStyle w:val="NoSpacing"/>
        <w:ind w:left="720"/>
        <w:rPr>
          <w:rFonts w:ascii="Times New Roman" w:eastAsia="Times New Roman" w:hAnsi="Times New Roman" w:cs="Times New Roman"/>
          <w:b/>
          <w:sz w:val="24"/>
          <w:szCs w:val="24"/>
          <w:highlight w:val="yellow"/>
        </w:rPr>
      </w:pPr>
    </w:p>
    <w:p w14:paraId="65D2DAE4" w14:textId="5542924C" w:rsidR="00C91895" w:rsidRPr="005E4F7C" w:rsidRDefault="00C91895" w:rsidP="005E4F7C">
      <w:pPr>
        <w:spacing w:after="0" w:line="240" w:lineRule="auto"/>
        <w:rPr>
          <w:rFonts w:ascii="Times New Roman" w:eastAsia="Times New Roman" w:hAnsi="Times New Roman" w:cs="Times New Roman"/>
          <w:b/>
          <w:sz w:val="24"/>
          <w:szCs w:val="24"/>
        </w:rPr>
      </w:pPr>
      <w:r w:rsidRPr="005E4F7C">
        <w:rPr>
          <w:rFonts w:ascii="Times New Roman" w:eastAsia="Times New Roman" w:hAnsi="Times New Roman" w:cs="Times New Roman"/>
          <w:b/>
          <w:sz w:val="24"/>
          <w:szCs w:val="24"/>
        </w:rPr>
        <w:t xml:space="preserve">Applications that do not include the elements listed above will be deemed technically ineligible.  </w:t>
      </w:r>
      <w:r w:rsidR="005E4F7C" w:rsidRPr="005E4F7C">
        <w:rPr>
          <w:rFonts w:ascii="Times New Roman" w:eastAsia="Times New Roman" w:hAnsi="Times New Roman" w:cs="Times New Roman"/>
          <w:b/>
          <w:sz w:val="24"/>
          <w:szCs w:val="24"/>
        </w:rPr>
        <w:t>To ensure that all applications receive a balanced evaluation, the review panel will review from the first page of each section up to the page limit and no further.</w:t>
      </w:r>
    </w:p>
    <w:p w14:paraId="64930827" w14:textId="77777777" w:rsidR="005E4F7C" w:rsidRDefault="005E4F7C">
      <w:pPr>
        <w:spacing w:after="0" w:line="240" w:lineRule="auto"/>
        <w:rPr>
          <w:rFonts w:ascii="Times New Roman" w:eastAsia="Times New Roman" w:hAnsi="Times New Roman" w:cs="Times New Roman"/>
          <w:b/>
          <w:i/>
          <w:sz w:val="24"/>
          <w:szCs w:val="24"/>
        </w:rPr>
      </w:pPr>
    </w:p>
    <w:p w14:paraId="2AA49012" w14:textId="2B8AF298"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w:t>
      </w:r>
      <w:r w:rsidR="005E4F7C">
        <w:rPr>
          <w:rFonts w:ascii="Times New Roman" w:eastAsia="Times New Roman" w:hAnsi="Times New Roman" w:cs="Times New Roman"/>
          <w:b/>
          <w:i/>
          <w:sz w:val="24"/>
          <w:szCs w:val="24"/>
        </w:rPr>
        <w:t>2</w:t>
      </w:r>
      <w:r w:rsidRPr="008337E3">
        <w:rPr>
          <w:rFonts w:ascii="Times New Roman" w:eastAsia="Times New Roman" w:hAnsi="Times New Roman" w:cs="Times New Roman"/>
          <w:b/>
          <w:i/>
          <w:sz w:val="24"/>
          <w:szCs w:val="24"/>
        </w:rPr>
        <w:t xml:space="preserve">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192C5842" w:rsidR="008C33C8" w:rsidRDefault="008C33C8" w:rsidP="00031DB1">
      <w:pPr>
        <w:numPr>
          <w:ilvl w:val="0"/>
          <w:numId w:val="1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review panel;</w:t>
      </w:r>
    </w:p>
    <w:p w14:paraId="102C72B8" w14:textId="6BB45EB6" w:rsidR="5CB44F65" w:rsidRDefault="5CB44F65" w:rsidP="6FC3E2E7">
      <w:pPr>
        <w:numPr>
          <w:ilvl w:val="0"/>
          <w:numId w:val="15"/>
        </w:numPr>
        <w:spacing w:after="0" w:line="240" w:lineRule="auto"/>
        <w:ind w:hanging="360"/>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sz w:val="24"/>
          <w:szCs w:val="24"/>
        </w:rPr>
        <w:lastRenderedPageBreak/>
        <w:t>A copy of the applicant’s latest NICRA as a PDF file, if the applicant has a NICRA and includes NICRA charges in the budget;</w:t>
      </w:r>
    </w:p>
    <w:p w14:paraId="376D3C39" w14:textId="07C5F04C" w:rsidR="008C33C8" w:rsidRDefault="008C33C8" w:rsidP="00031DB1">
      <w:pPr>
        <w:numPr>
          <w:ilvl w:val="0"/>
          <w:numId w:val="1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completed copy of the Department’s Financial Management Survey, if receiving </w:t>
      </w:r>
      <w:r w:rsidR="005E4F7C">
        <w:rPr>
          <w:rFonts w:ascii="Times New Roman" w:eastAsia="Times New Roman" w:hAnsi="Times New Roman" w:cs="Times New Roman"/>
          <w:sz w:val="24"/>
          <w:szCs w:val="24"/>
        </w:rPr>
        <w:t>USG</w:t>
      </w:r>
      <w:r>
        <w:rPr>
          <w:rFonts w:ascii="Times New Roman" w:eastAsia="Times New Roman" w:hAnsi="Times New Roman" w:cs="Times New Roman"/>
          <w:sz w:val="24"/>
          <w:szCs w:val="24"/>
        </w:rPr>
        <w:t xml:space="preserve"> funding for the first time;</w:t>
      </w:r>
    </w:p>
    <w:p w14:paraId="74AC2F32" w14:textId="7AE58B9B" w:rsidR="008C33C8" w:rsidRDefault="5CB44F65" w:rsidP="00031DB1">
      <w:pPr>
        <w:numPr>
          <w:ilvl w:val="0"/>
          <w:numId w:val="15"/>
        </w:numPr>
        <w:spacing w:after="0" w:line="240" w:lineRule="auto"/>
        <w:ind w:hanging="360"/>
        <w:contextualSpacing/>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Submission of required documents to register in the Payment Management System managed by the Department of Health and Human Services, if receiving OES funding for the first time (unless an exemption is provided);</w:t>
      </w:r>
    </w:p>
    <w:p w14:paraId="0C9B7EDD" w14:textId="77777777" w:rsidR="008C33C8" w:rsidRDefault="008C33C8" w:rsidP="00031DB1">
      <w:pPr>
        <w:numPr>
          <w:ilvl w:val="0"/>
          <w:numId w:val="1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rsidP="00031DB1">
      <w:pPr>
        <w:numPr>
          <w:ilvl w:val="0"/>
          <w:numId w:val="1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388E7F71">
      <w:pPr>
        <w:spacing w:after="0" w:line="240" w:lineRule="auto"/>
      </w:pPr>
      <w:r w:rsidRPr="6FC3E2E7">
        <w:rPr>
          <w:rFonts w:ascii="Times New Roman" w:eastAsia="Times New Roman" w:hAnsi="Times New Roman" w:cs="Times New Roman"/>
          <w:b/>
          <w:bCs/>
          <w:i/>
          <w:iCs/>
          <w:sz w:val="24"/>
          <w:szCs w:val="24"/>
        </w:rPr>
        <w:t>D.3 Unique Entity Identifier and System for Award Management (SAM)</w:t>
      </w:r>
    </w:p>
    <w:p w14:paraId="3FBA7728" w14:textId="3443A9D9"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All prime organizations, whether based in the United States or in another country, must have a Unique Entity Identifier (UEI), formerly referred to as DUNS, and an active registration with the SAM.gov </w:t>
      </w:r>
      <w:r w:rsidRPr="6FC3E2E7">
        <w:rPr>
          <w:rFonts w:ascii="Times New Roman" w:eastAsia="Times New Roman" w:hAnsi="Times New Roman" w:cs="Times New Roman"/>
          <w:b/>
          <w:bCs/>
          <w:color w:val="000000" w:themeColor="text1"/>
          <w:sz w:val="24"/>
          <w:szCs w:val="24"/>
        </w:rPr>
        <w:t>before submitting an application</w:t>
      </w:r>
      <w:r w:rsidRPr="6FC3E2E7">
        <w:rPr>
          <w:rFonts w:ascii="Times New Roman" w:eastAsia="Times New Roman" w:hAnsi="Times New Roman" w:cs="Times New Roman"/>
          <w:color w:val="000000" w:themeColor="text1"/>
          <w:sz w:val="24"/>
          <w:szCs w:val="24"/>
        </w:rPr>
        <w:t xml:space="preserve">.  OES may </w:t>
      </w:r>
      <w:r w:rsidRPr="6FC3E2E7">
        <w:rPr>
          <w:rFonts w:ascii="Times New Roman" w:eastAsia="Times New Roman" w:hAnsi="Times New Roman" w:cs="Times New Roman"/>
          <w:b/>
          <w:bCs/>
          <w:color w:val="000000" w:themeColor="text1"/>
          <w:sz w:val="24"/>
          <w:szCs w:val="24"/>
          <w:u w:val="single"/>
        </w:rPr>
        <w:t>not</w:t>
      </w:r>
      <w:r w:rsidRPr="6FC3E2E7">
        <w:rPr>
          <w:rFonts w:ascii="Times New Roman" w:eastAsia="Times New Roman" w:hAnsi="Times New Roman" w:cs="Times New Roman"/>
          <w:color w:val="000000" w:themeColor="text1"/>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22465C85" w14:textId="6355191C"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The 2 CFR 200 requires that sub-grantees obtain a UEI number.  Please note the UEI for sub-grantees is not required at the time of application but will be required before the award is processed and/or directed to a sub-grantee.</w:t>
      </w:r>
      <w:r w:rsidRPr="6FC3E2E7">
        <w:rPr>
          <w:rFonts w:ascii="Times New Roman" w:eastAsia="Times New Roman" w:hAnsi="Times New Roman" w:cs="Times New Roman"/>
          <w:b/>
          <w:bCs/>
          <w:i/>
          <w:iCs/>
          <w:color w:val="000000" w:themeColor="text1"/>
          <w:sz w:val="24"/>
          <w:szCs w:val="24"/>
        </w:rPr>
        <w:t xml:space="preserve"> </w:t>
      </w:r>
    </w:p>
    <w:p w14:paraId="4573D36B" w14:textId="1B1D4C38"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i/>
          <w:iCs/>
          <w:color w:val="000000" w:themeColor="text1"/>
          <w:sz w:val="24"/>
          <w:szCs w:val="24"/>
        </w:rPr>
        <w:t xml:space="preserve">Note:  The process of obtaining a SAM.gov registration may take anywhere from 4-8 weeks.  </w:t>
      </w:r>
      <w:r w:rsidRPr="6FC3E2E7">
        <w:rPr>
          <w:rFonts w:ascii="Times New Roman" w:eastAsia="Times New Roman" w:hAnsi="Times New Roman" w:cs="Times New Roman"/>
          <w:b/>
          <w:bCs/>
          <w:i/>
          <w:iCs/>
          <w:color w:val="000000" w:themeColor="text1"/>
          <w:sz w:val="24"/>
          <w:szCs w:val="24"/>
          <w:u w:val="single"/>
        </w:rPr>
        <w:t>Please begin your registration as early as possible</w:t>
      </w:r>
      <w:r w:rsidRPr="6FC3E2E7">
        <w:rPr>
          <w:rFonts w:ascii="Times New Roman" w:eastAsia="Times New Roman" w:hAnsi="Times New Roman" w:cs="Times New Roman"/>
          <w:b/>
          <w:bCs/>
          <w:i/>
          <w:iCs/>
          <w:color w:val="000000" w:themeColor="text1"/>
          <w:sz w:val="24"/>
          <w:szCs w:val="24"/>
        </w:rPr>
        <w:t>.</w:t>
      </w:r>
    </w:p>
    <w:p w14:paraId="6CCB9F1F" w14:textId="09001A54"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Other Eligibility Requirements:</w:t>
      </w:r>
    </w:p>
    <w:p w14:paraId="29CF3E25" w14:textId="5A858BB0" w:rsidR="00290D8C" w:rsidRPr="00B54475" w:rsidRDefault="6FC3E2E7" w:rsidP="6FC3E2E7">
      <w:pPr>
        <w:pStyle w:val="ListParagraph"/>
        <w:numPr>
          <w:ilvl w:val="0"/>
          <w:numId w:val="7"/>
        </w:numPr>
        <w:spacing w:line="240" w:lineRule="auto"/>
        <w:rPr>
          <w:rFonts w:ascii="Times New Roman" w:eastAsia="Times New Roman" w:hAnsi="Times New Roman" w:cs="Times New Roman"/>
          <w:b/>
          <w:bCs/>
          <w:color w:val="000000" w:themeColor="text1"/>
          <w:sz w:val="24"/>
          <w:szCs w:val="24"/>
        </w:rPr>
      </w:pPr>
      <w:r w:rsidRPr="6FC3E2E7">
        <w:rPr>
          <w:rFonts w:ascii="Times New Roman" w:eastAsia="Times New Roman" w:hAnsi="Times New Roman" w:cs="Times New Roman"/>
          <w:b/>
          <w:bCs/>
          <w:color w:val="000000" w:themeColor="text1"/>
          <w:sz w:val="24"/>
          <w:szCs w:val="24"/>
        </w:rPr>
        <w:t xml:space="preserve">An active/valid registration on </w:t>
      </w:r>
      <w:hyperlink r:id="rId16">
        <w:r w:rsidRPr="6FC3E2E7">
          <w:rPr>
            <w:rStyle w:val="Hyperlink"/>
            <w:rFonts w:ascii="Times New Roman" w:eastAsia="Times New Roman" w:hAnsi="Times New Roman" w:cs="Times New Roman"/>
            <w:b/>
            <w:bCs/>
            <w:sz w:val="24"/>
            <w:szCs w:val="24"/>
          </w:rPr>
          <w:t>www.SAM.gov/SAM/</w:t>
        </w:r>
      </w:hyperlink>
      <w:r w:rsidRPr="6FC3E2E7">
        <w:rPr>
          <w:rFonts w:ascii="Times New Roman" w:eastAsia="Times New Roman" w:hAnsi="Times New Roman" w:cs="Times New Roman"/>
          <w:color w:val="000000" w:themeColor="text1"/>
          <w:sz w:val="24"/>
          <w:szCs w:val="24"/>
        </w:rPr>
        <w:t xml:space="preserve"> (must be active prior to applying for federal funding)</w:t>
      </w:r>
    </w:p>
    <w:p w14:paraId="302204C8" w14:textId="5D355DC3" w:rsidR="00290D8C" w:rsidRPr="00B54475" w:rsidRDefault="6FC3E2E7" w:rsidP="6FC3E2E7">
      <w:pPr>
        <w:pStyle w:val="ListParagraph"/>
        <w:numPr>
          <w:ilvl w:val="0"/>
          <w:numId w:val="7"/>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A </w:t>
      </w:r>
      <w:r w:rsidRPr="6FC3E2E7">
        <w:rPr>
          <w:rFonts w:ascii="Times New Roman" w:eastAsia="Times New Roman" w:hAnsi="Times New Roman" w:cs="Times New Roman"/>
          <w:b/>
          <w:bCs/>
          <w:color w:val="000000" w:themeColor="text1"/>
          <w:sz w:val="24"/>
          <w:szCs w:val="24"/>
        </w:rPr>
        <w:t>Unique Entity Identifier (UEI) and CAGE Code</w:t>
      </w:r>
      <w:r w:rsidRPr="6FC3E2E7">
        <w:rPr>
          <w:rFonts w:ascii="Times New Roman" w:eastAsia="Times New Roman" w:hAnsi="Times New Roman" w:cs="Times New Roman"/>
          <w:color w:val="000000" w:themeColor="text1"/>
          <w:sz w:val="24"/>
          <w:szCs w:val="24"/>
        </w:rPr>
        <w:t>, established during SAM.gov registration.</w:t>
      </w:r>
    </w:p>
    <w:p w14:paraId="3A9939D9" w14:textId="613AAA6F" w:rsidR="00290D8C" w:rsidRPr="00B54475" w:rsidRDefault="6FC3E2E7" w:rsidP="6FC3E2E7">
      <w:pPr>
        <w:pStyle w:val="ListParagraph"/>
        <w:numPr>
          <w:ilvl w:val="0"/>
          <w:numId w:val="7"/>
        </w:numPr>
        <w:spacing w:line="240" w:lineRule="auto"/>
        <w:rPr>
          <w:rFonts w:ascii="Times New Roman" w:eastAsia="Times New Roman" w:hAnsi="Times New Roman" w:cs="Times New Roman"/>
          <w:b/>
          <w:bCs/>
          <w:color w:val="000000" w:themeColor="text1"/>
          <w:sz w:val="24"/>
          <w:szCs w:val="24"/>
        </w:rPr>
      </w:pPr>
      <w:r w:rsidRPr="6FC3E2E7">
        <w:rPr>
          <w:rFonts w:ascii="Times New Roman" w:eastAsia="Times New Roman" w:hAnsi="Times New Roman" w:cs="Times New Roman"/>
          <w:b/>
          <w:bCs/>
          <w:color w:val="000000" w:themeColor="text1"/>
          <w:sz w:val="24"/>
          <w:szCs w:val="24"/>
        </w:rPr>
        <w:t xml:space="preserve">Entity must not be on the Excluded Parties List (EPL) </w:t>
      </w:r>
    </w:p>
    <w:p w14:paraId="33DD921C" w14:textId="6C3284F0" w:rsidR="00290D8C" w:rsidRPr="00B54475" w:rsidRDefault="6FC3E2E7" w:rsidP="6FC3E2E7">
      <w:pPr>
        <w:pStyle w:val="ListParagraph"/>
        <w:numPr>
          <w:ilvl w:val="0"/>
          <w:numId w:val="7"/>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Registration in the </w:t>
      </w:r>
      <w:r w:rsidRPr="6FC3E2E7">
        <w:rPr>
          <w:rFonts w:ascii="Times New Roman" w:eastAsia="Times New Roman" w:hAnsi="Times New Roman" w:cs="Times New Roman"/>
          <w:b/>
          <w:bCs/>
          <w:color w:val="000000" w:themeColor="text1"/>
          <w:sz w:val="24"/>
          <w:szCs w:val="24"/>
        </w:rPr>
        <w:t>Payment Management System</w:t>
      </w:r>
    </w:p>
    <w:p w14:paraId="4C45D2BF" w14:textId="53159382" w:rsidR="00290D8C" w:rsidRPr="00B54475" w:rsidRDefault="6FC3E2E7" w:rsidP="6FC3E2E7">
      <w:pPr>
        <w:pStyle w:val="ListParagraph"/>
        <w:numPr>
          <w:ilvl w:val="0"/>
          <w:numId w:val="7"/>
        </w:numPr>
        <w:spacing w:line="240" w:lineRule="auto"/>
        <w:rPr>
          <w:rFonts w:ascii="Times New Roman" w:eastAsia="Times New Roman" w:hAnsi="Times New Roman" w:cs="Times New Roman"/>
          <w:b/>
          <w:bCs/>
          <w:color w:val="000000" w:themeColor="text1"/>
          <w:sz w:val="24"/>
          <w:szCs w:val="24"/>
        </w:rPr>
      </w:pPr>
      <w:r w:rsidRPr="6FC3E2E7">
        <w:rPr>
          <w:rFonts w:ascii="Times New Roman" w:eastAsia="Times New Roman" w:hAnsi="Times New Roman" w:cs="Times New Roman"/>
          <w:b/>
          <w:bCs/>
          <w:color w:val="000000" w:themeColor="text1"/>
          <w:sz w:val="24"/>
          <w:szCs w:val="24"/>
        </w:rPr>
        <w:t>NCAGE Code</w:t>
      </w:r>
      <w:r w:rsidRPr="6FC3E2E7">
        <w:rPr>
          <w:rFonts w:ascii="Times New Roman" w:eastAsia="Times New Roman" w:hAnsi="Times New Roman" w:cs="Times New Roman"/>
          <w:color w:val="000000" w:themeColor="text1"/>
          <w:sz w:val="24"/>
          <w:szCs w:val="24"/>
        </w:rPr>
        <w:t xml:space="preserve"> for foreign organizations</w:t>
      </w:r>
    </w:p>
    <w:p w14:paraId="537222B7" w14:textId="4456880B" w:rsidR="00290D8C" w:rsidRPr="00B54475" w:rsidRDefault="6FC3E2E7" w:rsidP="6FC3E2E7">
      <w:pPr>
        <w:pStyle w:val="ListParagraph"/>
        <w:numPr>
          <w:ilvl w:val="0"/>
          <w:numId w:val="7"/>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A Data Universal Numbering System (DUNS) Number (if applying for a SAM.gov account prior to April 4, 2022)</w:t>
      </w:r>
    </w:p>
    <w:p w14:paraId="783879F7" w14:textId="619A7E7C" w:rsidR="00290D8C" w:rsidRPr="00B54475" w:rsidRDefault="6FC3E2E7" w:rsidP="6FC3E2E7">
      <w:pPr>
        <w:pStyle w:val="ListParagraph"/>
        <w:numPr>
          <w:ilvl w:val="0"/>
          <w:numId w:val="7"/>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Any sub-awardees must also have a unique entity identifier </w:t>
      </w:r>
    </w:p>
    <w:p w14:paraId="0EEBEFFC" w14:textId="383B3058"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For Organizations Registering for a SAM.gov Account Prior to April 4, 2022:</w:t>
      </w:r>
    </w:p>
    <w:p w14:paraId="15EF64FE" w14:textId="7F84783F"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Step 1:</w:t>
      </w:r>
      <w:r w:rsidRPr="6FC3E2E7">
        <w:rPr>
          <w:rFonts w:ascii="Times New Roman" w:eastAsia="Times New Roman" w:hAnsi="Times New Roman" w:cs="Times New Roman"/>
          <w:color w:val="000000" w:themeColor="text1"/>
          <w:sz w:val="24"/>
          <w:szCs w:val="24"/>
        </w:rPr>
        <w:t xml:space="preserve"> Apply for a DUNS number (see instructions under DUNS Registration below). </w:t>
      </w:r>
    </w:p>
    <w:p w14:paraId="012E00CB" w14:textId="747789BF"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 xml:space="preserve">Step 2: </w:t>
      </w:r>
      <w:r w:rsidRPr="6FC3E2E7">
        <w:rPr>
          <w:rFonts w:ascii="Times New Roman" w:eastAsia="Times New Roman" w:hAnsi="Times New Roman" w:cs="Times New Roman"/>
          <w:color w:val="000000" w:themeColor="text1"/>
          <w:sz w:val="24"/>
          <w:szCs w:val="24"/>
        </w:rPr>
        <w:t xml:space="preserve">If you are an international organization, register for an NCAGE number (this can be done while applying for a DUNS number- see instructions NCAGE Registration below). </w:t>
      </w:r>
    </w:p>
    <w:p w14:paraId="2D50705B" w14:textId="5009EC2F"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lastRenderedPageBreak/>
        <w:t>Step 3:</w:t>
      </w:r>
      <w:r w:rsidRPr="6FC3E2E7">
        <w:rPr>
          <w:rFonts w:ascii="Times New Roman" w:eastAsia="Times New Roman" w:hAnsi="Times New Roman" w:cs="Times New Roman"/>
          <w:color w:val="000000" w:themeColor="text1"/>
          <w:sz w:val="24"/>
          <w:szCs w:val="24"/>
        </w:rPr>
        <w:t xml:space="preserve"> Register in SAM.gov by logging onto: </w:t>
      </w:r>
      <w:hyperlink r:id="rId17">
        <w:r w:rsidRPr="6FC3E2E7">
          <w:rPr>
            <w:rStyle w:val="Hyperlink"/>
            <w:rFonts w:ascii="Times New Roman" w:eastAsia="Times New Roman" w:hAnsi="Times New Roman" w:cs="Times New Roman"/>
            <w:sz w:val="24"/>
            <w:szCs w:val="24"/>
          </w:rPr>
          <w:t>https://www.sam.gov</w:t>
        </w:r>
      </w:hyperlink>
      <w:r w:rsidRPr="6FC3E2E7">
        <w:rPr>
          <w:rFonts w:ascii="Times New Roman" w:eastAsia="Times New Roman" w:hAnsi="Times New Roman" w:cs="Times New Roman"/>
          <w:color w:val="000000" w:themeColor="text1"/>
          <w:sz w:val="24"/>
          <w:szCs w:val="24"/>
        </w:rPr>
        <w:t xml:space="preserve">.  SAM registration must be renewed annually. This registration process will result in the issuance of a UEI and CAGE code. Carefully read all instructions in the SAM.gov Registration section below. </w:t>
      </w:r>
    </w:p>
    <w:p w14:paraId="401AE9EA" w14:textId="44008B05"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For Organizations Registering for a SAM.gov Account After April 4, 2022:</w:t>
      </w:r>
    </w:p>
    <w:p w14:paraId="5423193F" w14:textId="164E0AF0"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 xml:space="preserve">Step 1: </w:t>
      </w:r>
      <w:r w:rsidRPr="6FC3E2E7">
        <w:rPr>
          <w:rFonts w:ascii="Times New Roman" w:eastAsia="Times New Roman" w:hAnsi="Times New Roman" w:cs="Times New Roman"/>
          <w:color w:val="000000" w:themeColor="text1"/>
          <w:sz w:val="24"/>
          <w:szCs w:val="24"/>
        </w:rPr>
        <w:t xml:space="preserve">If you are an international organization, register for an NCAGE number (see instructions NCAGE Registration below). </w:t>
      </w:r>
    </w:p>
    <w:p w14:paraId="7C33C368" w14:textId="27630A5A"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Step 2:</w:t>
      </w:r>
      <w:r w:rsidRPr="6FC3E2E7">
        <w:rPr>
          <w:rFonts w:ascii="Times New Roman" w:eastAsia="Times New Roman" w:hAnsi="Times New Roman" w:cs="Times New Roman"/>
          <w:color w:val="000000" w:themeColor="text1"/>
          <w:sz w:val="24"/>
          <w:szCs w:val="24"/>
        </w:rPr>
        <w:t xml:space="preserve"> Register in SAM.gov by logging onto: </w:t>
      </w:r>
      <w:hyperlink r:id="rId18">
        <w:r w:rsidRPr="6FC3E2E7">
          <w:rPr>
            <w:rStyle w:val="Hyperlink"/>
            <w:rFonts w:ascii="Times New Roman" w:eastAsia="Times New Roman" w:hAnsi="Times New Roman" w:cs="Times New Roman"/>
            <w:sz w:val="24"/>
            <w:szCs w:val="24"/>
          </w:rPr>
          <w:t>https://www.sam.gov</w:t>
        </w:r>
      </w:hyperlink>
      <w:r w:rsidRPr="6FC3E2E7">
        <w:rPr>
          <w:rFonts w:ascii="Times New Roman" w:eastAsia="Times New Roman" w:hAnsi="Times New Roman" w:cs="Times New Roman"/>
          <w:color w:val="000000" w:themeColor="text1"/>
          <w:sz w:val="24"/>
          <w:szCs w:val="24"/>
        </w:rPr>
        <w:t xml:space="preserve">.  SAM registration must be renewed annually.  This registration process will result in the issuance of a UEI and CAGE code. Carefully read all instructions in the SAM.gov Registration section below. </w:t>
      </w:r>
    </w:p>
    <w:p w14:paraId="79AC6C0E" w14:textId="16D8A862" w:rsidR="00290D8C" w:rsidRPr="00B54475" w:rsidRDefault="6FC3E2E7" w:rsidP="6FC3E2E7">
      <w:pPr>
        <w:pStyle w:val="Default"/>
        <w:spacing w:after="200"/>
        <w:rPr>
          <w:rFonts w:eastAsia="Times New Roman"/>
          <w:color w:val="000000" w:themeColor="text1"/>
        </w:rPr>
      </w:pPr>
      <w:r w:rsidRPr="6FC3E2E7">
        <w:rPr>
          <w:rFonts w:eastAsia="Times New Roman"/>
          <w:b/>
          <w:bCs/>
          <w:color w:val="000000" w:themeColor="text1"/>
        </w:rPr>
        <w:t>DUNS application:</w:t>
      </w:r>
      <w:r w:rsidRPr="6FC3E2E7">
        <w:rPr>
          <w:rFonts w:eastAsia="Times New Roman"/>
          <w:color w:val="000000" w:themeColor="text1"/>
        </w:rPr>
        <w:t xml:space="preserve"> Organizations must have a Data Universal Numbering System (DUNS) number from Dun &amp; Bradstreet.  If your organization does not have one already, you may obtain one by calling 1-866-705-5711 or visiting </w:t>
      </w:r>
      <w:hyperlink r:id="rId19">
        <w:r w:rsidRPr="6FC3E2E7">
          <w:rPr>
            <w:rStyle w:val="Hyperlink"/>
            <w:rFonts w:eastAsia="Times New Roman"/>
          </w:rPr>
          <w:t>http://fedgov.dnb.com/webform</w:t>
        </w:r>
      </w:hyperlink>
      <w:r w:rsidRPr="6FC3E2E7">
        <w:rPr>
          <w:rFonts w:eastAsia="Times New Roman"/>
          <w:color w:val="000000" w:themeColor="text1"/>
        </w:rPr>
        <w:t xml:space="preserve">  </w:t>
      </w:r>
    </w:p>
    <w:p w14:paraId="5D5362F7" w14:textId="5D5E0EFF" w:rsidR="00290D8C" w:rsidRPr="00B54475" w:rsidRDefault="00290D8C" w:rsidP="6FC3E2E7">
      <w:pPr>
        <w:spacing w:after="0" w:line="240" w:lineRule="auto"/>
        <w:rPr>
          <w:rFonts w:ascii="Times New Roman" w:eastAsia="Times New Roman" w:hAnsi="Times New Roman" w:cs="Times New Roman"/>
          <w:color w:val="000000" w:themeColor="text1"/>
          <w:sz w:val="24"/>
          <w:szCs w:val="24"/>
        </w:rPr>
      </w:pPr>
    </w:p>
    <w:p w14:paraId="6C0EDBD1" w14:textId="298FD2F3" w:rsidR="00290D8C" w:rsidRPr="00B54475" w:rsidRDefault="6FC3E2E7" w:rsidP="6FC3E2E7">
      <w:pPr>
        <w:pStyle w:val="Default"/>
        <w:rPr>
          <w:rFonts w:eastAsia="Times New Roman"/>
          <w:color w:val="000000" w:themeColor="text1"/>
        </w:rPr>
      </w:pPr>
      <w:r w:rsidRPr="6FC3E2E7">
        <w:rPr>
          <w:rFonts w:eastAsia="Times New Roman"/>
          <w:b/>
          <w:bCs/>
          <w:color w:val="000000" w:themeColor="text1"/>
        </w:rPr>
        <w:t>NCAGE Registration:</w:t>
      </w:r>
      <w:r w:rsidRPr="6FC3E2E7">
        <w:rPr>
          <w:rFonts w:eastAsia="Times New Roman"/>
          <w:color w:val="000000" w:themeColor="text1"/>
        </w:rPr>
        <w:t xml:space="preserve"> Application page here: </w:t>
      </w:r>
      <w:hyperlink r:id="rId20">
        <w:r w:rsidRPr="6FC3E2E7">
          <w:rPr>
            <w:rStyle w:val="Hyperlink"/>
            <w:rFonts w:eastAsia="Times New Roman"/>
          </w:rPr>
          <w:t>https://eportal.nspa.nato.int/AC135Public/scage/CageList.aspx</w:t>
        </w:r>
      </w:hyperlink>
      <w:r w:rsidRPr="6FC3E2E7">
        <w:rPr>
          <w:rFonts w:eastAsia="Times New Roman"/>
          <w:color w:val="000000" w:themeColor="text1"/>
        </w:rPr>
        <w:t xml:space="preserve">  </w:t>
      </w:r>
    </w:p>
    <w:p w14:paraId="13CCC4DF" w14:textId="79040853" w:rsidR="00290D8C" w:rsidRPr="00B54475" w:rsidRDefault="6FC3E2E7" w:rsidP="6FC3E2E7">
      <w:pPr>
        <w:pStyle w:val="Default"/>
        <w:rPr>
          <w:rFonts w:eastAsia="Times New Roman"/>
          <w:color w:val="000000" w:themeColor="text1"/>
        </w:rPr>
      </w:pPr>
      <w:r w:rsidRPr="6FC3E2E7">
        <w:rPr>
          <w:rFonts w:eastAsia="Times New Roman"/>
          <w:color w:val="000000" w:themeColor="text1"/>
        </w:rPr>
        <w:t xml:space="preserve">Instructions for the NCAGE application process: </w:t>
      </w:r>
    </w:p>
    <w:p w14:paraId="587321C7" w14:textId="03464DDE" w:rsidR="00290D8C" w:rsidRPr="00B54475" w:rsidRDefault="00CA52ED" w:rsidP="6FC3E2E7">
      <w:pPr>
        <w:spacing w:after="0" w:line="240" w:lineRule="auto"/>
        <w:rPr>
          <w:rFonts w:ascii="Times New Roman" w:eastAsia="Times New Roman" w:hAnsi="Times New Roman" w:cs="Times New Roman"/>
          <w:color w:val="000000" w:themeColor="text1"/>
          <w:sz w:val="24"/>
          <w:szCs w:val="24"/>
        </w:rPr>
      </w:pPr>
      <w:hyperlink r:id="rId21">
        <w:r w:rsidR="6FC3E2E7" w:rsidRPr="6FC3E2E7">
          <w:rPr>
            <w:rStyle w:val="Hyperlink"/>
            <w:rFonts w:ascii="Times New Roman" w:eastAsia="Times New Roman" w:hAnsi="Times New Roman" w:cs="Times New Roman"/>
            <w:sz w:val="24"/>
            <w:szCs w:val="24"/>
          </w:rPr>
          <w:t>https://eportal.nspa.nato.int/AC135Public/Docs/US%20Instructions%20for%20NSPA%20NCAGE.pdf</w:t>
        </w:r>
      </w:hyperlink>
      <w:r w:rsidR="6FC3E2E7" w:rsidRPr="6FC3E2E7">
        <w:rPr>
          <w:rFonts w:ascii="Times New Roman" w:eastAsia="Times New Roman" w:hAnsi="Times New Roman" w:cs="Times New Roman"/>
          <w:color w:val="000000" w:themeColor="text1"/>
          <w:sz w:val="24"/>
          <w:szCs w:val="24"/>
        </w:rPr>
        <w:t xml:space="preserve">  </w:t>
      </w:r>
    </w:p>
    <w:p w14:paraId="6763D4DC" w14:textId="30E13C40" w:rsidR="00290D8C" w:rsidRPr="00B54475" w:rsidRDefault="00290D8C" w:rsidP="6FC3E2E7">
      <w:pPr>
        <w:spacing w:after="0" w:line="240" w:lineRule="auto"/>
        <w:rPr>
          <w:rFonts w:ascii="Times New Roman" w:eastAsia="Times New Roman" w:hAnsi="Times New Roman" w:cs="Times New Roman"/>
          <w:color w:val="000000" w:themeColor="text1"/>
          <w:sz w:val="24"/>
          <w:szCs w:val="24"/>
        </w:rPr>
      </w:pPr>
    </w:p>
    <w:p w14:paraId="67CEFCB7" w14:textId="289DC5AF" w:rsidR="00290D8C" w:rsidRPr="00B54475" w:rsidRDefault="6FC3E2E7" w:rsidP="6FC3E2E7">
      <w:pPr>
        <w:pStyle w:val="Default"/>
        <w:rPr>
          <w:rFonts w:eastAsia="Times New Roman"/>
          <w:color w:val="000000" w:themeColor="text1"/>
        </w:rPr>
      </w:pPr>
      <w:r w:rsidRPr="6FC3E2E7">
        <w:rPr>
          <w:rFonts w:eastAsia="Times New Roman"/>
          <w:color w:val="000000" w:themeColor="text1"/>
        </w:rPr>
        <w:t xml:space="preserve">For NCAGE help from within the U.S., call 1-888-227-2423 </w:t>
      </w:r>
    </w:p>
    <w:p w14:paraId="30ED74CE" w14:textId="7B4A25DE" w:rsidR="00290D8C" w:rsidRPr="00B54475" w:rsidRDefault="6FC3E2E7" w:rsidP="6FC3E2E7">
      <w:pPr>
        <w:pStyle w:val="Default"/>
        <w:rPr>
          <w:rFonts w:eastAsia="Times New Roman"/>
          <w:color w:val="000000" w:themeColor="text1"/>
        </w:rPr>
      </w:pPr>
      <w:r w:rsidRPr="6FC3E2E7">
        <w:rPr>
          <w:rFonts w:eastAsia="Times New Roman"/>
          <w:color w:val="000000" w:themeColor="text1"/>
        </w:rPr>
        <w:t xml:space="preserve">For NCAGE help from outside the U.S., call 1-269-961-7766 </w:t>
      </w:r>
    </w:p>
    <w:p w14:paraId="6AFAB6BA" w14:textId="08612A88" w:rsidR="00290D8C" w:rsidRPr="00B54475" w:rsidRDefault="6FC3E2E7" w:rsidP="6FC3E2E7">
      <w:pPr>
        <w:pStyle w:val="Default"/>
        <w:rPr>
          <w:rFonts w:eastAsia="Times New Roman"/>
          <w:color w:val="000000" w:themeColor="text1"/>
        </w:rPr>
      </w:pPr>
      <w:r w:rsidRPr="6FC3E2E7">
        <w:rPr>
          <w:rFonts w:eastAsia="Times New Roman"/>
          <w:color w:val="000000" w:themeColor="text1"/>
        </w:rPr>
        <w:t xml:space="preserve">Email </w:t>
      </w:r>
      <w:hyperlink r:id="rId22">
        <w:r w:rsidRPr="6FC3E2E7">
          <w:rPr>
            <w:rStyle w:val="Hyperlink"/>
            <w:rFonts w:eastAsia="Times New Roman"/>
          </w:rPr>
          <w:t>NCAGE@dlis.dla.mil</w:t>
        </w:r>
      </w:hyperlink>
      <w:r w:rsidRPr="6FC3E2E7">
        <w:rPr>
          <w:rFonts w:eastAsia="Times New Roman"/>
          <w:color w:val="000000" w:themeColor="text1"/>
        </w:rPr>
        <w:t xml:space="preserve"> for any problems in getting an NCAGE code. </w:t>
      </w:r>
    </w:p>
    <w:p w14:paraId="26538D89" w14:textId="4FAC8B66" w:rsidR="00290D8C" w:rsidRPr="00B54475" w:rsidRDefault="00290D8C" w:rsidP="6FC3E2E7">
      <w:pPr>
        <w:spacing w:after="0" w:line="240" w:lineRule="auto"/>
        <w:rPr>
          <w:rFonts w:ascii="Times New Roman" w:eastAsia="Times New Roman" w:hAnsi="Times New Roman" w:cs="Times New Roman"/>
          <w:color w:val="000000" w:themeColor="text1"/>
          <w:sz w:val="24"/>
          <w:szCs w:val="24"/>
        </w:rPr>
      </w:pPr>
    </w:p>
    <w:p w14:paraId="10EF3942" w14:textId="33352D73" w:rsidR="00290D8C" w:rsidRPr="00B54475" w:rsidRDefault="6FC3E2E7" w:rsidP="6FC3E2E7">
      <w:pPr>
        <w:pStyle w:val="NoSpacing"/>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i/>
          <w:iCs/>
          <w:color w:val="000000" w:themeColor="text1"/>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September 2021, NATO nations included Albania, Belgium, Bulgaria, Canada, Croatia, Czech Republic, Denmark, Estonia, France, Germany, Greece, Hungary, Iceland, Italy, Latvia, Lithuania, Luxembourg, Montenegro, Netherlands, North Macedonia, Norway, Poland, Portugal, Romania, Slovakia, Slovenia, Spain, Turkey, United Kingdom, and the United States of America.  As of September 2021, Tier 2 nations included Argentina, Australia, Austria, Brazil, Colombia, Finland, India, Indonesia, Israel, Japan, Republic of Korea, Malaysia, Morocco, New Zealand, Serbia, Singapore, Sweden, Ukraine, and United Arab Emirates.  </w:t>
      </w:r>
    </w:p>
    <w:p w14:paraId="3BE79611" w14:textId="4D0813DF" w:rsidR="00290D8C" w:rsidRPr="00B54475" w:rsidRDefault="00290D8C" w:rsidP="6FC3E2E7">
      <w:pPr>
        <w:pStyle w:val="NoSpacing"/>
        <w:rPr>
          <w:rFonts w:ascii="Times New Roman" w:eastAsia="Times New Roman" w:hAnsi="Times New Roman" w:cs="Times New Roman"/>
          <w:i/>
          <w:iCs/>
          <w:color w:val="000000" w:themeColor="text1"/>
          <w:sz w:val="24"/>
          <w:szCs w:val="24"/>
        </w:rPr>
      </w:pPr>
    </w:p>
    <w:p w14:paraId="2BCEFA5A" w14:textId="112FE7C8" w:rsidR="00290D8C" w:rsidRPr="00B54475" w:rsidRDefault="6FC3E2E7" w:rsidP="6FC3E2E7">
      <w:pPr>
        <w:pStyle w:val="NoSpacing"/>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i/>
          <w:iCs/>
          <w:color w:val="000000" w:themeColor="text1"/>
          <w:sz w:val="24"/>
          <w:szCs w:val="24"/>
        </w:rPr>
        <w:t xml:space="preserve">NSPA and/or the appropriate NCB forwards all NCAGE code information to all Allied Committee 135 (AC/135) nations, which as of September 2021 also included Algeria, Belarus, Bosnia &amp; Herzegovina, Brunei Darussalam, Chile, Egypt, Georgia, Jordan, Oman, Pakistan, Peru, Qatar, Saudi Arabia, South Africa, and Thailand.  </w:t>
      </w:r>
      <w:r w:rsidRPr="6FC3E2E7">
        <w:rPr>
          <w:rFonts w:ascii="Times New Roman" w:eastAsia="Times New Roman" w:hAnsi="Times New Roman" w:cs="Times New Roman"/>
          <w:b/>
          <w:bCs/>
          <w:i/>
          <w:iCs/>
          <w:color w:val="000000" w:themeColor="text1"/>
          <w:sz w:val="24"/>
          <w:szCs w:val="24"/>
          <w:u w:val="single"/>
        </w:rPr>
        <w:t>All organizations are strongly advised to take this into consideration when assessing whether registration may result in possible endangerment</w:t>
      </w:r>
      <w:r w:rsidRPr="6FC3E2E7">
        <w:rPr>
          <w:rFonts w:ascii="Times New Roman" w:eastAsia="Times New Roman" w:hAnsi="Times New Roman" w:cs="Times New Roman"/>
          <w:b/>
          <w:bCs/>
          <w:i/>
          <w:iCs/>
          <w:color w:val="000000" w:themeColor="text1"/>
          <w:sz w:val="24"/>
          <w:szCs w:val="24"/>
        </w:rPr>
        <w:t>.</w:t>
      </w:r>
    </w:p>
    <w:p w14:paraId="1EA31EF7" w14:textId="11A555E3" w:rsidR="00290D8C" w:rsidRPr="00B54475" w:rsidRDefault="00290D8C" w:rsidP="6FC3E2E7">
      <w:pPr>
        <w:spacing w:after="0" w:line="240" w:lineRule="auto"/>
        <w:rPr>
          <w:rFonts w:ascii="Times New Roman" w:eastAsia="Times New Roman" w:hAnsi="Times New Roman" w:cs="Times New Roman"/>
          <w:color w:val="000000" w:themeColor="text1"/>
          <w:sz w:val="24"/>
          <w:szCs w:val="24"/>
        </w:rPr>
      </w:pPr>
    </w:p>
    <w:p w14:paraId="1226680D" w14:textId="6946F146" w:rsidR="00290D8C" w:rsidRPr="00B54475" w:rsidRDefault="6FC3E2E7" w:rsidP="6FC3E2E7">
      <w:pPr>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SAM.gov Registration:</w:t>
      </w:r>
      <w:r w:rsidRPr="6FC3E2E7">
        <w:rPr>
          <w:rFonts w:ascii="Times New Roman" w:eastAsia="Times New Roman" w:hAnsi="Times New Roman" w:cs="Times New Roman"/>
          <w:color w:val="000000" w:themeColor="text1"/>
          <w:sz w:val="24"/>
          <w:szCs w:val="24"/>
        </w:rPr>
        <w:t xml:space="preserve"> </w:t>
      </w:r>
    </w:p>
    <w:p w14:paraId="38B87B80" w14:textId="7F90BA24"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lastRenderedPageBreak/>
        <w:t>Applicants must have an active registration in SAM (</w:t>
      </w:r>
      <w:hyperlink r:id="rId23">
        <w:r w:rsidRPr="6FC3E2E7">
          <w:rPr>
            <w:rStyle w:val="Hyperlink"/>
            <w:rFonts w:ascii="Times New Roman" w:eastAsia="Times New Roman" w:hAnsi="Times New Roman" w:cs="Times New Roman"/>
            <w:sz w:val="24"/>
            <w:szCs w:val="24"/>
          </w:rPr>
          <w:t>www.sam.gov</w:t>
        </w:r>
      </w:hyperlink>
      <w:r w:rsidRPr="6FC3E2E7">
        <w:rPr>
          <w:rFonts w:ascii="Times New Roman" w:eastAsia="Times New Roman" w:hAnsi="Times New Roman" w:cs="Times New Roman"/>
          <w:color w:val="000000" w:themeColor="text1"/>
          <w:sz w:val="24"/>
          <w:szCs w:val="24"/>
        </w:rPr>
        <w:t>) prior to submitting an application and must provide a valid Unique Entity Identifier (UEI) number, formerly referred to as a DUNS number, and must continue to maintain an active SAM.gov registration with current information at all times during which it has an active Federal award or an application or plan under consideration by the U.S. government.  If an organization does not have an active registration in SAM.gov prior to submitting an application, the application will be deemed ineligible.  Note: The process of obtaining a SAM.gov registration may take anywhere from 4-8 weeks.  Please begin your registration as early as possible.</w:t>
      </w:r>
    </w:p>
    <w:p w14:paraId="4D073617" w14:textId="7A824743"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The Unique Entity Identifier (UEI) is one of the data elements mandated by Public Law 109-282, the Federal Funding Accountability and Transparency Act (FFATA), for all Federal awards.  SAM is the Federal government's primary database for complying with FFATA reporting requirements.  OMB designated SAM as the central repository to facilitate applicant and recipient use of a single public website that consolidates data on all federal financial assistance.  Under the law, it is mandatory to obtain a UEI number and register in SAM.  </w:t>
      </w:r>
    </w:p>
    <w:p w14:paraId="5B5CEF40" w14:textId="453E849A"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SAM requires all entities to renew their registration once a year in order to maintain an active registration status in SAM.  It is the responsibility of the applicant to ensure it has an active registration in SAM and to also maintain its active registration in SAM. </w:t>
      </w:r>
    </w:p>
    <w:p w14:paraId="6C3C93F7" w14:textId="2E9FA1B3"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An exemption from this requirement may be permitted on a case-by-case basis if the applicant’s identity must be protected due to possible endangerment of their mission, their organization’s status, their employees, or individuals being served by the applicant.  Organizations requesting an exemption should email the point of contact listed in Section A or G of this NOFO.</w:t>
      </w:r>
    </w:p>
    <w:p w14:paraId="6C5EF856" w14:textId="353AE568"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Organizations must have a commitment to equal opportunity employment practices and to non-discrimination practices with regard to beneficiaries, without regard to race, religion, ethnicity, gender, sexual orientation, or political affiliation. </w:t>
      </w:r>
    </w:p>
    <w:p w14:paraId="1FC3A607" w14:textId="5800CF01" w:rsidR="00290D8C" w:rsidRPr="00B54475" w:rsidRDefault="6FC3E2E7" w:rsidP="6FC3E2E7">
      <w:pPr>
        <w:pStyle w:val="NoSpacing"/>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Note:  SAM.gov is not the same as SAMS Domestic.  It is free to register in both systems, but the registration processes are different</w:t>
      </w:r>
      <w:r w:rsidRPr="6FC3E2E7">
        <w:rPr>
          <w:rFonts w:ascii="Times New Roman" w:eastAsia="Times New Roman" w:hAnsi="Times New Roman" w:cs="Times New Roman"/>
          <w:color w:val="000000" w:themeColor="text1"/>
          <w:sz w:val="24"/>
          <w:szCs w:val="24"/>
        </w:rPr>
        <w:t xml:space="preserve">.  </w:t>
      </w:r>
    </w:p>
    <w:p w14:paraId="64E2A8FA" w14:textId="4FFAA991" w:rsidR="00290D8C" w:rsidRPr="00B54475" w:rsidRDefault="00290D8C" w:rsidP="6FC3E2E7">
      <w:pPr>
        <w:spacing w:line="240" w:lineRule="auto"/>
        <w:rPr>
          <w:rFonts w:ascii="Times New Roman" w:eastAsia="Times New Roman" w:hAnsi="Times New Roman" w:cs="Times New Roman"/>
          <w:b/>
          <w:bCs/>
          <w:i/>
          <w:iCs/>
          <w:color w:val="000000" w:themeColor="text1"/>
          <w:sz w:val="24"/>
          <w:szCs w:val="24"/>
        </w:rPr>
      </w:pPr>
    </w:p>
    <w:p w14:paraId="236F6C87" w14:textId="22059CDE" w:rsidR="00290D8C" w:rsidRPr="00B54475"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i/>
          <w:iCs/>
          <w:color w:val="000000" w:themeColor="text1"/>
          <w:sz w:val="24"/>
          <w:szCs w:val="24"/>
        </w:rPr>
        <w:t xml:space="preserve">Information is included on the SAM.gov website to help international registrations, including “Quick Start Guide for International Registrations” and “Helpful Hints.”  Navigate to </w:t>
      </w:r>
      <w:hyperlink>
        <w:r w:rsidRPr="6FC3E2E7">
          <w:rPr>
            <w:rStyle w:val="Hyperlink"/>
            <w:rFonts w:ascii="Times New Roman" w:eastAsia="Times New Roman" w:hAnsi="Times New Roman" w:cs="Times New Roman"/>
            <w:b/>
            <w:bCs/>
            <w:i/>
            <w:iCs/>
            <w:sz w:val="24"/>
            <w:szCs w:val="24"/>
          </w:rPr>
          <w:t>www.SAM.gov</w:t>
        </w:r>
      </w:hyperlink>
      <w:r w:rsidRPr="6FC3E2E7">
        <w:rPr>
          <w:rFonts w:ascii="Times New Roman" w:eastAsia="Times New Roman" w:hAnsi="Times New Roman" w:cs="Times New Roman"/>
          <w:b/>
          <w:bCs/>
          <w:i/>
          <w:iCs/>
          <w:color w:val="000000" w:themeColor="text1"/>
          <w:sz w:val="24"/>
          <w:szCs w:val="24"/>
        </w:rPr>
        <w:t>, click “HELP” in the top navigation bar, then click “International Registrants” in the left navigation panel.  Please note, guidance on SAM.gov and the guidance on GSA’s website about requirement for registering in SAM.gov is subject to change.  Applicants should review the website for the most up-to-date guidance.</w:t>
      </w:r>
    </w:p>
    <w:p w14:paraId="4AA8FDDE" w14:textId="3CB189C4" w:rsidR="00290D8C" w:rsidRPr="00B54475" w:rsidRDefault="00290D8C" w:rsidP="6FC3E2E7">
      <w:pPr>
        <w:spacing w:after="0" w:line="240" w:lineRule="auto"/>
        <w:rPr>
          <w:color w:val="auto"/>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rsidP="00031DB1">
      <w:pPr>
        <w:numPr>
          <w:ilvl w:val="0"/>
          <w:numId w:val="1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lastRenderedPageBreak/>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53FAA10A" w:rsidR="00290D8C" w:rsidRDefault="388E7F71">
      <w:pPr>
        <w:spacing w:after="0" w:line="240" w:lineRule="auto"/>
      </w:pPr>
      <w:r w:rsidRPr="6FC3E2E7">
        <w:rPr>
          <w:rFonts w:ascii="Times New Roman" w:eastAsia="Times New Roman" w:hAnsi="Times New Roman" w:cs="Times New Roman"/>
          <w:b/>
          <w:bCs/>
          <w:sz w:val="24"/>
          <w:szCs w:val="24"/>
        </w:rPr>
        <w:t>Applications are due no later than</w:t>
      </w:r>
      <w:r w:rsidR="29515B99" w:rsidRPr="6FC3E2E7">
        <w:rPr>
          <w:rFonts w:ascii="Times New Roman" w:eastAsia="Times New Roman" w:hAnsi="Times New Roman" w:cs="Times New Roman"/>
          <w:b/>
          <w:bCs/>
          <w:sz w:val="24"/>
          <w:szCs w:val="24"/>
        </w:rPr>
        <w:t xml:space="preserve"> </w:t>
      </w:r>
      <w:r w:rsidR="29515B99" w:rsidRPr="6FC3E2E7">
        <w:rPr>
          <w:rFonts w:ascii="Times New Roman" w:eastAsia="Times New Roman" w:hAnsi="Times New Roman" w:cs="Times New Roman"/>
          <w:b/>
          <w:bCs/>
          <w:sz w:val="24"/>
          <w:szCs w:val="24"/>
          <w:u w:val="single"/>
        </w:rPr>
        <w:t>11:59</w:t>
      </w:r>
      <w:r w:rsidR="2143E6FD" w:rsidRPr="6FC3E2E7">
        <w:rPr>
          <w:rFonts w:ascii="Times New Roman" w:eastAsia="Times New Roman" w:hAnsi="Times New Roman" w:cs="Times New Roman"/>
          <w:b/>
          <w:bCs/>
          <w:sz w:val="24"/>
          <w:szCs w:val="24"/>
          <w:u w:val="single"/>
        </w:rPr>
        <w:t xml:space="preserve"> </w:t>
      </w:r>
      <w:r w:rsidR="3E0B5ACB" w:rsidRPr="6FC3E2E7">
        <w:rPr>
          <w:rFonts w:ascii="Times New Roman" w:eastAsia="Times New Roman" w:hAnsi="Times New Roman" w:cs="Times New Roman"/>
          <w:b/>
          <w:bCs/>
          <w:sz w:val="24"/>
          <w:szCs w:val="24"/>
          <w:u w:val="single"/>
        </w:rPr>
        <w:t>PM</w:t>
      </w:r>
      <w:r w:rsidR="18B8A484"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b/>
          <w:bCs/>
          <w:sz w:val="24"/>
          <w:szCs w:val="24"/>
        </w:rPr>
        <w:t xml:space="preserve">Eastern </w:t>
      </w:r>
      <w:r w:rsidR="3E0B5ACB" w:rsidRPr="6FC3E2E7">
        <w:rPr>
          <w:rFonts w:ascii="Times New Roman" w:eastAsia="Times New Roman" w:hAnsi="Times New Roman" w:cs="Times New Roman"/>
          <w:b/>
          <w:bCs/>
          <w:sz w:val="24"/>
          <w:szCs w:val="24"/>
        </w:rPr>
        <w:t xml:space="preserve">Standard </w:t>
      </w:r>
      <w:r w:rsidRPr="6FC3E2E7">
        <w:rPr>
          <w:rFonts w:ascii="Times New Roman" w:eastAsia="Times New Roman" w:hAnsi="Times New Roman" w:cs="Times New Roman"/>
          <w:b/>
          <w:bCs/>
          <w:sz w:val="24"/>
          <w:szCs w:val="24"/>
        </w:rPr>
        <w:t>Time (E</w:t>
      </w:r>
      <w:r w:rsidR="3E0B5ACB" w:rsidRPr="6FC3E2E7">
        <w:rPr>
          <w:rFonts w:ascii="Times New Roman" w:eastAsia="Times New Roman" w:hAnsi="Times New Roman" w:cs="Times New Roman"/>
          <w:b/>
          <w:bCs/>
          <w:sz w:val="24"/>
          <w:szCs w:val="24"/>
        </w:rPr>
        <w:t>S</w:t>
      </w:r>
      <w:r w:rsidRPr="6FC3E2E7">
        <w:rPr>
          <w:rFonts w:ascii="Times New Roman" w:eastAsia="Times New Roman" w:hAnsi="Times New Roman" w:cs="Times New Roman"/>
          <w:b/>
          <w:bCs/>
          <w:sz w:val="24"/>
          <w:szCs w:val="24"/>
        </w:rPr>
        <w:t xml:space="preserve">T), on </w:t>
      </w:r>
      <w:r w:rsidR="00F561F7">
        <w:rPr>
          <w:rFonts w:ascii="Times New Roman" w:eastAsia="Times New Roman" w:hAnsi="Times New Roman" w:cs="Times New Roman"/>
          <w:b/>
          <w:bCs/>
          <w:sz w:val="24"/>
          <w:szCs w:val="24"/>
        </w:rPr>
        <w:t>30, May, 2022</w:t>
      </w:r>
      <w:r w:rsidRPr="6FC3E2E7">
        <w:rPr>
          <w:rFonts w:ascii="Times New Roman" w:eastAsia="Times New Roman" w:hAnsi="Times New Roman" w:cs="Times New Roman"/>
          <w:b/>
          <w:bCs/>
          <w:sz w:val="24"/>
          <w:szCs w:val="24"/>
        </w:rPr>
        <w:t xml:space="preserve"> on</w:t>
      </w:r>
      <w:r w:rsidR="3E0B5ACB" w:rsidRPr="6FC3E2E7">
        <w:rPr>
          <w:rFonts w:ascii="Times New Roman" w:eastAsia="Times New Roman" w:hAnsi="Times New Roman" w:cs="Times New Roman"/>
          <w:b/>
          <w:bCs/>
          <w:sz w:val="24"/>
          <w:szCs w:val="24"/>
        </w:rPr>
        <w:t xml:space="preserve"> </w:t>
      </w:r>
      <w:hyperlink r:id="rId24">
        <w:r w:rsidR="3E0B5ACB" w:rsidRPr="6FC3E2E7">
          <w:rPr>
            <w:rStyle w:val="Hyperlink"/>
            <w:rFonts w:ascii="Times New Roman" w:eastAsia="Times New Roman" w:hAnsi="Times New Roman" w:cs="Times New Roman"/>
            <w:b/>
            <w:bCs/>
            <w:sz w:val="24"/>
            <w:szCs w:val="24"/>
          </w:rPr>
          <w:t>https://www.grants.gov/</w:t>
        </w:r>
      </w:hyperlink>
      <w:r w:rsidR="3E0B5ACB"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b/>
          <w:bCs/>
          <w:sz w:val="24"/>
          <w:szCs w:val="24"/>
        </w:rPr>
        <w:t xml:space="preserve">or </w:t>
      </w:r>
      <w:hyperlink r:id="rId25">
        <w:r w:rsidR="3F3A83AC" w:rsidRPr="6FC3E2E7">
          <w:rPr>
            <w:rStyle w:val="Hyperlink"/>
            <w:rFonts w:ascii="Times New Roman" w:eastAsia="Times New Roman" w:hAnsi="Times New Roman" w:cs="Times New Roman"/>
            <w:b/>
            <w:bCs/>
            <w:color w:val="auto"/>
            <w:sz w:val="24"/>
            <w:szCs w:val="24"/>
            <w:u w:val="none"/>
          </w:rPr>
          <w:t>SAM</w:t>
        </w:r>
      </w:hyperlink>
      <w:r w:rsidR="3F3A83AC" w:rsidRPr="6FC3E2E7">
        <w:rPr>
          <w:rFonts w:ascii="Times New Roman" w:eastAsia="Times New Roman" w:hAnsi="Times New Roman" w:cs="Times New Roman"/>
          <w:b/>
          <w:bCs/>
          <w:sz w:val="24"/>
          <w:szCs w:val="24"/>
        </w:rPr>
        <w:t xml:space="preserve">S </w:t>
      </w:r>
      <w:r w:rsidR="3F3A83AC" w:rsidRPr="6FC3E2E7">
        <w:rPr>
          <w:rFonts w:ascii="Times New Roman" w:eastAsia="Times New Roman" w:hAnsi="Times New Roman" w:cs="Times New Roman"/>
          <w:b/>
          <w:bCs/>
          <w:color w:val="auto"/>
          <w:sz w:val="24"/>
          <w:szCs w:val="24"/>
        </w:rPr>
        <w:t xml:space="preserve">Domestic </w:t>
      </w:r>
      <w:r w:rsidR="3F3A83AC" w:rsidRPr="6FC3E2E7">
        <w:rPr>
          <w:rFonts w:ascii="Times New Roman" w:eastAsia="Times New Roman" w:hAnsi="Times New Roman" w:cs="Times New Roman"/>
          <w:color w:val="0000FF"/>
          <w:sz w:val="24"/>
          <w:szCs w:val="24"/>
          <w:u w:val="single"/>
        </w:rPr>
        <w:t>(</w:t>
      </w:r>
      <w:hyperlink r:id="rId26">
        <w:r w:rsidR="0DC4B03E" w:rsidRPr="6FC3E2E7">
          <w:rPr>
            <w:rStyle w:val="Hyperlink"/>
            <w:rFonts w:ascii="Times New Roman" w:hAnsi="Times New Roman" w:cs="Times New Roman"/>
            <w:sz w:val="24"/>
            <w:szCs w:val="24"/>
          </w:rPr>
          <w:t>https://mygrants.servicenowservices.com</w:t>
        </w:r>
      </w:hyperlink>
      <w:r w:rsidR="3F3A83AC" w:rsidRPr="6FC3E2E7">
        <w:rPr>
          <w:rFonts w:ascii="Times New Roman" w:hAnsi="Times New Roman" w:cs="Times New Roman"/>
          <w:sz w:val="24"/>
          <w:szCs w:val="24"/>
        </w:rPr>
        <w:t>)</w:t>
      </w:r>
      <w:r w:rsidR="6E9C7E26" w:rsidRPr="6FC3E2E7">
        <w:rPr>
          <w:rFonts w:ascii="Times New Roman" w:hAnsi="Times New Roman" w:cs="Times New Roman"/>
          <w:sz w:val="24"/>
          <w:szCs w:val="24"/>
        </w:rPr>
        <w:t xml:space="preserve"> </w:t>
      </w:r>
      <w:r w:rsidRPr="6FC3E2E7">
        <w:rPr>
          <w:rFonts w:ascii="Times New Roman" w:eastAsia="Times New Roman" w:hAnsi="Times New Roman" w:cs="Times New Roman"/>
          <w:b/>
          <w:bCs/>
          <w:sz w:val="24"/>
          <w:szCs w:val="24"/>
        </w:rPr>
        <w:t xml:space="preserve">under the announcement title </w:t>
      </w:r>
      <w:r w:rsidR="3E0B5ACB" w:rsidRPr="6FC3E2E7">
        <w:rPr>
          <w:rFonts w:ascii="Times New Roman" w:eastAsia="Times New Roman" w:hAnsi="Times New Roman" w:cs="Times New Roman"/>
          <w:b/>
          <w:bCs/>
          <w:sz w:val="24"/>
          <w:szCs w:val="24"/>
        </w:rPr>
        <w:t>“</w:t>
      </w:r>
      <w:r w:rsidR="6FC3E2E7" w:rsidRPr="6FC3E2E7">
        <w:rPr>
          <w:rFonts w:ascii="Times New Roman" w:eastAsia="Times New Roman" w:hAnsi="Times New Roman" w:cs="Times New Roman"/>
          <w:b/>
          <w:bCs/>
          <w:sz w:val="24"/>
          <w:szCs w:val="24"/>
        </w:rPr>
        <w:t>Forest Investment Development Facility (ForInvest)</w:t>
      </w:r>
      <w:r w:rsidR="3E0B5ACB" w:rsidRPr="6FC3E2E7">
        <w:rPr>
          <w:rFonts w:ascii="Times New Roman" w:eastAsia="Times New Roman" w:hAnsi="Times New Roman" w:cs="Times New Roman"/>
          <w:b/>
          <w:bCs/>
          <w:sz w:val="24"/>
          <w:szCs w:val="24"/>
        </w:rPr>
        <w:t>,” funding opportunity number “</w:t>
      </w:r>
      <w:r w:rsidR="00CA52ED" w:rsidRPr="00CA52ED">
        <w:rPr>
          <w:rFonts w:ascii="Times New Roman" w:eastAsia="Times New Roman" w:hAnsi="Times New Roman" w:cs="Times New Roman"/>
          <w:b/>
          <w:bCs/>
          <w:sz w:val="24"/>
          <w:szCs w:val="24"/>
        </w:rPr>
        <w:t>SFOP0008827</w:t>
      </w:r>
      <w:r w:rsidR="3E0B5ACB"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6BCC9E77" w:rsidR="00290D8C" w:rsidRDefault="22DD320E">
      <w:pPr>
        <w:spacing w:after="0" w:line="240" w:lineRule="auto"/>
      </w:pPr>
      <w:r w:rsidRPr="6FC3E2E7">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6FC3E2E7">
        <w:rPr>
          <w:rFonts w:ascii="Times New Roman" w:eastAsia="Times New Roman" w:hAnsi="Times New Roman" w:cs="Times New Roman"/>
          <w:color w:val="0000FF"/>
          <w:sz w:val="24"/>
          <w:szCs w:val="24"/>
        </w:rPr>
        <w:t xml:space="preserve"> </w:t>
      </w:r>
      <w:r w:rsidRPr="6FC3E2E7">
        <w:rPr>
          <w:rFonts w:ascii="Times New Roman" w:eastAsia="Times New Roman" w:hAnsi="Times New Roman" w:cs="Times New Roman"/>
          <w:sz w:val="24"/>
          <w:szCs w:val="24"/>
        </w:rPr>
        <w:t xml:space="preserve">or SAMS </w:t>
      </w:r>
      <w:r w:rsidRPr="6FC3E2E7">
        <w:rPr>
          <w:rFonts w:ascii="Times New Roman" w:eastAsia="Times New Roman" w:hAnsi="Times New Roman" w:cs="Times New Roman"/>
          <w:color w:val="auto"/>
          <w:sz w:val="24"/>
          <w:szCs w:val="24"/>
        </w:rPr>
        <w:t>Domestic</w:t>
      </w:r>
      <w:r w:rsidRPr="6FC3E2E7">
        <w:rPr>
          <w:rFonts w:ascii="Times New Roman" w:eastAsia="Times New Roman" w:hAnsi="Times New Roman" w:cs="Times New Roman"/>
          <w:b/>
          <w:bCs/>
          <w:color w:val="auto"/>
          <w:sz w:val="24"/>
          <w:szCs w:val="24"/>
        </w:rPr>
        <w:t xml:space="preserve"> </w:t>
      </w:r>
      <w:r w:rsidRPr="6FC3E2E7">
        <w:rPr>
          <w:rFonts w:ascii="Times New Roman" w:eastAsia="Times New Roman" w:hAnsi="Times New Roman" w:cs="Times New Roman"/>
          <w:color w:val="0000FF"/>
          <w:sz w:val="24"/>
          <w:szCs w:val="24"/>
          <w:u w:val="single"/>
        </w:rPr>
        <w:t>(</w:t>
      </w:r>
      <w:hyperlink r:id="rId27">
        <w:r w:rsidRPr="6FC3E2E7">
          <w:rPr>
            <w:rStyle w:val="Hyperlink"/>
            <w:rFonts w:ascii="Times New Roman" w:hAnsi="Times New Roman" w:cs="Times New Roman"/>
            <w:sz w:val="24"/>
            <w:szCs w:val="24"/>
          </w:rPr>
          <w:t>https://mygrants.service-now.com</w:t>
        </w:r>
      </w:hyperlink>
      <w:r w:rsidRPr="6FC3E2E7">
        <w:rPr>
          <w:rFonts w:ascii="Times New Roman" w:hAnsi="Times New Roman" w:cs="Times New Roman"/>
          <w:sz w:val="24"/>
          <w:szCs w:val="24"/>
        </w:rPr>
        <w:t xml:space="preserve">) </w:t>
      </w:r>
      <w:r w:rsidRPr="6FC3E2E7">
        <w:rPr>
          <w:rFonts w:ascii="Times New Roman" w:eastAsia="Times New Roman" w:hAnsi="Times New Roman" w:cs="Times New Roman"/>
          <w:sz w:val="24"/>
          <w:szCs w:val="24"/>
        </w:rPr>
        <w:t>that are outside of the applicant’s control will be reviewed on a case by case basis.</w:t>
      </w:r>
      <w:r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sz w:val="24"/>
          <w:szCs w:val="24"/>
        </w:rPr>
        <w:t>Applicants should not expect a notification upon OES receiving their application.</w:t>
      </w:r>
      <w:r w:rsidR="388E7F71" w:rsidRPr="6FC3E2E7">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40B9847A" w:rsidR="00290D8C" w:rsidRPr="00B4358D" w:rsidRDefault="002607E8">
      <w:pPr>
        <w:spacing w:after="0" w:line="240" w:lineRule="auto"/>
        <w:rPr>
          <w:sz w:val="24"/>
          <w:szCs w:val="24"/>
        </w:rPr>
      </w:pPr>
      <w:r w:rsidRPr="00B4358D">
        <w:rPr>
          <w:rFonts w:ascii="Times New Roman" w:eastAsia="Times New Roman" w:hAnsi="Times New Roman" w:cs="Times New Roman"/>
          <w:b/>
          <w:i/>
          <w:sz w:val="24"/>
          <w:szCs w:val="24"/>
        </w:rPr>
        <w:t xml:space="preserve">D.5 </w:t>
      </w:r>
      <w:r w:rsidR="00B4358D" w:rsidRPr="00B4358D">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Default="00290D8C">
      <w:pPr>
        <w:spacing w:after="0" w:line="240" w:lineRule="auto"/>
      </w:pPr>
    </w:p>
    <w:p w14:paraId="7FF69258" w14:textId="1F3CD1AF" w:rsidR="00290D8C" w:rsidRDefault="1C5D5A5C">
      <w:pPr>
        <w:spacing w:after="0" w:line="240" w:lineRule="auto"/>
      </w:pPr>
      <w:r w:rsidRPr="6FC3E2E7">
        <w:rPr>
          <w:rFonts w:ascii="Times New Roman" w:eastAsia="Times New Roman" w:hAnsi="Times New Roman" w:cs="Times New Roman"/>
          <w:sz w:val="24"/>
          <w:szCs w:val="24"/>
        </w:rPr>
        <w:t xml:space="preserve">OES </w:t>
      </w:r>
      <w:r w:rsidR="388E7F71" w:rsidRPr="6FC3E2E7">
        <w:rPr>
          <w:rFonts w:ascii="Times New Roman" w:eastAsia="Times New Roman" w:hAnsi="Times New Roman" w:cs="Times New Roman"/>
          <w:sz w:val="24"/>
          <w:szCs w:val="24"/>
        </w:rPr>
        <w:t xml:space="preserve">will not consider applications that reflect any type of support for any member, affiliate, or representative of a designated terrorist organization. </w:t>
      </w:r>
      <w:r w:rsidR="6466B3A7" w:rsidRPr="6FC3E2E7">
        <w:rPr>
          <w:rFonts w:ascii="Times New Roman" w:eastAsia="Times New Roman" w:hAnsi="Times New Roman" w:cs="Times New Roman"/>
          <w:sz w:val="24"/>
          <w:szCs w:val="24"/>
        </w:rPr>
        <w:t>Please refer</w:t>
      </w:r>
      <w:r w:rsidR="1770B349" w:rsidRPr="6FC3E2E7">
        <w:rPr>
          <w:rFonts w:ascii="Times New Roman" w:eastAsia="Times New Roman" w:hAnsi="Times New Roman" w:cs="Times New Roman"/>
          <w:sz w:val="24"/>
          <w:szCs w:val="24"/>
        </w:rPr>
        <w:t xml:space="preserve"> the link for Foreign Terrorist Organizations: </w:t>
      </w:r>
      <w:r w:rsidR="3E0B5ACB" w:rsidRPr="6FC3E2E7">
        <w:rPr>
          <w:rFonts w:ascii="Times New Roman" w:eastAsia="Times New Roman" w:hAnsi="Times New Roman" w:cs="Times New Roman"/>
          <w:sz w:val="24"/>
          <w:szCs w:val="24"/>
        </w:rPr>
        <w:t xml:space="preserve"> </w:t>
      </w:r>
      <w:hyperlink r:id="rId28">
        <w:r w:rsidR="3E0B5ACB" w:rsidRPr="6FC3E2E7">
          <w:rPr>
            <w:rStyle w:val="Hyperlink"/>
            <w:rFonts w:ascii="Times New Roman" w:eastAsia="Times New Roman" w:hAnsi="Times New Roman" w:cs="Times New Roman"/>
            <w:sz w:val="24"/>
            <w:szCs w:val="24"/>
          </w:rPr>
          <w:t>https://www.state.gov/foreign-terrorist-organizations/.</w:t>
        </w:r>
      </w:hyperlink>
      <w:r w:rsidR="3E0B5ACB" w:rsidRPr="6FC3E2E7">
        <w:rPr>
          <w:rFonts w:ascii="Times New Roman" w:eastAsia="Times New Roman" w:hAnsi="Times New Roman" w:cs="Times New Roman"/>
          <w:sz w:val="24"/>
          <w:szCs w:val="24"/>
        </w:rPr>
        <w:t xml:space="preserve">  </w:t>
      </w:r>
      <w:r w:rsidR="388E7F71" w:rsidRPr="6FC3E2E7">
        <w:rPr>
          <w:rFonts w:ascii="Times New Roman" w:eastAsia="Times New Roman" w:hAnsi="Times New Roman" w:cs="Times New Roman"/>
          <w:sz w:val="24"/>
          <w:szCs w:val="24"/>
        </w:rPr>
        <w:t>Project activities</w:t>
      </w:r>
      <w:r w:rsidR="3629EC1D" w:rsidRPr="6FC3E2E7">
        <w:rPr>
          <w:rFonts w:ascii="Times New Roman" w:eastAsia="Times New Roman" w:hAnsi="Times New Roman" w:cs="Times New Roman"/>
          <w:sz w:val="24"/>
          <w:szCs w:val="24"/>
        </w:rPr>
        <w:t xml:space="preserve"> whose direct beneficiaries are</w:t>
      </w:r>
      <w:r w:rsidR="388E7F71" w:rsidRPr="6FC3E2E7">
        <w:rPr>
          <w:rFonts w:ascii="Times New Roman" w:eastAsia="Times New Roman" w:hAnsi="Times New Roman" w:cs="Times New Roman"/>
          <w:sz w:val="24"/>
          <w:szCs w:val="24"/>
        </w:rPr>
        <w:t xml:space="preserve"> foreign militaries or paramilitary groups or individuals will not be considered for OES funding given purpose limitations on funding. </w:t>
      </w:r>
    </w:p>
    <w:p w14:paraId="31594137" w14:textId="77777777" w:rsidR="00290D8C" w:rsidRDefault="00290D8C" w:rsidP="0004508F">
      <w:pPr>
        <w:spacing w:after="0" w:line="240" w:lineRule="auto"/>
      </w:pPr>
    </w:p>
    <w:p w14:paraId="3E6FE582" w14:textId="59A7CB5E" w:rsidR="001B436C" w:rsidRPr="000B16EC" w:rsidRDefault="2D5A0C9C" w:rsidP="00A87EF2">
      <w:pPr>
        <w:spacing w:after="0" w:line="240" w:lineRule="auto"/>
        <w:rPr>
          <w:rFonts w:ascii="Times New Roman" w:eastAsia="Times New Roman" w:hAnsi="Times New Roman" w:cs="Times New Roman"/>
          <w:sz w:val="24"/>
          <w:szCs w:val="24"/>
        </w:rPr>
      </w:pPr>
      <w:r w:rsidRPr="6FC3E2E7">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7D55E127" w:rsidRPr="6FC3E2E7">
        <w:rPr>
          <w:rFonts w:ascii="Times New Roman" w:hAnsi="Times New Roman" w:cs="Times New Roman"/>
          <w:sz w:val="24"/>
          <w:szCs w:val="24"/>
        </w:rPr>
        <w:t xml:space="preserve">. </w:t>
      </w:r>
      <w:r w:rsidR="5C1CBC23" w:rsidRPr="6FC3E2E7">
        <w:rPr>
          <w:rFonts w:ascii="Times New Roman" w:hAnsi="Times New Roman" w:cs="Times New Roman"/>
          <w:sz w:val="24"/>
          <w:szCs w:val="24"/>
        </w:rPr>
        <w:t xml:space="preserve"> Per </w:t>
      </w:r>
      <w:hyperlink r:id="rId29">
        <w:r w:rsidR="5C1CBC23" w:rsidRPr="6FC3E2E7">
          <w:rPr>
            <w:rStyle w:val="Hyperlink"/>
            <w:rFonts w:ascii="Times New Roman" w:hAnsi="Times New Roman" w:cs="Times New Roman"/>
            <w:sz w:val="24"/>
            <w:szCs w:val="24"/>
          </w:rPr>
          <w:t>22 USC §2378d(a) (2017)</w:t>
        </w:r>
      </w:hyperlink>
      <w:r w:rsidR="5C1CBC23" w:rsidRPr="6FC3E2E7">
        <w:rPr>
          <w:rFonts w:ascii="Times New Roman" w:hAnsi="Times New Roman" w:cs="Times New Roman"/>
          <w:sz w:val="24"/>
          <w:szCs w:val="24"/>
        </w:rPr>
        <w:t>, “No a</w:t>
      </w:r>
      <w:r w:rsidRPr="6FC3E2E7">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6E9C7E26" w:rsidRPr="6FC3E2E7">
        <w:rPr>
          <w:rFonts w:ascii="Times New Roman" w:hAnsi="Times New Roman" w:cs="Times New Roman"/>
          <w:sz w:val="24"/>
          <w:szCs w:val="24"/>
        </w:rPr>
        <w:t xml:space="preserve"> </w:t>
      </w:r>
      <w:r w:rsidR="388E7F71" w:rsidRPr="6FC3E2E7">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6FC3E2E7">
        <w:rPr>
          <w:rFonts w:ascii="Times New Roman" w:eastAsia="Times New Roman" w:hAnsi="Times New Roman" w:cs="Times New Roman"/>
          <w:sz w:val="24"/>
          <w:szCs w:val="24"/>
        </w:rPr>
        <w:t xml:space="preserve"> </w:t>
      </w:r>
      <w:r w:rsidR="388E7F71" w:rsidRPr="6FC3E2E7">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28B4FADD" w:rsidRPr="6FC3E2E7">
        <w:rPr>
          <w:rFonts w:ascii="Times New Roman" w:eastAsia="Times New Roman" w:hAnsi="Times New Roman" w:cs="Times New Roman"/>
          <w:sz w:val="24"/>
          <w:szCs w:val="24"/>
        </w:rPr>
        <w:t xml:space="preserve"> </w:t>
      </w:r>
      <w:r w:rsidR="6E9C7E26" w:rsidRPr="6FC3E2E7">
        <w:rPr>
          <w:rFonts w:ascii="Times New Roman" w:eastAsia="Times New Roman" w:hAnsi="Times New Roman" w:cs="Times New Roman"/>
          <w:sz w:val="24"/>
          <w:szCs w:val="24"/>
        </w:rPr>
        <w:t xml:space="preserve"> </w:t>
      </w:r>
      <w:r w:rsidR="2574A8F9" w:rsidRPr="6FC3E2E7">
        <w:rPr>
          <w:rFonts w:ascii="Times New Roman" w:hAnsi="Times New Roman" w:cs="Times New Roman"/>
          <w:sz w:val="24"/>
          <w:szCs w:val="24"/>
        </w:rPr>
        <w:t>If a proposed grant or cooperative agreement will provide assistance to foreign security forces or personnel, compliance with the Leahy Law is required</w:t>
      </w:r>
      <w:r w:rsidR="7D55E127" w:rsidRPr="6FC3E2E7">
        <w:rPr>
          <w:rFonts w:ascii="Times New Roman" w:hAnsi="Times New Roman" w:cs="Times New Roman"/>
          <w:sz w:val="24"/>
          <w:szCs w:val="24"/>
        </w:rPr>
        <w:t>.</w:t>
      </w:r>
      <w:r w:rsidR="7D55E127" w:rsidRPr="6FC3E2E7">
        <w:rPr>
          <w:rFonts w:ascii="Times New Roman" w:eastAsia="Times New Roman" w:hAnsi="Times New Roman" w:cs="Times New Roman"/>
          <w:sz w:val="24"/>
          <w:szCs w:val="24"/>
        </w:rPr>
        <w:t xml:space="preserve"> </w:t>
      </w:r>
    </w:p>
    <w:p w14:paraId="14EF4742" w14:textId="3A593321" w:rsidR="0037796D" w:rsidRPr="002E593D" w:rsidRDefault="0037796D" w:rsidP="6FC3E2E7">
      <w:pPr>
        <w:spacing w:after="0" w:line="240" w:lineRule="auto"/>
        <w:rPr>
          <w:rFonts w:ascii="Times New Roman" w:eastAsia="Times New Roman" w:hAnsi="Times New Roman" w:cs="Times New Roman"/>
          <w:sz w:val="24"/>
          <w:szCs w:val="24"/>
        </w:rPr>
      </w:pPr>
    </w:p>
    <w:p w14:paraId="712FD6A5" w14:textId="6DF0A3DF" w:rsidR="00A87EF2" w:rsidRDefault="6258C295" w:rsidP="00DF521F">
      <w:pPr>
        <w:pStyle w:val="Default"/>
        <w:rPr>
          <w:rFonts w:eastAsia="Times New Roman"/>
        </w:rPr>
      </w:pPr>
      <w:r w:rsidRPr="6FC3E2E7">
        <w:rPr>
          <w:rFonts w:eastAsia="Times New Roman"/>
        </w:rPr>
        <w:t xml:space="preserve">Organizations should be cognizant of these restrictions when developing project proposals as these restrictions will require appropriate due diligence of program beneficiaries and collaboration with OES to ensure compliance with these restrictions.  Program beneficiaries </w:t>
      </w:r>
      <w:r w:rsidRPr="6FC3E2E7">
        <w:rPr>
          <w:rFonts w:eastAsia="Times New Roman"/>
        </w:rPr>
        <w:lastRenderedPageBreak/>
        <w:t xml:space="preserve">subject to due diligence vetting will include any individuals or entities that are beneficiaries of foreign assistance funding or support.  Due diligence vetting will include a review of </w:t>
      </w:r>
      <w:r w:rsidR="78D58DEF" w:rsidRPr="6FC3E2E7">
        <w:rPr>
          <w:rFonts w:eastAsia="Times New Roman"/>
        </w:rPr>
        <w:t>open-source</w:t>
      </w:r>
      <w:r w:rsidRPr="6FC3E2E7">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DE6A79" w:rsidRDefault="002607E8">
      <w:pPr>
        <w:spacing w:after="0" w:line="240" w:lineRule="auto"/>
        <w:rPr>
          <w:sz w:val="24"/>
          <w:szCs w:val="24"/>
        </w:rPr>
      </w:pPr>
      <w:r w:rsidRPr="00DE6A79">
        <w:rPr>
          <w:rFonts w:ascii="Times New Roman" w:eastAsia="Times New Roman" w:hAnsi="Times New Roman" w:cs="Times New Roman"/>
          <w:b/>
          <w:i/>
          <w:sz w:val="24"/>
          <w:szCs w:val="24"/>
        </w:rPr>
        <w:t xml:space="preserve">D.6 </w:t>
      </w:r>
      <w:r w:rsidR="00DE6A79" w:rsidRPr="00DE6A79">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30"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31"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32"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627AA383" w:rsidR="00290D8C" w:rsidRDefault="388E7F71">
      <w:pPr>
        <w:spacing w:after="0" w:line="240" w:lineRule="auto"/>
      </w:pPr>
      <w:r w:rsidRPr="6FC3E2E7">
        <w:rPr>
          <w:rFonts w:ascii="Times New Roman" w:eastAsia="Times New Roman" w:hAnsi="Times New Roman" w:cs="Times New Roman"/>
          <w:sz w:val="24"/>
          <w:szCs w:val="24"/>
        </w:rPr>
        <w:t xml:space="preserve">It is the responsibility of the applicant to ensure that it has an active registration in </w:t>
      </w:r>
      <w:r w:rsidR="3FEA5F33" w:rsidRPr="6FC3E2E7">
        <w:rPr>
          <w:rFonts w:ascii="Times New Roman" w:eastAsia="Times New Roman" w:hAnsi="Times New Roman" w:cs="Times New Roman"/>
          <w:sz w:val="24"/>
          <w:szCs w:val="24"/>
        </w:rPr>
        <w:t>SAMS Domestic</w:t>
      </w:r>
      <w:r w:rsidRPr="6FC3E2E7">
        <w:rPr>
          <w:rFonts w:ascii="Times New Roman" w:eastAsia="Times New Roman" w:hAnsi="Times New Roman" w:cs="Times New Roman"/>
          <w:sz w:val="24"/>
          <w:szCs w:val="24"/>
        </w:rPr>
        <w:t xml:space="preserve"> or Grants.gov</w:t>
      </w:r>
      <w:r w:rsidR="7D55E127" w:rsidRPr="6FC3E2E7">
        <w:rPr>
          <w:rFonts w:ascii="Times New Roman" w:eastAsia="Times New Roman" w:hAnsi="Times New Roman" w:cs="Times New Roman"/>
          <w:sz w:val="24"/>
          <w:szCs w:val="24"/>
        </w:rPr>
        <w:t xml:space="preserve">.  </w:t>
      </w:r>
      <w:r w:rsidR="316A0EEE" w:rsidRPr="6FC3E2E7">
        <w:rPr>
          <w:rFonts w:ascii="Times New Roman" w:eastAsia="Times New Roman" w:hAnsi="Times New Roman" w:cs="Times New Roman"/>
          <w:sz w:val="24"/>
          <w:szCs w:val="24"/>
        </w:rPr>
        <w:t>Applicants are required to document that the application has been received</w:t>
      </w:r>
      <w:r w:rsidRPr="6FC3E2E7">
        <w:rPr>
          <w:rFonts w:ascii="Times New Roman" w:eastAsia="Times New Roman" w:hAnsi="Times New Roman" w:cs="Times New Roman"/>
          <w:sz w:val="24"/>
          <w:szCs w:val="24"/>
        </w:rPr>
        <w:t xml:space="preserve"> by </w:t>
      </w:r>
      <w:r w:rsidR="3FEA5F33" w:rsidRPr="6FC3E2E7">
        <w:rPr>
          <w:rFonts w:ascii="Times New Roman" w:eastAsia="Times New Roman" w:hAnsi="Times New Roman" w:cs="Times New Roman"/>
          <w:sz w:val="24"/>
          <w:szCs w:val="24"/>
        </w:rPr>
        <w:t>SAMS Domestic</w:t>
      </w:r>
      <w:r w:rsidRPr="6FC3E2E7">
        <w:rPr>
          <w:rFonts w:ascii="Times New Roman" w:eastAsia="Times New Roman" w:hAnsi="Times New Roman" w:cs="Times New Roman"/>
          <w:sz w:val="24"/>
          <w:szCs w:val="24"/>
        </w:rPr>
        <w:t xml:space="preserve"> or Grants.gov in its entirety</w:t>
      </w:r>
      <w:r w:rsidR="7D55E127" w:rsidRPr="6FC3E2E7">
        <w:rPr>
          <w:rFonts w:ascii="Times New Roman" w:eastAsia="Times New Roman" w:hAnsi="Times New Roman" w:cs="Times New Roman"/>
          <w:sz w:val="24"/>
          <w:szCs w:val="24"/>
        </w:rPr>
        <w:t>.  OES</w:t>
      </w:r>
      <w:r w:rsidRPr="6FC3E2E7">
        <w:rPr>
          <w:rFonts w:ascii="Times New Roman" w:eastAsia="Times New Roman" w:hAnsi="Times New Roman" w:cs="Times New Roman"/>
          <w:sz w:val="24"/>
          <w:szCs w:val="24"/>
        </w:rPr>
        <w:t xml:space="preserve"> bears no responsibility for </w:t>
      </w:r>
      <w:r w:rsidR="5E88F826" w:rsidRPr="6FC3E2E7">
        <w:rPr>
          <w:rFonts w:ascii="Times New Roman" w:eastAsia="Times New Roman" w:hAnsi="Times New Roman" w:cs="Times New Roman"/>
          <w:sz w:val="24"/>
          <w:szCs w:val="24"/>
        </w:rPr>
        <w:t xml:space="preserve">disqualification that result from </w:t>
      </w:r>
      <w:r w:rsidRPr="6FC3E2E7">
        <w:rPr>
          <w:rFonts w:ascii="Times New Roman" w:eastAsia="Times New Roman" w:hAnsi="Times New Roman" w:cs="Times New Roman"/>
          <w:sz w:val="24"/>
          <w:szCs w:val="24"/>
        </w:rPr>
        <w:t>applicants not being registered before the due date</w:t>
      </w:r>
      <w:r w:rsidR="5E88F826" w:rsidRPr="6FC3E2E7">
        <w:rPr>
          <w:rFonts w:ascii="Times New Roman" w:eastAsia="Times New Roman" w:hAnsi="Times New Roman" w:cs="Times New Roman"/>
          <w:sz w:val="24"/>
          <w:szCs w:val="24"/>
        </w:rPr>
        <w:t xml:space="preserve">, for system </w:t>
      </w:r>
      <w:r w:rsidRPr="6FC3E2E7">
        <w:rPr>
          <w:rFonts w:ascii="Times New Roman" w:eastAsia="Times New Roman" w:hAnsi="Times New Roman" w:cs="Times New Roman"/>
          <w:sz w:val="24"/>
          <w:szCs w:val="24"/>
        </w:rPr>
        <w:t>errors</w:t>
      </w:r>
      <w:r w:rsidR="5E88F826" w:rsidRPr="6FC3E2E7">
        <w:rPr>
          <w:rFonts w:ascii="Times New Roman" w:eastAsia="Times New Roman" w:hAnsi="Times New Roman" w:cs="Times New Roman"/>
          <w:sz w:val="24"/>
          <w:szCs w:val="24"/>
        </w:rPr>
        <w:t xml:space="preserve"> in either </w:t>
      </w:r>
      <w:r w:rsidR="3FEA5F33" w:rsidRPr="6FC3E2E7">
        <w:rPr>
          <w:rFonts w:ascii="Times New Roman" w:eastAsia="Times New Roman" w:hAnsi="Times New Roman" w:cs="Times New Roman"/>
          <w:sz w:val="24"/>
          <w:szCs w:val="24"/>
        </w:rPr>
        <w:t xml:space="preserve">SAMS Domestic </w:t>
      </w:r>
      <w:r w:rsidR="5E88F826" w:rsidRPr="6FC3E2E7">
        <w:rPr>
          <w:rFonts w:ascii="Times New Roman" w:eastAsia="Times New Roman" w:hAnsi="Times New Roman" w:cs="Times New Roman"/>
          <w:sz w:val="24"/>
          <w:szCs w:val="24"/>
        </w:rPr>
        <w:t>or Grants.gov, or other errors in the application process</w:t>
      </w:r>
      <w:r w:rsidRPr="6FC3E2E7">
        <w:rPr>
          <w:rFonts w:ascii="Times New Roman" w:eastAsia="Times New Roman" w:hAnsi="Times New Roman" w:cs="Times New Roman"/>
          <w:sz w:val="24"/>
          <w:szCs w:val="24"/>
        </w:rPr>
        <w:t xml:space="preserve">. </w:t>
      </w:r>
      <w:r w:rsidR="3629EC1D" w:rsidRPr="6FC3E2E7">
        <w:rPr>
          <w:rFonts w:ascii="Times New Roman" w:eastAsia="Times New Roman" w:hAnsi="Times New Roman" w:cs="Times New Roman"/>
          <w:sz w:val="24"/>
          <w:szCs w:val="24"/>
        </w:rPr>
        <w:t>Additionally</w:t>
      </w:r>
      <w:r w:rsidR="11EDE991" w:rsidRPr="6FC3E2E7">
        <w:rPr>
          <w:rFonts w:ascii="Times New Roman" w:eastAsia="Times New Roman" w:hAnsi="Times New Roman" w:cs="Times New Roman"/>
          <w:sz w:val="24"/>
          <w:szCs w:val="24"/>
        </w:rPr>
        <w:t>,</w:t>
      </w:r>
      <w:r w:rsidR="3629EC1D" w:rsidRPr="6FC3E2E7">
        <w:rPr>
          <w:rFonts w:ascii="Times New Roman" w:eastAsia="Times New Roman" w:hAnsi="Times New Roman" w:cs="Times New Roman"/>
          <w:sz w:val="24"/>
          <w:szCs w:val="24"/>
        </w:rPr>
        <w:t xml:space="preserve"> </w:t>
      </w:r>
      <w:r w:rsidR="11EDE991" w:rsidRPr="6FC3E2E7">
        <w:rPr>
          <w:rFonts w:ascii="Times New Roman" w:eastAsia="Times New Roman" w:hAnsi="Times New Roman" w:cs="Times New Roman"/>
          <w:sz w:val="24"/>
          <w:szCs w:val="24"/>
        </w:rPr>
        <w:t xml:space="preserve">applicants </w:t>
      </w:r>
      <w:r w:rsidR="3629EC1D" w:rsidRPr="6FC3E2E7">
        <w:rPr>
          <w:rFonts w:ascii="Times New Roman" w:eastAsia="Times New Roman" w:hAnsi="Times New Roman" w:cs="Times New Roman"/>
          <w:sz w:val="24"/>
          <w:szCs w:val="24"/>
          <w:u w:val="single"/>
        </w:rPr>
        <w:t>must</w:t>
      </w:r>
      <w:r w:rsidR="3629EC1D" w:rsidRPr="6FC3E2E7">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388E7F71">
      <w:pPr>
        <w:spacing w:after="0" w:line="240" w:lineRule="auto"/>
      </w:pPr>
      <w:r w:rsidRPr="6FC3E2E7">
        <w:rPr>
          <w:rFonts w:ascii="Times New Roman" w:eastAsia="Times New Roman" w:hAnsi="Times New Roman" w:cs="Times New Roman"/>
          <w:sz w:val="24"/>
          <w:szCs w:val="24"/>
        </w:rPr>
        <w:t xml:space="preserve">Faxed, couriered, or emailed documents will </w:t>
      </w:r>
      <w:r w:rsidRPr="6FC3E2E7">
        <w:rPr>
          <w:rFonts w:ascii="Times New Roman" w:eastAsia="Times New Roman" w:hAnsi="Times New Roman" w:cs="Times New Roman"/>
          <w:sz w:val="24"/>
          <w:szCs w:val="24"/>
          <w:u w:val="single"/>
        </w:rPr>
        <w:t>not</w:t>
      </w:r>
      <w:r w:rsidRPr="6FC3E2E7">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7D55E127"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 xml:space="preserve">Applicants must follow all formatting instructions in the applicable </w:t>
      </w:r>
      <w:r w:rsidR="5FB57421" w:rsidRPr="6FC3E2E7">
        <w:rPr>
          <w:rFonts w:ascii="Times New Roman" w:eastAsia="Times New Roman" w:hAnsi="Times New Roman" w:cs="Times New Roman"/>
          <w:sz w:val="24"/>
          <w:szCs w:val="24"/>
        </w:rPr>
        <w:t xml:space="preserve">NOFO </w:t>
      </w:r>
      <w:r w:rsidRPr="6FC3E2E7">
        <w:rPr>
          <w:rFonts w:ascii="Times New Roman" w:eastAsia="Times New Roman" w:hAnsi="Times New Roman" w:cs="Times New Roman"/>
          <w:sz w:val="24"/>
          <w:szCs w:val="24"/>
        </w:rPr>
        <w:t>and these instructions.</w:t>
      </w:r>
    </w:p>
    <w:p w14:paraId="5BB7006E" w14:textId="06511931" w:rsidR="6FC3E2E7" w:rsidRDefault="6FC3E2E7" w:rsidP="6FC3E2E7">
      <w:pPr>
        <w:spacing w:after="0" w:line="240" w:lineRule="auto"/>
        <w:rPr>
          <w:rFonts w:ascii="Times New Roman" w:eastAsia="Times New Roman" w:hAnsi="Times New Roman" w:cs="Times New Roman"/>
          <w:sz w:val="24"/>
          <w:szCs w:val="24"/>
        </w:rPr>
      </w:pPr>
    </w:p>
    <w:p w14:paraId="20249145" w14:textId="7F13C4BC" w:rsidR="00290D8C" w:rsidRDefault="6FC3E2E7" w:rsidP="6FC3E2E7">
      <w:pPr>
        <w:spacing w:after="0" w:line="240" w:lineRule="auto"/>
        <w:rPr>
          <w:rFonts w:ascii="Times New Roman" w:eastAsia="Times New Roman" w:hAnsi="Times New Roman" w:cs="Times New Roman"/>
          <w:color w:val="252525"/>
          <w:sz w:val="24"/>
          <w:szCs w:val="24"/>
        </w:rPr>
      </w:pPr>
      <w:r w:rsidRPr="6FC3E2E7">
        <w:rPr>
          <w:rFonts w:ascii="Times New Roman" w:eastAsia="Times New Roman" w:hAnsi="Times New Roman" w:cs="Times New Roman"/>
          <w:color w:val="auto"/>
          <w:sz w:val="24"/>
          <w:szCs w:val="24"/>
        </w:rPr>
        <w:t xml:space="preserve">OES </w:t>
      </w:r>
      <w:r w:rsidR="388E7F71" w:rsidRPr="6FC3E2E7">
        <w:rPr>
          <w:rFonts w:ascii="Times New Roman" w:eastAsia="Times New Roman" w:hAnsi="Times New Roman" w:cs="Times New Roman"/>
          <w:color w:val="auto"/>
          <w:sz w:val="24"/>
          <w:szCs w:val="24"/>
        </w:rPr>
        <w:t xml:space="preserve">encourages organizations to </w:t>
      </w:r>
      <w:r w:rsidR="388E7F71" w:rsidRPr="6FC3E2E7">
        <w:rPr>
          <w:rFonts w:ascii="Times New Roman" w:eastAsia="Times New Roman" w:hAnsi="Times New Roman" w:cs="Times New Roman"/>
          <w:b/>
          <w:bCs/>
          <w:color w:val="auto"/>
          <w:sz w:val="24"/>
          <w:szCs w:val="24"/>
          <w:u w:val="single"/>
        </w:rPr>
        <w:t>submit applications during normal business hours</w:t>
      </w:r>
      <w:r w:rsidR="388E7F71" w:rsidRPr="6FC3E2E7">
        <w:rPr>
          <w:rFonts w:ascii="Times New Roman" w:eastAsia="Times New Roman" w:hAnsi="Times New Roman" w:cs="Times New Roman"/>
          <w:color w:val="auto"/>
          <w:sz w:val="24"/>
          <w:szCs w:val="24"/>
        </w:rPr>
        <w:t xml:space="preserve"> (Monday – Friday, 9:00AM</w:t>
      </w:r>
      <w:r w:rsidR="11EDE991" w:rsidRPr="6FC3E2E7">
        <w:rPr>
          <w:rFonts w:ascii="Times New Roman" w:eastAsia="Times New Roman" w:hAnsi="Times New Roman" w:cs="Times New Roman"/>
          <w:color w:val="auto"/>
          <w:sz w:val="24"/>
          <w:szCs w:val="24"/>
        </w:rPr>
        <w:t>-</w:t>
      </w:r>
      <w:r w:rsidR="388E7F71" w:rsidRPr="6FC3E2E7">
        <w:rPr>
          <w:rFonts w:ascii="Times New Roman" w:eastAsia="Times New Roman" w:hAnsi="Times New Roman" w:cs="Times New Roman"/>
          <w:color w:val="auto"/>
          <w:sz w:val="24"/>
          <w:szCs w:val="24"/>
        </w:rPr>
        <w:t>5:</w:t>
      </w:r>
      <w:r w:rsidR="6E9C7E26" w:rsidRPr="6FC3E2E7">
        <w:rPr>
          <w:rFonts w:ascii="Times New Roman" w:eastAsia="Times New Roman" w:hAnsi="Times New Roman" w:cs="Times New Roman"/>
          <w:color w:val="auto"/>
          <w:sz w:val="24"/>
          <w:szCs w:val="24"/>
        </w:rPr>
        <w:t>00</w:t>
      </w:r>
      <w:r w:rsidR="70431387" w:rsidRPr="6FC3E2E7">
        <w:rPr>
          <w:rFonts w:ascii="Times New Roman" w:eastAsia="Times New Roman" w:hAnsi="Times New Roman" w:cs="Times New Roman"/>
          <w:color w:val="auto"/>
          <w:sz w:val="24"/>
          <w:szCs w:val="24"/>
        </w:rPr>
        <w:t>PM</w:t>
      </w:r>
      <w:r w:rsidR="6E9C7E26" w:rsidRPr="6FC3E2E7">
        <w:rPr>
          <w:rFonts w:ascii="Times New Roman" w:eastAsia="Times New Roman" w:hAnsi="Times New Roman" w:cs="Times New Roman"/>
          <w:color w:val="auto"/>
          <w:sz w:val="24"/>
          <w:szCs w:val="24"/>
        </w:rPr>
        <w:t xml:space="preserve"> Eastern Standard Time (EST)</w:t>
      </w:r>
      <w:r w:rsidR="388E7F71" w:rsidRPr="6FC3E2E7">
        <w:rPr>
          <w:rFonts w:ascii="Times New Roman" w:eastAsia="Times New Roman" w:hAnsi="Times New Roman" w:cs="Times New Roman"/>
          <w:color w:val="auto"/>
          <w:sz w:val="24"/>
          <w:szCs w:val="24"/>
        </w:rPr>
        <w:t>)</w:t>
      </w:r>
      <w:r w:rsidR="7D55E127" w:rsidRPr="6FC3E2E7">
        <w:rPr>
          <w:rFonts w:ascii="Times New Roman" w:eastAsia="Times New Roman" w:hAnsi="Times New Roman" w:cs="Times New Roman"/>
          <w:color w:val="auto"/>
          <w:sz w:val="24"/>
          <w:szCs w:val="24"/>
        </w:rPr>
        <w:t xml:space="preserve">.  </w:t>
      </w:r>
      <w:r w:rsidR="388E7F71" w:rsidRPr="6FC3E2E7">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sidR="1C5D5A5C" w:rsidRPr="6FC3E2E7">
        <w:rPr>
          <w:rFonts w:ascii="Times New Roman" w:eastAsia="Times New Roman" w:hAnsi="Times New Roman" w:cs="Times New Roman"/>
          <w:color w:val="auto"/>
          <w:sz w:val="24"/>
          <w:szCs w:val="24"/>
        </w:rPr>
        <w:t xml:space="preserve">OES </w:t>
      </w:r>
      <w:r w:rsidR="388E7F71" w:rsidRPr="6FC3E2E7">
        <w:rPr>
          <w:rFonts w:ascii="Times New Roman" w:eastAsia="Times New Roman" w:hAnsi="Times New Roman" w:cs="Times New Roman"/>
          <w:color w:val="auto"/>
          <w:sz w:val="24"/>
          <w:szCs w:val="24"/>
        </w:rPr>
        <w:t xml:space="preserve">point of contact listed in the NOFO in </w:t>
      </w:r>
      <w:r w:rsidR="6E9C7E26" w:rsidRPr="6FC3E2E7">
        <w:rPr>
          <w:rFonts w:ascii="Times New Roman" w:eastAsia="Times New Roman" w:hAnsi="Times New Roman" w:cs="Times New Roman"/>
          <w:color w:val="auto"/>
          <w:sz w:val="24"/>
          <w:szCs w:val="24"/>
        </w:rPr>
        <w:t>S</w:t>
      </w:r>
      <w:r w:rsidR="388E7F71" w:rsidRPr="6FC3E2E7">
        <w:rPr>
          <w:rFonts w:ascii="Times New Roman" w:eastAsia="Times New Roman" w:hAnsi="Times New Roman" w:cs="Times New Roman"/>
          <w:color w:val="auto"/>
          <w:sz w:val="24"/>
          <w:szCs w:val="24"/>
        </w:rPr>
        <w:t>ection G.  The point of contact may assist in contacting the appropriate helpdesk</w:t>
      </w:r>
      <w:r w:rsidR="3E9A1A5B" w:rsidRPr="6FC3E2E7">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33"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34"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lastRenderedPageBreak/>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5"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37E82F89" w:rsidR="00EF2EA8" w:rsidRPr="00EF2EA8" w:rsidRDefault="388E7F71" w:rsidP="00001461">
      <w:pPr>
        <w:pStyle w:val="NoSpacing"/>
        <w:rPr>
          <w:rFonts w:ascii="Times New Roman" w:hAnsi="Times New Roman" w:cs="Times New Roman"/>
          <w:sz w:val="24"/>
          <w:szCs w:val="24"/>
        </w:rPr>
      </w:pPr>
      <w:r w:rsidRPr="6FC3E2E7">
        <w:rPr>
          <w:rFonts w:ascii="Times New Roman" w:eastAsia="Times New Roman" w:hAnsi="Times New Roman" w:cs="Times New Roman"/>
          <w:sz w:val="24"/>
          <w:szCs w:val="24"/>
        </w:rPr>
        <w:t xml:space="preserve">For assistance with Grants.gov, please call the Contact Center at </w:t>
      </w:r>
      <w:r w:rsidR="4032C1D5" w:rsidRPr="6FC3E2E7">
        <w:rPr>
          <w:rFonts w:ascii="Times New Roman" w:eastAsia="Times New Roman" w:hAnsi="Times New Roman" w:cs="Times New Roman"/>
          <w:sz w:val="24"/>
          <w:szCs w:val="24"/>
        </w:rPr>
        <w:t>+1 (</w:t>
      </w:r>
      <w:r w:rsidRPr="6FC3E2E7">
        <w:rPr>
          <w:rFonts w:ascii="Times New Roman" w:eastAsia="Times New Roman" w:hAnsi="Times New Roman" w:cs="Times New Roman"/>
          <w:sz w:val="24"/>
          <w:szCs w:val="24"/>
        </w:rPr>
        <w:t>800</w:t>
      </w:r>
      <w:r w:rsidR="4032C1D5"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sz w:val="24"/>
          <w:szCs w:val="24"/>
        </w:rPr>
        <w:t xml:space="preserve">518-4726 or email </w:t>
      </w:r>
      <w:hyperlink r:id="rId36">
        <w:r w:rsidR="25E104C1" w:rsidRPr="6FC3E2E7">
          <w:rPr>
            <w:rStyle w:val="Hyperlink"/>
            <w:rFonts w:ascii="Times New Roman" w:hAnsi="Times New Roman" w:cs="Times New Roman"/>
            <w:sz w:val="24"/>
            <w:szCs w:val="24"/>
          </w:rPr>
          <w:t>support@grants.gov</w:t>
        </w:r>
      </w:hyperlink>
      <w:r w:rsidRPr="6FC3E2E7">
        <w:rPr>
          <w:rFonts w:ascii="Times New Roman" w:eastAsia="Times New Roman" w:hAnsi="Times New Roman" w:cs="Times New Roman"/>
          <w:color w:val="auto"/>
          <w:sz w:val="24"/>
          <w:szCs w:val="24"/>
        </w:rPr>
        <w:t xml:space="preserve">.  </w:t>
      </w:r>
      <w:r w:rsidRPr="6FC3E2E7">
        <w:rPr>
          <w:rFonts w:ascii="Times New Roman" w:eastAsia="Times New Roman" w:hAnsi="Times New Roman" w:cs="Times New Roman"/>
          <w:sz w:val="24"/>
          <w:szCs w:val="24"/>
        </w:rPr>
        <w:t>The Contact Center is available 24 hours a day, seven days a week, except federal holidays.</w:t>
      </w:r>
      <w:r w:rsidR="002607E8">
        <w:br/>
      </w:r>
      <w:r w:rsidR="002607E8">
        <w:br/>
      </w:r>
      <w:r w:rsidR="6010032A" w:rsidRPr="6FC3E2E7">
        <w:rPr>
          <w:rFonts w:ascii="Times New Roman" w:hAnsi="Times New Roman" w:cs="Times New Roman"/>
          <w:sz w:val="24"/>
          <w:szCs w:val="24"/>
        </w:rPr>
        <w:t>See</w:t>
      </w:r>
      <w:r w:rsidR="55711B3C" w:rsidRPr="6FC3E2E7">
        <w:rPr>
          <w:rFonts w:ascii="Times New Roman" w:hAnsi="Times New Roman" w:cs="Times New Roman"/>
          <w:sz w:val="24"/>
          <w:szCs w:val="24"/>
        </w:rPr>
        <w:t xml:space="preserve"> </w:t>
      </w:r>
      <w:hyperlink r:id="rId37">
        <w:r w:rsidR="55711B3C" w:rsidRPr="6FC3E2E7">
          <w:rPr>
            <w:rStyle w:val="Hyperlink"/>
            <w:rFonts w:ascii="Times New Roman" w:hAnsi="Times New Roman" w:cs="Times New Roman"/>
            <w:sz w:val="24"/>
            <w:szCs w:val="24"/>
          </w:rPr>
          <w:t>https://www.opm.gov/policy-data-oversight/pay-leave/federal-holidays/</w:t>
        </w:r>
      </w:hyperlink>
      <w:r w:rsidR="55711B3C" w:rsidRPr="6FC3E2E7">
        <w:rPr>
          <w:rFonts w:ascii="Times New Roman" w:hAnsi="Times New Roman" w:cs="Times New Roman"/>
          <w:sz w:val="24"/>
          <w:szCs w:val="24"/>
        </w:rPr>
        <w:t xml:space="preserve"> </w:t>
      </w:r>
      <w:r w:rsidR="6010032A" w:rsidRPr="6FC3E2E7">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388E7F71" w:rsidP="6FC3E2E7">
      <w:pPr>
        <w:pStyle w:val="NoSpacing"/>
        <w:rPr>
          <w:rFonts w:ascii="Times New Roman" w:hAnsi="Times New Roman" w:cs="Times New Roman"/>
          <w:b/>
          <w:bCs/>
          <w:color w:val="auto"/>
          <w:sz w:val="28"/>
          <w:szCs w:val="28"/>
          <w:u w:val="single"/>
        </w:rPr>
      </w:pPr>
      <w:r w:rsidRPr="6FC3E2E7">
        <w:rPr>
          <w:rFonts w:ascii="Times New Roman" w:eastAsia="Times New Roman" w:hAnsi="Times New Roman" w:cs="Times New Roman"/>
          <w:b/>
          <w:bCs/>
          <w:i/>
          <w:iCs/>
          <w:color w:val="auto"/>
          <w:sz w:val="24"/>
          <w:szCs w:val="24"/>
        </w:rPr>
        <w:t>E.1</w:t>
      </w:r>
      <w:r w:rsidR="3629EC1D" w:rsidRPr="6FC3E2E7">
        <w:rPr>
          <w:rFonts w:ascii="Times New Roman" w:eastAsia="Times New Roman" w:hAnsi="Times New Roman" w:cs="Times New Roman"/>
          <w:b/>
          <w:bCs/>
          <w:i/>
          <w:iCs/>
          <w:color w:val="auto"/>
          <w:sz w:val="24"/>
          <w:szCs w:val="24"/>
        </w:rPr>
        <w:t xml:space="preserve"> </w:t>
      </w:r>
      <w:r w:rsidR="5A101DCB" w:rsidRPr="6FC3E2E7">
        <w:rPr>
          <w:rFonts w:ascii="Times New Roman" w:eastAsia="Times New Roman" w:hAnsi="Times New Roman" w:cs="Times New Roman"/>
          <w:b/>
          <w:bCs/>
          <w:i/>
          <w:iCs/>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5AFFB2B3" w:rsidR="00290D8C" w:rsidRPr="00DE6A79" w:rsidRDefault="388E7F71" w:rsidP="00DE6A79">
      <w:pPr>
        <w:pStyle w:val="NoSpacing"/>
        <w:rPr>
          <w:rFonts w:ascii="Times New Roman" w:hAnsi="Times New Roman" w:cs="Times New Roman"/>
          <w:color w:val="auto"/>
          <w:sz w:val="24"/>
          <w:szCs w:val="24"/>
        </w:rPr>
      </w:pPr>
      <w:r w:rsidRPr="6FC3E2E7">
        <w:rPr>
          <w:rFonts w:ascii="Times New Roman" w:hAnsi="Times New Roman" w:cs="Times New Roman"/>
          <w:color w:val="auto"/>
          <w:sz w:val="24"/>
          <w:szCs w:val="24"/>
        </w:rPr>
        <w:t>The OES</w:t>
      </w:r>
      <w:r w:rsidR="189F30CC" w:rsidRPr="6FC3E2E7">
        <w:rPr>
          <w:rFonts w:ascii="Times New Roman" w:hAnsi="Times New Roman" w:cs="Times New Roman"/>
          <w:color w:val="auto"/>
          <w:sz w:val="24"/>
          <w:szCs w:val="24"/>
        </w:rPr>
        <w:t xml:space="preserve"> </w:t>
      </w:r>
      <w:r w:rsidR="42B24F00" w:rsidRPr="6FC3E2E7">
        <w:rPr>
          <w:rFonts w:ascii="Times New Roman" w:hAnsi="Times New Roman" w:cs="Times New Roman"/>
          <w:color w:val="auto"/>
          <w:sz w:val="24"/>
          <w:szCs w:val="24"/>
        </w:rPr>
        <w:t>r</w:t>
      </w:r>
      <w:r w:rsidR="189F30CC" w:rsidRPr="6FC3E2E7">
        <w:rPr>
          <w:rFonts w:ascii="Times New Roman" w:hAnsi="Times New Roman" w:cs="Times New Roman"/>
          <w:color w:val="auto"/>
          <w:sz w:val="24"/>
          <w:szCs w:val="24"/>
        </w:rPr>
        <w:t xml:space="preserve">eview </w:t>
      </w:r>
      <w:r w:rsidR="42B24F00" w:rsidRPr="6FC3E2E7">
        <w:rPr>
          <w:rFonts w:ascii="Times New Roman" w:hAnsi="Times New Roman" w:cs="Times New Roman"/>
          <w:color w:val="auto"/>
          <w:sz w:val="24"/>
          <w:szCs w:val="24"/>
        </w:rPr>
        <w:t>p</w:t>
      </w:r>
      <w:r w:rsidRPr="6FC3E2E7">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7D55E127" w:rsidRPr="6FC3E2E7">
        <w:rPr>
          <w:rFonts w:ascii="Times New Roman" w:hAnsi="Times New Roman" w:cs="Times New Roman"/>
          <w:color w:val="auto"/>
          <w:sz w:val="24"/>
          <w:szCs w:val="24"/>
        </w:rPr>
        <w:t xml:space="preserve">.  </w:t>
      </w:r>
      <w:r w:rsidRPr="6FC3E2E7">
        <w:rPr>
          <w:rFonts w:ascii="Times New Roman" w:hAnsi="Times New Roman" w:cs="Times New Roman"/>
          <w:color w:val="auto"/>
          <w:sz w:val="24"/>
          <w:szCs w:val="24"/>
        </w:rPr>
        <w:t>Please use the below criteria as a reference</w:t>
      </w:r>
      <w:r w:rsidR="1EBE4B25" w:rsidRPr="6FC3E2E7">
        <w:rPr>
          <w:rFonts w:ascii="Times New Roman" w:hAnsi="Times New Roman" w:cs="Times New Roman"/>
          <w:color w:val="auto"/>
          <w:sz w:val="24"/>
          <w:szCs w:val="24"/>
        </w:rPr>
        <w:t>,</w:t>
      </w:r>
      <w:r w:rsidRPr="6FC3E2E7">
        <w:rPr>
          <w:rFonts w:ascii="Times New Roman" w:hAnsi="Times New Roman" w:cs="Times New Roman"/>
          <w:color w:val="auto"/>
          <w:sz w:val="24"/>
          <w:szCs w:val="24"/>
        </w:rPr>
        <w:t xml:space="preserve"> but </w:t>
      </w:r>
      <w:r w:rsidRPr="6FC3E2E7">
        <w:rPr>
          <w:rFonts w:ascii="Times New Roman" w:hAnsi="Times New Roman" w:cs="Times New Roman"/>
          <w:b/>
          <w:bCs/>
          <w:color w:val="auto"/>
          <w:sz w:val="24"/>
          <w:szCs w:val="24"/>
        </w:rPr>
        <w:t>do not structure your application according to the sub-sections</w:t>
      </w:r>
      <w:r w:rsidRPr="6FC3E2E7">
        <w:rPr>
          <w:rFonts w:ascii="Times New Roman" w:hAnsi="Times New Roman" w:cs="Times New Roman"/>
          <w:color w:val="auto"/>
          <w:sz w:val="24"/>
          <w:szCs w:val="24"/>
        </w:rPr>
        <w:t>.</w:t>
      </w:r>
    </w:p>
    <w:p w14:paraId="10B8E9BC" w14:textId="77777777" w:rsidR="0068622D" w:rsidRPr="00DE6A79" w:rsidRDefault="0068622D" w:rsidP="00DE6A79">
      <w:pPr>
        <w:pStyle w:val="NoSpacing"/>
        <w:rPr>
          <w:rFonts w:ascii="Times New Roman" w:hAnsi="Times New Roman" w:cs="Times New Roman"/>
          <w:color w:val="auto"/>
          <w:sz w:val="24"/>
          <w:szCs w:val="24"/>
          <w:u w:val="single"/>
        </w:rPr>
      </w:pPr>
    </w:p>
    <w:p w14:paraId="6F90D71B" w14:textId="6BD2AD59" w:rsidR="00881E02" w:rsidRPr="00731219" w:rsidRDefault="0D81883A"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 xml:space="preserve">Quality and Program </w:t>
      </w:r>
      <w:r w:rsidR="634C4122" w:rsidRPr="6FC3E2E7">
        <w:rPr>
          <w:rFonts w:ascii="Times New Roman" w:eastAsia="Times New Roman" w:hAnsi="Times New Roman" w:cs="Times New Roman"/>
          <w:b/>
          <w:bCs/>
          <w:sz w:val="24"/>
          <w:szCs w:val="24"/>
        </w:rPr>
        <w:t>Design</w:t>
      </w:r>
      <w:r w:rsidRPr="6FC3E2E7">
        <w:rPr>
          <w:rFonts w:ascii="Times New Roman" w:eastAsia="Times New Roman" w:hAnsi="Times New Roman" w:cs="Times New Roman"/>
          <w:sz w:val="24"/>
          <w:szCs w:val="24"/>
        </w:rPr>
        <w:t xml:space="preserve"> </w:t>
      </w:r>
      <w:r w:rsidRPr="6FC3E2E7">
        <w:rPr>
          <w:rFonts w:ascii="Times New Roman" w:eastAsia="Times New Roman" w:hAnsi="Times New Roman" w:cs="Times New Roman"/>
          <w:b/>
          <w:bCs/>
          <w:sz w:val="24"/>
          <w:szCs w:val="24"/>
        </w:rPr>
        <w:t>– 20 points:</w:t>
      </w:r>
      <w:r w:rsidRPr="6FC3E2E7">
        <w:rPr>
          <w:rFonts w:ascii="Times New Roman" w:eastAsia="Times New Roman" w:hAnsi="Times New Roman" w:cs="Times New Roman"/>
          <w:sz w:val="24"/>
          <w:szCs w:val="24"/>
        </w:rPr>
        <w:t xml:space="preserve">  The program idea is well developed</w:t>
      </w:r>
      <w:r w:rsidR="55F935D4" w:rsidRPr="6FC3E2E7">
        <w:rPr>
          <w:rFonts w:ascii="Times New Roman" w:eastAsia="Times New Roman" w:hAnsi="Times New Roman" w:cs="Times New Roman"/>
          <w:sz w:val="24"/>
          <w:szCs w:val="24"/>
        </w:rPr>
        <w:t xml:space="preserve"> and responsive to the policy and program objective of the NOFO.  T</w:t>
      </w:r>
      <w:r w:rsidR="55F935D4" w:rsidRPr="6FC3E2E7">
        <w:rPr>
          <w:rFonts w:ascii="Times New Roman" w:hAnsi="Times New Roman" w:cs="Times New Roman"/>
          <w:color w:val="auto"/>
          <w:sz w:val="24"/>
          <w:szCs w:val="24"/>
        </w:rPr>
        <w:t>he applicant describes the project’s potential contribution to solving the problem addressed in the problem statement</w:t>
      </w:r>
      <w:r w:rsidR="634C4122" w:rsidRPr="6FC3E2E7">
        <w:rPr>
          <w:rFonts w:ascii="Times New Roman" w:hAnsi="Times New Roman" w:cs="Times New Roman"/>
          <w:color w:val="auto"/>
          <w:sz w:val="24"/>
          <w:szCs w:val="24"/>
        </w:rPr>
        <w:t>.  The application clearly defines the problem</w:t>
      </w:r>
      <w:r w:rsidR="311060D8" w:rsidRPr="6FC3E2E7">
        <w:rPr>
          <w:rFonts w:ascii="Times New Roman" w:hAnsi="Times New Roman" w:cs="Times New Roman"/>
          <w:color w:val="auto"/>
          <w:sz w:val="24"/>
          <w:szCs w:val="24"/>
        </w:rPr>
        <w:t>;</w:t>
      </w:r>
      <w:r w:rsidR="634C4122" w:rsidRPr="6FC3E2E7">
        <w:rPr>
          <w:rFonts w:ascii="Times New Roman" w:hAnsi="Times New Roman" w:cs="Times New Roman"/>
          <w:color w:val="auto"/>
          <w:sz w:val="24"/>
          <w:szCs w:val="24"/>
        </w:rPr>
        <w:t xml:space="preserve"> it’s causes</w:t>
      </w:r>
      <w:r w:rsidR="311060D8" w:rsidRPr="6FC3E2E7">
        <w:rPr>
          <w:rFonts w:ascii="Times New Roman" w:hAnsi="Times New Roman" w:cs="Times New Roman"/>
          <w:color w:val="auto"/>
          <w:sz w:val="24"/>
          <w:szCs w:val="24"/>
        </w:rPr>
        <w:t>;</w:t>
      </w:r>
      <w:r w:rsidR="634C4122" w:rsidRPr="6FC3E2E7">
        <w:rPr>
          <w:rFonts w:ascii="Times New Roman" w:hAnsi="Times New Roman" w:cs="Times New Roman"/>
          <w:color w:val="auto"/>
          <w:sz w:val="24"/>
          <w:szCs w:val="24"/>
        </w:rPr>
        <w:t xml:space="preserve"> stakeholders</w:t>
      </w:r>
      <w:r w:rsidR="311060D8" w:rsidRPr="6FC3E2E7">
        <w:rPr>
          <w:rFonts w:ascii="Times New Roman" w:hAnsi="Times New Roman" w:cs="Times New Roman"/>
          <w:color w:val="auto"/>
          <w:sz w:val="24"/>
          <w:szCs w:val="24"/>
        </w:rPr>
        <w:t>;</w:t>
      </w:r>
      <w:r w:rsidR="634C4122" w:rsidRPr="6FC3E2E7">
        <w:rPr>
          <w:rFonts w:ascii="Times New Roman" w:hAnsi="Times New Roman" w:cs="Times New Roman"/>
          <w:color w:val="auto"/>
          <w:sz w:val="24"/>
          <w:szCs w:val="24"/>
        </w:rPr>
        <w:t xml:space="preserve"> and </w:t>
      </w:r>
      <w:r w:rsidR="311060D8" w:rsidRPr="6FC3E2E7">
        <w:rPr>
          <w:rFonts w:ascii="Times New Roman" w:hAnsi="Times New Roman" w:cs="Times New Roman"/>
          <w:color w:val="auto"/>
          <w:sz w:val="24"/>
          <w:szCs w:val="24"/>
        </w:rPr>
        <w:t xml:space="preserve">existing research/data; the approach taken to solve the problem; </w:t>
      </w:r>
      <w:r w:rsidR="55F935D4" w:rsidRPr="6FC3E2E7">
        <w:rPr>
          <w:rFonts w:ascii="Times New Roman" w:eastAsia="Times New Roman" w:hAnsi="Times New Roman" w:cs="Times New Roman"/>
          <w:sz w:val="24"/>
          <w:szCs w:val="24"/>
        </w:rPr>
        <w:t>realistic milestones to indicate progress</w:t>
      </w:r>
      <w:r w:rsidRPr="6FC3E2E7">
        <w:rPr>
          <w:rFonts w:ascii="Times New Roman" w:eastAsia="Times New Roman" w:hAnsi="Times New Roman" w:cs="Times New Roman"/>
          <w:sz w:val="24"/>
          <w:szCs w:val="24"/>
        </w:rPr>
        <w:t xml:space="preserve">. </w:t>
      </w:r>
    </w:p>
    <w:p w14:paraId="22991AA6" w14:textId="3EAE0F6A" w:rsidR="00881E02" w:rsidRPr="00731219" w:rsidRDefault="0D81883A"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Organizational Capacity</w:t>
      </w:r>
      <w:r w:rsidR="15027EF6"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b/>
          <w:bCs/>
          <w:sz w:val="24"/>
          <w:szCs w:val="24"/>
        </w:rPr>
        <w:t>– 20 points:</w:t>
      </w:r>
      <w:r w:rsidRPr="6FC3E2E7">
        <w:rPr>
          <w:rFonts w:ascii="Times New Roman" w:eastAsia="Times New Roman" w:hAnsi="Times New Roman" w:cs="Times New Roman"/>
          <w:sz w:val="24"/>
          <w:szCs w:val="24"/>
        </w:rPr>
        <w:t xml:space="preserve"> </w:t>
      </w:r>
      <w:r w:rsidR="55F935D4" w:rsidRPr="6FC3E2E7">
        <w:rPr>
          <w:rFonts w:ascii="Times New Roman" w:hAnsi="Times New Roman" w:cs="Times New Roman"/>
          <w:color w:val="auto"/>
          <w:sz w:val="24"/>
          <w:szCs w:val="24"/>
        </w:rPr>
        <w:t>The applicant demonstrates an institutional record of successful pro</w:t>
      </w:r>
      <w:r w:rsidR="15027EF6" w:rsidRPr="6FC3E2E7">
        <w:rPr>
          <w:rFonts w:ascii="Times New Roman" w:hAnsi="Times New Roman" w:cs="Times New Roman"/>
          <w:color w:val="auto"/>
          <w:sz w:val="24"/>
          <w:szCs w:val="24"/>
        </w:rPr>
        <w:t>jects</w:t>
      </w:r>
      <w:r w:rsidR="55F935D4" w:rsidRPr="6FC3E2E7">
        <w:rPr>
          <w:rFonts w:ascii="Times New Roman" w:hAnsi="Times New Roman" w:cs="Times New Roman"/>
          <w:color w:val="auto"/>
          <w:sz w:val="24"/>
          <w:szCs w:val="24"/>
        </w:rPr>
        <w:t xml:space="preserve"> in the content area proposed</w:t>
      </w:r>
      <w:r w:rsidR="55F935D4" w:rsidRPr="6FC3E2E7">
        <w:rPr>
          <w:rFonts w:ascii="Times New Roman" w:eastAsia="Times New Roman" w:hAnsi="Times New Roman" w:cs="Times New Roman"/>
          <w:sz w:val="24"/>
          <w:szCs w:val="24"/>
        </w:rPr>
        <w:t xml:space="preserve">.  </w:t>
      </w:r>
      <w:r w:rsidR="15027EF6" w:rsidRPr="6FC3E2E7">
        <w:rPr>
          <w:rFonts w:ascii="Times New Roman" w:hAnsi="Times New Roman" w:cs="Times New Roman"/>
          <w:color w:val="auto"/>
          <w:sz w:val="24"/>
          <w:szCs w:val="24"/>
        </w:rPr>
        <w:t xml:space="preserve">The applicant demonstrates experience (e.g., has previously worked and/or has established contacts/partners) in the proposed country/territory/region.  </w:t>
      </w:r>
      <w:r w:rsidRPr="6FC3E2E7">
        <w:rPr>
          <w:rFonts w:ascii="Times New Roman" w:eastAsia="Times New Roman" w:hAnsi="Times New Roman" w:cs="Times New Roman"/>
          <w:sz w:val="24"/>
          <w:szCs w:val="24"/>
        </w:rPr>
        <w:t>The organization has expertise in its stated field and has</w:t>
      </w:r>
      <w:r w:rsidR="15027EF6" w:rsidRPr="6FC3E2E7">
        <w:rPr>
          <w:rFonts w:ascii="Times New Roman" w:hAnsi="Times New Roman" w:cs="Times New Roman"/>
          <w:color w:val="auto"/>
          <w:sz w:val="24"/>
          <w:szCs w:val="24"/>
        </w:rPr>
        <w:t xml:space="preserve"> adequate staffing to manage the proposed project.  </w:t>
      </w:r>
      <w:r w:rsidR="15027EF6" w:rsidRPr="6FC3E2E7">
        <w:rPr>
          <w:rFonts w:ascii="Times New Roman" w:eastAsia="Times New Roman" w:hAnsi="Times New Roman" w:cs="Times New Roman"/>
          <w:sz w:val="24"/>
          <w:szCs w:val="24"/>
        </w:rPr>
        <w:t xml:space="preserve">The applicant </w:t>
      </w:r>
      <w:r w:rsidR="15027EF6" w:rsidRPr="6FC3E2E7">
        <w:rPr>
          <w:rFonts w:ascii="Times New Roman" w:hAnsi="Times New Roman" w:cs="Times New Roman"/>
          <w:color w:val="auto"/>
          <w:sz w:val="24"/>
          <w:szCs w:val="24"/>
        </w:rPr>
        <w:t xml:space="preserve">demonstrates capacity for responsible fiscal management of donor funding (e.g., successful management of a previous grant or sub-award). </w:t>
      </w:r>
    </w:p>
    <w:p w14:paraId="66A02540" w14:textId="77777777" w:rsidR="00881E02" w:rsidRPr="00731219" w:rsidRDefault="00881E02" w:rsidP="00881E02">
      <w:pPr>
        <w:shd w:val="clear" w:color="auto" w:fill="FFFFFF"/>
        <w:spacing w:after="0" w:line="240" w:lineRule="auto"/>
        <w:textAlignment w:val="baseline"/>
        <w:rPr>
          <w:rFonts w:ascii="Times New Roman" w:eastAsia="Times New Roman" w:hAnsi="Times New Roman" w:cs="Times New Roman"/>
          <w:sz w:val="24"/>
          <w:szCs w:val="24"/>
        </w:rPr>
      </w:pPr>
    </w:p>
    <w:p w14:paraId="28C1E503" w14:textId="222F8AFB" w:rsidR="00881E02" w:rsidRPr="00731219" w:rsidRDefault="0D81883A" w:rsidP="6FC3E2E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lastRenderedPageBreak/>
        <w:t>Program Planning/Ability to Achieve Objectives – 15 points:</w:t>
      </w:r>
      <w:r w:rsidRPr="6FC3E2E7">
        <w:rPr>
          <w:rFonts w:ascii="Times New Roman" w:eastAsia="Times New Roman" w:hAnsi="Times New Roman" w:cs="Times New Roman"/>
          <w:sz w:val="24"/>
          <w:szCs w:val="24"/>
        </w:rPr>
        <w:t xml:space="preserve"> Goals and objectives are clearly stated and pro</w:t>
      </w:r>
      <w:r w:rsidR="15027EF6" w:rsidRPr="6FC3E2E7">
        <w:rPr>
          <w:rFonts w:ascii="Times New Roman" w:eastAsia="Times New Roman" w:hAnsi="Times New Roman" w:cs="Times New Roman"/>
          <w:sz w:val="24"/>
          <w:szCs w:val="24"/>
        </w:rPr>
        <w:t>ject</w:t>
      </w:r>
      <w:r w:rsidRPr="6FC3E2E7">
        <w:rPr>
          <w:rFonts w:ascii="Times New Roman" w:eastAsia="Times New Roman" w:hAnsi="Times New Roman" w:cs="Times New Roman"/>
          <w:sz w:val="24"/>
          <w:szCs w:val="24"/>
        </w:rPr>
        <w:t xml:space="preserve"> approach is likely to provide maximum impact in achieving the proposed results.  </w:t>
      </w:r>
      <w:r w:rsidR="15027EF6" w:rsidRPr="6FC3E2E7">
        <w:rPr>
          <w:rFonts w:ascii="Times New Roman" w:hAnsi="Times New Roman" w:cs="Times New Roman"/>
          <w:color w:val="auto"/>
          <w:sz w:val="24"/>
          <w:szCs w:val="24"/>
        </w:rPr>
        <w:t xml:space="preserve">The applicant proposes activities that are feasible, and are also practical, and/or experiential in nature to encourage innovation.  </w:t>
      </w:r>
      <w:r w:rsidR="3133AC4E" w:rsidRPr="6FC3E2E7">
        <w:rPr>
          <w:rFonts w:ascii="Times New Roman" w:hAnsi="Times New Roman" w:cs="Times New Roman"/>
          <w:color w:val="auto"/>
          <w:sz w:val="24"/>
          <w:szCs w:val="24"/>
        </w:rPr>
        <w:t xml:space="preserve">The applicant addresses how the project will engage or obtain support from relevant stakeholders and/or identifies local partners.  </w:t>
      </w:r>
      <w:r w:rsidR="15027EF6" w:rsidRPr="6FC3E2E7">
        <w:rPr>
          <w:rFonts w:ascii="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634C4122" w:rsidRPr="6FC3E2E7">
        <w:rPr>
          <w:rFonts w:ascii="Times New Roman" w:hAnsi="Times New Roman" w:cs="Times New Roman"/>
          <w:color w:val="auto"/>
          <w:sz w:val="24"/>
          <w:szCs w:val="24"/>
        </w:rPr>
        <w:t>.  The applicant acknowledges if activities similar to those proposed are already taking or have taken place previously, and provides an explanation as to how proposed new activities will not duplicate or merely add to existing/recent activities.</w:t>
      </w:r>
      <w:r w:rsidR="3133AC4E" w:rsidRPr="6FC3E2E7">
        <w:rPr>
          <w:rFonts w:ascii="Times New Roman" w:hAnsi="Times New Roman" w:cs="Times New Roman"/>
          <w:color w:val="auto"/>
          <w:sz w:val="24"/>
          <w:szCs w:val="24"/>
        </w:rPr>
        <w:t xml:space="preserve"> </w:t>
      </w:r>
    </w:p>
    <w:p w14:paraId="317B78FC" w14:textId="28F04A1D" w:rsidR="00881E02" w:rsidRPr="00731219" w:rsidRDefault="00881E02" w:rsidP="00881E02">
      <w:pPr>
        <w:shd w:val="clear" w:color="auto" w:fill="FFFFFF"/>
        <w:spacing w:after="39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b/>
          <w:sz w:val="24"/>
          <w:szCs w:val="24"/>
        </w:rPr>
        <w:t xml:space="preserve">Budget </w:t>
      </w:r>
      <w:r w:rsidR="00E2619B">
        <w:rPr>
          <w:rFonts w:ascii="Times New Roman" w:eastAsia="Times New Roman" w:hAnsi="Times New Roman" w:cs="Times New Roman"/>
          <w:b/>
          <w:sz w:val="24"/>
          <w:szCs w:val="24"/>
        </w:rPr>
        <w:t xml:space="preserve">&amp; Budget Narrative </w:t>
      </w:r>
      <w:r w:rsidRPr="00731219">
        <w:rPr>
          <w:rFonts w:ascii="Times New Roman" w:eastAsia="Times New Roman" w:hAnsi="Times New Roman" w:cs="Times New Roman"/>
          <w:b/>
          <w:sz w:val="24"/>
          <w:szCs w:val="24"/>
        </w:rPr>
        <w:t>– 10 points:</w:t>
      </w:r>
      <w:r w:rsidRPr="00731219">
        <w:rPr>
          <w:rFonts w:ascii="Times New Roman" w:eastAsia="Times New Roman" w:hAnsi="Times New Roman" w:cs="Times New Roman"/>
          <w:sz w:val="24"/>
          <w:szCs w:val="24"/>
        </w:rPr>
        <w:t xml:space="preserve"> The budget justification is detailed</w:t>
      </w:r>
      <w:r w:rsidR="00E2619B">
        <w:rPr>
          <w:rFonts w:ascii="Times New Roman" w:eastAsia="Times New Roman" w:hAnsi="Times New Roman" w:cs="Times New Roman"/>
          <w:sz w:val="24"/>
          <w:szCs w:val="24"/>
        </w:rPr>
        <w:t xml:space="preserve">, </w:t>
      </w:r>
      <w:r w:rsidR="00E2619B" w:rsidRPr="00731219">
        <w:rPr>
          <w:rFonts w:ascii="Times New Roman" w:eastAsia="Times New Roman" w:hAnsi="Times New Roman" w:cs="Times New Roman"/>
          <w:sz w:val="24"/>
          <w:szCs w:val="24"/>
        </w:rPr>
        <w:t>accounting for all necessary expenses to achieve proposed activities</w:t>
      </w:r>
      <w:r w:rsidRPr="00731219">
        <w:rPr>
          <w:rFonts w:ascii="Times New Roman" w:eastAsia="Times New Roman" w:hAnsi="Times New Roman" w:cs="Times New Roman"/>
          <w:sz w:val="24"/>
          <w:szCs w:val="24"/>
        </w:rPr>
        <w:t>.  Costs are reasonable in relation to the proposed activities and anticipated results</w:t>
      </w:r>
      <w:r w:rsidR="00E2619B">
        <w:rPr>
          <w:rFonts w:ascii="Times New Roman" w:eastAsia="Times New Roman" w:hAnsi="Times New Roman" w:cs="Times New Roman"/>
          <w:sz w:val="24"/>
          <w:szCs w:val="24"/>
        </w:rPr>
        <w:t xml:space="preserve"> and provide </w:t>
      </w:r>
      <w:r w:rsidR="00E2619B" w:rsidRPr="00E2619B">
        <w:rPr>
          <w:rFonts w:ascii="Times New Roman" w:eastAsia="Times New Roman" w:hAnsi="Times New Roman" w:cs="Times New Roman"/>
          <w:sz w:val="24"/>
          <w:szCs w:val="24"/>
        </w:rPr>
        <w:t xml:space="preserve">detail of calculations, including estimation methods, quantities, unit costs, </w:t>
      </w:r>
      <w:r w:rsidR="00E2619B">
        <w:rPr>
          <w:rFonts w:ascii="Times New Roman" w:eastAsia="Times New Roman" w:hAnsi="Times New Roman" w:cs="Times New Roman"/>
          <w:sz w:val="24"/>
          <w:szCs w:val="24"/>
        </w:rPr>
        <w:t xml:space="preserve">labor in-put and responsibilities, procurement practice and policy information, </w:t>
      </w:r>
      <w:r w:rsidR="00E2619B" w:rsidRPr="00E2619B">
        <w:rPr>
          <w:rFonts w:ascii="Times New Roman" w:eastAsia="Times New Roman" w:hAnsi="Times New Roman" w:cs="Times New Roman"/>
          <w:sz w:val="24"/>
          <w:szCs w:val="24"/>
        </w:rPr>
        <w:t>and other similar quantitative detail</w:t>
      </w:r>
    </w:p>
    <w:p w14:paraId="082DD5F6" w14:textId="72B4782C" w:rsidR="00881E02" w:rsidRPr="00731219" w:rsidRDefault="0D81883A" w:rsidP="6FC3E2E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6FC3E2E7">
        <w:rPr>
          <w:rFonts w:ascii="Times New Roman" w:eastAsia="Times New Roman" w:hAnsi="Times New Roman" w:cs="Times New Roman"/>
          <w:b/>
          <w:bCs/>
          <w:sz w:val="24"/>
          <w:szCs w:val="24"/>
        </w:rPr>
        <w:t xml:space="preserve">Monitoring </w:t>
      </w:r>
      <w:r w:rsidR="172B36AA" w:rsidRPr="6FC3E2E7">
        <w:rPr>
          <w:rFonts w:ascii="Times New Roman" w:eastAsia="Times New Roman" w:hAnsi="Times New Roman" w:cs="Times New Roman"/>
          <w:b/>
          <w:bCs/>
          <w:sz w:val="24"/>
          <w:szCs w:val="24"/>
        </w:rPr>
        <w:t>&amp; E</w:t>
      </w:r>
      <w:r w:rsidRPr="6FC3E2E7">
        <w:rPr>
          <w:rFonts w:ascii="Times New Roman" w:eastAsia="Times New Roman" w:hAnsi="Times New Roman" w:cs="Times New Roman"/>
          <w:b/>
          <w:bCs/>
          <w:sz w:val="24"/>
          <w:szCs w:val="24"/>
        </w:rPr>
        <w:t>valuation</w:t>
      </w:r>
      <w:r w:rsidR="172B36AA" w:rsidRPr="6FC3E2E7">
        <w:rPr>
          <w:rFonts w:ascii="Times New Roman" w:eastAsia="Times New Roman" w:hAnsi="Times New Roman" w:cs="Times New Roman"/>
          <w:b/>
          <w:bCs/>
          <w:sz w:val="24"/>
          <w:szCs w:val="24"/>
        </w:rPr>
        <w:t>/Sustainability</w:t>
      </w:r>
      <w:r w:rsidRPr="6FC3E2E7">
        <w:rPr>
          <w:rFonts w:ascii="Times New Roman" w:eastAsia="Times New Roman" w:hAnsi="Times New Roman" w:cs="Times New Roman"/>
          <w:b/>
          <w:bCs/>
          <w:sz w:val="24"/>
          <w:szCs w:val="24"/>
        </w:rPr>
        <w:t xml:space="preserve"> – </w:t>
      </w:r>
      <w:r w:rsidR="172B36AA" w:rsidRPr="6FC3E2E7">
        <w:rPr>
          <w:rFonts w:ascii="Times New Roman" w:eastAsia="Times New Roman" w:hAnsi="Times New Roman" w:cs="Times New Roman"/>
          <w:b/>
          <w:bCs/>
          <w:sz w:val="24"/>
          <w:szCs w:val="24"/>
        </w:rPr>
        <w:t>2</w:t>
      </w:r>
      <w:r w:rsidRPr="6FC3E2E7">
        <w:rPr>
          <w:rFonts w:ascii="Times New Roman" w:eastAsia="Times New Roman" w:hAnsi="Times New Roman" w:cs="Times New Roman"/>
          <w:b/>
          <w:bCs/>
          <w:sz w:val="24"/>
          <w:szCs w:val="24"/>
        </w:rPr>
        <w:t>5 points:</w:t>
      </w:r>
      <w:r w:rsidRPr="6FC3E2E7">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and shows how and when those will be measured</w:t>
      </w:r>
      <w:r w:rsidR="172B36AA" w:rsidRPr="6FC3E2E7">
        <w:rPr>
          <w:rFonts w:ascii="Times New Roman" w:eastAsia="Times New Roman" w:hAnsi="Times New Roman" w:cs="Times New Roman"/>
          <w:sz w:val="24"/>
          <w:szCs w:val="24"/>
        </w:rPr>
        <w:t xml:space="preserve"> and who will be responsible for them.  The applicant clearly details how a</w:t>
      </w:r>
      <w:r w:rsidR="172B36AA" w:rsidRPr="6FC3E2E7">
        <w:rPr>
          <w:rFonts w:ascii="Times New Roman" w:hAnsi="Times New Roman" w:cs="Times New Roman"/>
          <w:color w:val="auto"/>
          <w:sz w:val="24"/>
          <w:szCs w:val="24"/>
        </w:rPr>
        <w:t>ctivities will result in benefits that will continue beyond the funding period.</w:t>
      </w:r>
    </w:p>
    <w:p w14:paraId="051959A7" w14:textId="77777777" w:rsidR="00881E02" w:rsidRPr="00F976EA" w:rsidRDefault="00881E02" w:rsidP="00881E02">
      <w:pPr>
        <w:spacing w:after="0" w:line="240" w:lineRule="auto"/>
        <w:rPr>
          <w:rFonts w:ascii="Times New Roman" w:hAnsi="Times New Roman" w:cs="Times New Roman"/>
        </w:rPr>
      </w:pPr>
      <w:r w:rsidRPr="00F976EA">
        <w:rPr>
          <w:rFonts w:ascii="Times New Roman" w:hAnsi="Times New Roman" w:cs="Times New Roman"/>
          <w:b/>
          <w:bCs/>
          <w:color w:val="000000" w:themeColor="text1"/>
          <w:sz w:val="24"/>
          <w:szCs w:val="24"/>
        </w:rPr>
        <w:t xml:space="preserve">Support of Equity and Underserved Communities – 10 points: </w:t>
      </w:r>
      <w:r w:rsidRPr="00F976EA">
        <w:rPr>
          <w:rFonts w:ascii="Times New Roman" w:hAnsi="Times New Roman" w:cs="Times New Roman"/>
          <w:color w:val="000000" w:themeColor="text1"/>
          <w:sz w:val="24"/>
          <w:szCs w:val="24"/>
        </w:rPr>
        <w:t xml:space="preserve"> Proposals should clearly demonstrate how the program will support and advance equity and engage underserved communities in program administration, design, and implementation.  </w:t>
      </w:r>
    </w:p>
    <w:p w14:paraId="47F386FC" w14:textId="77777777" w:rsidR="00DE6A79" w:rsidRPr="00881E02" w:rsidRDefault="00DE6A79" w:rsidP="00863457">
      <w:pPr>
        <w:pStyle w:val="NoSpacing"/>
        <w:rPr>
          <w:rFonts w:ascii="Times New Roman" w:hAnsi="Times New Roman" w:cs="Times New Roman"/>
          <w:b/>
          <w:bCs/>
          <w:i/>
          <w:color w:val="auto"/>
          <w:sz w:val="24"/>
          <w:szCs w:val="24"/>
        </w:rPr>
      </w:pPr>
    </w:p>
    <w:p w14:paraId="289A7662" w14:textId="118B3A43" w:rsidR="00290D8C" w:rsidRPr="00754E7B" w:rsidRDefault="00B230F5" w:rsidP="6FC3E2E7">
      <w:pPr>
        <w:shd w:val="clear" w:color="auto" w:fill="FFFFFF" w:themeFill="background1"/>
        <w:spacing w:after="0" w:line="240" w:lineRule="auto"/>
        <w:rPr>
          <w:color w:val="auto"/>
        </w:rPr>
      </w:pPr>
      <w:bookmarkStart w:id="4" w:name="h.3znysh7"/>
      <w:bookmarkEnd w:id="4"/>
      <w:r>
        <w:br/>
      </w:r>
      <w:r w:rsidR="388E7F71" w:rsidRPr="6FC3E2E7">
        <w:rPr>
          <w:rFonts w:ascii="Times New Roman" w:eastAsia="Times New Roman" w:hAnsi="Times New Roman" w:cs="Times New Roman"/>
          <w:b/>
          <w:bCs/>
          <w:i/>
          <w:iCs/>
          <w:color w:val="auto"/>
          <w:sz w:val="24"/>
          <w:szCs w:val="24"/>
        </w:rPr>
        <w:t>E.2 Review and Selection Process</w:t>
      </w:r>
    </w:p>
    <w:p w14:paraId="48BC5CCD" w14:textId="77777777" w:rsidR="00290D8C" w:rsidRPr="00754E7B" w:rsidRDefault="00290D8C">
      <w:pPr>
        <w:spacing w:after="0" w:line="240" w:lineRule="auto"/>
        <w:rPr>
          <w:color w:val="auto"/>
        </w:rPr>
      </w:pPr>
    </w:p>
    <w:p w14:paraId="4C2D3A5C" w14:textId="2CFFB2AE" w:rsidR="00881E02" w:rsidRPr="00881E02" w:rsidRDefault="0D81883A" w:rsidP="00881E02">
      <w:pPr>
        <w:spacing w:after="0"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00881E02">
      <w:pPr>
        <w:spacing w:after="0" w:line="240" w:lineRule="auto"/>
        <w:rPr>
          <w:rFonts w:ascii="Times New Roman" w:eastAsia="Times New Roman" w:hAnsi="Times New Roman" w:cs="Times New Roman"/>
          <w:color w:val="auto"/>
          <w:sz w:val="24"/>
          <w:szCs w:val="24"/>
        </w:rPr>
      </w:pPr>
      <w:r w:rsidRPr="00881E02">
        <w:rPr>
          <w:rFonts w:ascii="Times New Roman" w:eastAsia="Times New Roman" w:hAnsi="Times New Roman" w:cs="Times New Roman"/>
          <w:color w:val="auto"/>
          <w:sz w:val="24"/>
          <w:szCs w:val="24"/>
        </w:rPr>
        <w:t xml:space="preserve"> </w:t>
      </w:r>
    </w:p>
    <w:p w14:paraId="325E78E6" w14:textId="150183B9" w:rsidR="0058212D" w:rsidRDefault="0D81883A" w:rsidP="00881E02">
      <w:pPr>
        <w:spacing w:after="0"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rPr>
        <w:t>All applications that are deemed eligible will proceed to the Merit Review Panel consisting of U.S. government subject matter and/or country-specific experts and will be rated on a 100-point scale. OES</w:t>
      </w:r>
      <w:r w:rsidR="67B42A6B" w:rsidRPr="6FC3E2E7">
        <w:rPr>
          <w:rFonts w:ascii="Times New Roman" w:eastAsia="Times New Roman" w:hAnsi="Times New Roman" w:cs="Times New Roman"/>
          <w:color w:val="auto"/>
          <w:sz w:val="24"/>
          <w:szCs w:val="24"/>
        </w:rPr>
        <w:t xml:space="preserve"> reserves the right to request the assistance of non-US government Subject Matter Experts (SMEs), if appropriate to the solicitation.  </w:t>
      </w:r>
      <w:r w:rsidRPr="6FC3E2E7">
        <w:rPr>
          <w:rFonts w:ascii="Times New Roman" w:eastAsia="Times New Roman" w:hAnsi="Times New Roman" w:cs="Times New Roman"/>
          <w:color w:val="auto"/>
          <w:sz w:val="24"/>
          <w:szCs w:val="24"/>
        </w:rPr>
        <w:t xml:space="preserve">Point values for individual elements of the application are presented in Part VII, Section A.  Panel Reviewers’ ratings, and any resulting recommendations, are advisory.  </w:t>
      </w:r>
      <w:r w:rsidR="67B42A6B" w:rsidRPr="6FC3E2E7">
        <w:rPr>
          <w:rFonts w:ascii="Times New Roman" w:eastAsia="Times New Roman" w:hAnsi="Times New Roman" w:cs="Times New Roman"/>
          <w:color w:val="auto"/>
          <w:sz w:val="24"/>
          <w:szCs w:val="24"/>
        </w:rPr>
        <w:t xml:space="preserve">Panel Reviewers may provide conditions and recommendations </w:t>
      </w:r>
      <w:r w:rsidR="67B42A6B" w:rsidRPr="6FC3E2E7">
        <w:rPr>
          <w:rFonts w:ascii="Times New Roman" w:eastAsia="Times New Roman" w:hAnsi="Times New Roman" w:cs="Times New Roman"/>
          <w:color w:val="auto"/>
          <w:sz w:val="24"/>
          <w:szCs w:val="24"/>
        </w:rPr>
        <w:lastRenderedPageBreak/>
        <w:t xml:space="preserve">on applications to enhance the proposed project, which must be addressed by the applicant before further consideration of the award. </w:t>
      </w:r>
    </w:p>
    <w:p w14:paraId="548C740F" w14:textId="77777777" w:rsidR="0058212D" w:rsidRDefault="0058212D" w:rsidP="00881E02">
      <w:pPr>
        <w:spacing w:after="0" w:line="240" w:lineRule="auto"/>
        <w:rPr>
          <w:rFonts w:ascii="Times New Roman" w:eastAsia="Times New Roman" w:hAnsi="Times New Roman" w:cs="Times New Roman"/>
          <w:color w:val="auto"/>
          <w:sz w:val="24"/>
          <w:szCs w:val="24"/>
        </w:rPr>
      </w:pPr>
    </w:p>
    <w:p w14:paraId="0DF6F61C" w14:textId="451082B7" w:rsidR="00290D8C" w:rsidRPr="00754E7B" w:rsidRDefault="67B42A6B" w:rsidP="00881E02">
      <w:pPr>
        <w:spacing w:after="0" w:line="240" w:lineRule="auto"/>
        <w:rPr>
          <w:color w:val="auto"/>
        </w:rPr>
      </w:pPr>
      <w:r w:rsidRPr="6FC3E2E7">
        <w:rPr>
          <w:rFonts w:ascii="Times New Roman" w:eastAsia="Times New Roman" w:hAnsi="Times New Roman" w:cs="Times New Roman"/>
          <w:color w:val="auto"/>
          <w:sz w:val="24"/>
          <w:szCs w:val="24"/>
        </w:rPr>
        <w:t xml:space="preserve">Final selection authority reside with OES’s senior level official.  </w:t>
      </w:r>
      <w:r w:rsidR="0D81883A" w:rsidRPr="6FC3E2E7">
        <w:rPr>
          <w:rFonts w:ascii="Times New Roman" w:eastAsia="Times New Roman" w:hAnsi="Times New Roman" w:cs="Times New Roman"/>
          <w:color w:val="auto"/>
          <w:sz w:val="24"/>
          <w:szCs w:val="24"/>
        </w:rPr>
        <w:t>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27D4673" w14:textId="77777777" w:rsidR="00881E02" w:rsidRDefault="00881E02">
      <w:pPr>
        <w:spacing w:after="0" w:line="240" w:lineRule="auto"/>
        <w:rPr>
          <w:rFonts w:ascii="Times New Roman" w:eastAsia="Times New Roman" w:hAnsi="Times New Roman" w:cs="Times New Roman"/>
          <w:b/>
          <w:smallCaps/>
          <w:color w:val="auto"/>
          <w:sz w:val="24"/>
          <w:szCs w:val="24"/>
        </w:rPr>
      </w:pPr>
    </w:p>
    <w:p w14:paraId="564C437F" w14:textId="43D6CCD8"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6288E017" w:rsidR="00290D8C" w:rsidRPr="00754E7B" w:rsidRDefault="388E7F71">
      <w:pPr>
        <w:spacing w:after="0" w:line="240" w:lineRule="auto"/>
        <w:rPr>
          <w:color w:val="auto"/>
        </w:rPr>
      </w:pPr>
      <w:r w:rsidRPr="6FC3E2E7">
        <w:rPr>
          <w:rFonts w:ascii="Times New Roman" w:eastAsia="Times New Roman" w:hAnsi="Times New Roman" w:cs="Times New Roman"/>
          <w:color w:val="auto"/>
          <w:sz w:val="24"/>
          <w:szCs w:val="24"/>
        </w:rPr>
        <w:t>OES will provide a separate notification to applicants on the result of their applications</w:t>
      </w:r>
      <w:r w:rsidR="7D55E127" w:rsidRPr="6FC3E2E7">
        <w:rPr>
          <w:rFonts w:ascii="Times New Roman" w:eastAsia="Times New Roman" w:hAnsi="Times New Roman" w:cs="Times New Roman"/>
          <w:color w:val="auto"/>
          <w:sz w:val="24"/>
          <w:szCs w:val="24"/>
        </w:rPr>
        <w:t xml:space="preserve">. </w:t>
      </w:r>
      <w:r w:rsidRPr="6FC3E2E7">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1F4E747A" w:rsidRPr="6FC3E2E7">
        <w:rPr>
          <w:rFonts w:ascii="Times New Roman" w:eastAsia="Times New Roman" w:hAnsi="Times New Roman" w:cs="Times New Roman"/>
          <w:color w:val="auto"/>
          <w:sz w:val="24"/>
          <w:szCs w:val="24"/>
        </w:rPr>
        <w:t>review p</w:t>
      </w:r>
      <w:r w:rsidRPr="6FC3E2E7">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2B90165" w:rsidR="00290D8C" w:rsidRPr="00754E7B" w:rsidRDefault="388E7F71">
      <w:pPr>
        <w:spacing w:after="0" w:line="240" w:lineRule="auto"/>
        <w:rPr>
          <w:color w:val="auto"/>
        </w:rPr>
      </w:pPr>
      <w:r w:rsidRPr="6FC3E2E7">
        <w:rPr>
          <w:rFonts w:ascii="Times New Roman" w:eastAsia="Times New Roman" w:hAnsi="Times New Roman" w:cs="Times New Roman"/>
          <w:color w:val="auto"/>
          <w:sz w:val="24"/>
          <w:szCs w:val="24"/>
        </w:rPr>
        <w:t xml:space="preserve">Final approval is contingent on the applicant successfully responding to the </w:t>
      </w:r>
      <w:r w:rsidR="1F4E747A" w:rsidRPr="6FC3E2E7">
        <w:rPr>
          <w:rFonts w:ascii="Times New Roman" w:eastAsia="Times New Roman" w:hAnsi="Times New Roman" w:cs="Times New Roman"/>
          <w:color w:val="auto"/>
          <w:sz w:val="24"/>
          <w:szCs w:val="24"/>
        </w:rPr>
        <w:t>review p</w:t>
      </w:r>
      <w:r w:rsidRPr="6FC3E2E7">
        <w:rPr>
          <w:rFonts w:ascii="Times New Roman" w:eastAsia="Times New Roman" w:hAnsi="Times New Roman" w:cs="Times New Roman"/>
          <w:color w:val="auto"/>
          <w:sz w:val="24"/>
          <w:szCs w:val="24"/>
        </w:rPr>
        <w:t>anel’s conditions and recommendations</w:t>
      </w:r>
      <w:r w:rsidR="1F4E747A" w:rsidRPr="6FC3E2E7">
        <w:rPr>
          <w:rFonts w:ascii="Times New Roman" w:eastAsia="Times New Roman" w:hAnsi="Times New Roman" w:cs="Times New Roman"/>
          <w:color w:val="auto"/>
          <w:sz w:val="24"/>
          <w:szCs w:val="24"/>
        </w:rPr>
        <w:t>;</w:t>
      </w:r>
      <w:r w:rsidRPr="6FC3E2E7">
        <w:rPr>
          <w:rFonts w:ascii="Times New Roman" w:eastAsia="Times New Roman" w:hAnsi="Times New Roman" w:cs="Times New Roman"/>
          <w:color w:val="auto"/>
          <w:sz w:val="24"/>
          <w:szCs w:val="24"/>
        </w:rPr>
        <w:t xml:space="preserve"> being registered in required systems</w:t>
      </w:r>
      <w:r w:rsidR="1F4E747A" w:rsidRPr="6FC3E2E7">
        <w:rPr>
          <w:rFonts w:ascii="Times New Roman" w:eastAsia="Times New Roman" w:hAnsi="Times New Roman" w:cs="Times New Roman"/>
          <w:color w:val="auto"/>
          <w:sz w:val="24"/>
          <w:szCs w:val="24"/>
        </w:rPr>
        <w:t>;</w:t>
      </w:r>
      <w:r w:rsidRPr="6FC3E2E7">
        <w:rPr>
          <w:rFonts w:ascii="Times New Roman" w:eastAsia="Times New Roman" w:hAnsi="Times New Roman" w:cs="Times New Roman"/>
          <w:color w:val="auto"/>
          <w:sz w:val="24"/>
          <w:szCs w:val="24"/>
        </w:rPr>
        <w:t xml:space="preserve"> and completing and providing any additional documentation requested by OES or </w:t>
      </w:r>
      <w:r w:rsidR="249AB4AC" w:rsidRPr="6FC3E2E7">
        <w:rPr>
          <w:rFonts w:ascii="Times New Roman" w:eastAsia="Times New Roman" w:hAnsi="Times New Roman" w:cs="Times New Roman"/>
          <w:color w:val="auto"/>
          <w:sz w:val="24"/>
          <w:szCs w:val="24"/>
        </w:rPr>
        <w:t>the Grants Officer</w:t>
      </w:r>
      <w:r w:rsidRPr="6FC3E2E7">
        <w:rPr>
          <w:rFonts w:ascii="Times New Roman" w:eastAsia="Times New Roman" w:hAnsi="Times New Roman" w:cs="Times New Roman"/>
          <w:color w:val="auto"/>
          <w:sz w:val="24"/>
          <w:szCs w:val="24"/>
        </w:rPr>
        <w:t xml:space="preserve">.  Final approval is also contingent on Congressional </w:t>
      </w:r>
      <w:r w:rsidR="1F4E747A" w:rsidRPr="6FC3E2E7">
        <w:rPr>
          <w:rFonts w:ascii="Times New Roman" w:eastAsia="Times New Roman" w:hAnsi="Times New Roman" w:cs="Times New Roman"/>
          <w:color w:val="auto"/>
          <w:sz w:val="24"/>
          <w:szCs w:val="24"/>
        </w:rPr>
        <w:t>N</w:t>
      </w:r>
      <w:r w:rsidRPr="6FC3E2E7">
        <w:rPr>
          <w:rFonts w:ascii="Times New Roman" w:eastAsia="Times New Roman" w:hAnsi="Times New Roman" w:cs="Times New Roman"/>
          <w:color w:val="auto"/>
          <w:sz w:val="24"/>
          <w:szCs w:val="24"/>
        </w:rPr>
        <w:t xml:space="preserve">otification requirements being met and final review and approval by the Department’s warranted </w:t>
      </w:r>
      <w:r w:rsidR="36852697" w:rsidRPr="6FC3E2E7">
        <w:rPr>
          <w:rFonts w:ascii="Times New Roman" w:eastAsia="Times New Roman" w:hAnsi="Times New Roman" w:cs="Times New Roman"/>
          <w:color w:val="auto"/>
          <w:sz w:val="24"/>
          <w:szCs w:val="24"/>
        </w:rPr>
        <w:t>G</w:t>
      </w:r>
      <w:r w:rsidRPr="6FC3E2E7">
        <w:rPr>
          <w:rFonts w:ascii="Times New Roman" w:eastAsia="Times New Roman" w:hAnsi="Times New Roman" w:cs="Times New Roman"/>
          <w:color w:val="auto"/>
          <w:sz w:val="24"/>
          <w:szCs w:val="24"/>
        </w:rPr>
        <w:t xml:space="preserve">rants </w:t>
      </w:r>
      <w:r w:rsidR="36852697" w:rsidRPr="6FC3E2E7">
        <w:rPr>
          <w:rFonts w:ascii="Times New Roman" w:eastAsia="Times New Roman" w:hAnsi="Times New Roman" w:cs="Times New Roman"/>
          <w:color w:val="auto"/>
          <w:sz w:val="24"/>
          <w:szCs w:val="24"/>
        </w:rPr>
        <w:t>O</w:t>
      </w:r>
      <w:r w:rsidRPr="6FC3E2E7">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095DE0EB" w:rsidR="00290D8C" w:rsidRDefault="388E7F71">
      <w:pPr>
        <w:spacing w:after="0" w:line="240" w:lineRule="auto"/>
        <w:rPr>
          <w:rFonts w:ascii="Times New Roman" w:eastAsia="Times New Roman" w:hAnsi="Times New Roman" w:cs="Times New Roman"/>
          <w:color w:val="auto"/>
          <w:sz w:val="24"/>
          <w:szCs w:val="24"/>
        </w:rPr>
      </w:pPr>
      <w:r w:rsidRPr="6FC3E2E7">
        <w:rPr>
          <w:rFonts w:ascii="Times New Roman" w:eastAsia="Times New Roman" w:hAnsi="Times New Roman" w:cs="Times New Roman"/>
          <w:color w:val="auto"/>
          <w:sz w:val="24"/>
          <w:szCs w:val="24"/>
        </w:rPr>
        <w:t xml:space="preserve">The notice of Federal award signed by the Department’s warranted </w:t>
      </w:r>
      <w:r w:rsidR="36852697" w:rsidRPr="6FC3E2E7">
        <w:rPr>
          <w:rFonts w:ascii="Times New Roman" w:eastAsia="Times New Roman" w:hAnsi="Times New Roman" w:cs="Times New Roman"/>
          <w:color w:val="auto"/>
          <w:sz w:val="24"/>
          <w:szCs w:val="24"/>
        </w:rPr>
        <w:t>G</w:t>
      </w:r>
      <w:r w:rsidRPr="6FC3E2E7">
        <w:rPr>
          <w:rFonts w:ascii="Times New Roman" w:eastAsia="Times New Roman" w:hAnsi="Times New Roman" w:cs="Times New Roman"/>
          <w:color w:val="auto"/>
          <w:sz w:val="24"/>
          <w:szCs w:val="24"/>
        </w:rPr>
        <w:t xml:space="preserve">rants </w:t>
      </w:r>
      <w:r w:rsidR="36852697" w:rsidRPr="6FC3E2E7">
        <w:rPr>
          <w:rFonts w:ascii="Times New Roman" w:eastAsia="Times New Roman" w:hAnsi="Times New Roman" w:cs="Times New Roman"/>
          <w:color w:val="auto"/>
          <w:sz w:val="24"/>
          <w:szCs w:val="24"/>
        </w:rPr>
        <w:t>O</w:t>
      </w:r>
      <w:r w:rsidRPr="6FC3E2E7">
        <w:rPr>
          <w:rFonts w:ascii="Times New Roman" w:eastAsia="Times New Roman" w:hAnsi="Times New Roman" w:cs="Times New Roman"/>
          <w:color w:val="auto"/>
          <w:sz w:val="24"/>
          <w:szCs w:val="24"/>
        </w:rPr>
        <w:t xml:space="preserve">fficers is the sole authorizing document.  </w:t>
      </w:r>
      <w:r w:rsidR="686593FB" w:rsidRPr="6FC3E2E7">
        <w:rPr>
          <w:rFonts w:ascii="Times New Roman" w:eastAsia="Times New Roman" w:hAnsi="Times New Roman" w:cs="Times New Roman"/>
          <w:sz w:val="24"/>
          <w:szCs w:val="24"/>
        </w:rPr>
        <w:t xml:space="preserve">The recipient may only start incurring program expenses beginning on the start date shown on the grant award document signed by the Grants Officer.  </w:t>
      </w:r>
      <w:r w:rsidRPr="6FC3E2E7">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274B1383" w:rsidRPr="6FC3E2E7">
        <w:rPr>
          <w:rFonts w:ascii="Times New Roman" w:eastAsia="Times New Roman" w:hAnsi="Times New Roman" w:cs="Times New Roman"/>
          <w:color w:val="auto"/>
          <w:sz w:val="24"/>
          <w:szCs w:val="24"/>
        </w:rPr>
        <w:t>SAM</w:t>
      </w:r>
      <w:r w:rsidR="6F07785C" w:rsidRPr="6FC3E2E7">
        <w:rPr>
          <w:rFonts w:ascii="Times New Roman" w:eastAsia="Times New Roman" w:hAnsi="Times New Roman" w:cs="Times New Roman"/>
          <w:color w:val="auto"/>
          <w:sz w:val="24"/>
          <w:szCs w:val="24"/>
        </w:rPr>
        <w:t>S</w:t>
      </w:r>
      <w:r w:rsidR="274B1383" w:rsidRPr="6FC3E2E7">
        <w:rPr>
          <w:rFonts w:ascii="Times New Roman" w:eastAsia="Times New Roman" w:hAnsi="Times New Roman" w:cs="Times New Roman"/>
          <w:color w:val="auto"/>
          <w:sz w:val="24"/>
          <w:szCs w:val="24"/>
        </w:rPr>
        <w:t xml:space="preserve"> Domestic </w:t>
      </w:r>
      <w:r w:rsidRPr="6FC3E2E7">
        <w:rPr>
          <w:rFonts w:ascii="Times New Roman" w:eastAsia="Times New Roman" w:hAnsi="Times New Roman" w:cs="Times New Roman"/>
          <w:color w:val="auto"/>
          <w:sz w:val="24"/>
          <w:szCs w:val="24"/>
        </w:rPr>
        <w:t>to be electronically counter-signed in the system.</w:t>
      </w:r>
    </w:p>
    <w:p w14:paraId="53F9AD13" w14:textId="2C719675" w:rsidR="004F5C31" w:rsidRDefault="004F5C31">
      <w:pPr>
        <w:spacing w:after="0" w:line="240" w:lineRule="auto"/>
        <w:rPr>
          <w:rFonts w:ascii="Times New Roman" w:eastAsia="Times New Roman" w:hAnsi="Times New Roman" w:cs="Times New Roman"/>
          <w:color w:val="auto"/>
          <w:sz w:val="24"/>
          <w:szCs w:val="24"/>
        </w:rPr>
      </w:pPr>
    </w:p>
    <w:p w14:paraId="38291622" w14:textId="0834822C" w:rsidR="004F5C31" w:rsidRPr="004F5C31" w:rsidRDefault="249AB4AC" w:rsidP="6FC3E2E7">
      <w:pPr>
        <w:spacing w:after="0" w:line="240" w:lineRule="auto"/>
        <w:rPr>
          <w:rFonts w:ascii="Times New Roman" w:hAnsi="Times New Roman" w:cs="Times New Roman"/>
          <w:color w:val="auto"/>
          <w:sz w:val="24"/>
          <w:szCs w:val="24"/>
        </w:rPr>
      </w:pPr>
      <w:r w:rsidRPr="6FC3E2E7">
        <w:rPr>
          <w:rFonts w:ascii="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8">
        <w:r w:rsidRPr="6FC3E2E7">
          <w:rPr>
            <w:rStyle w:val="Hyperlink"/>
            <w:rFonts w:ascii="Times New Roman" w:hAnsi="Times New Roman" w:cs="Times New Roman"/>
            <w:sz w:val="24"/>
            <w:szCs w:val="24"/>
          </w:rPr>
          <w:t>https://pms.psc.gov/</w:t>
        </w:r>
      </w:hyperlink>
      <w:r w:rsidRPr="6FC3E2E7">
        <w:rPr>
          <w:rFonts w:ascii="Times New Roman" w:hAnsi="Times New Roman" w:cs="Times New Roman"/>
          <w:color w:val="auto"/>
          <w:sz w:val="24"/>
          <w:szCs w:val="24"/>
        </w:rPr>
        <w:t>.</w:t>
      </w:r>
    </w:p>
    <w:p w14:paraId="0A950CA0" w14:textId="1311FFB7" w:rsidR="004F5C31" w:rsidRPr="004F5C31" w:rsidRDefault="004F5C31" w:rsidP="004F5C31">
      <w:pPr>
        <w:spacing w:after="0" w:line="240" w:lineRule="auto"/>
        <w:rPr>
          <w:rFonts w:ascii="Times New Roman" w:hAnsi="Times New Roman" w:cs="Times New Roman"/>
          <w:color w:val="auto"/>
          <w:sz w:val="24"/>
          <w:szCs w:val="24"/>
          <w:highlight w:val="yellow"/>
        </w:rPr>
      </w:pPr>
    </w:p>
    <w:p w14:paraId="6E53A405" w14:textId="618C5A38" w:rsidR="004F5C31" w:rsidRPr="004F5C31" w:rsidRDefault="249AB4AC" w:rsidP="004F5C31">
      <w:pPr>
        <w:spacing w:after="0" w:line="240" w:lineRule="auto"/>
        <w:rPr>
          <w:rFonts w:ascii="Times New Roman" w:hAnsi="Times New Roman" w:cs="Times New Roman"/>
          <w:color w:val="auto"/>
          <w:sz w:val="24"/>
          <w:szCs w:val="24"/>
        </w:rPr>
      </w:pPr>
      <w:r w:rsidRPr="6FC3E2E7">
        <w:rPr>
          <w:rFonts w:ascii="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0E58F302" w:rsidR="00AE506E" w:rsidRPr="00F77180" w:rsidRDefault="2023E06A" w:rsidP="00DF259E">
      <w:pPr>
        <w:spacing w:after="0" w:line="240" w:lineRule="auto"/>
        <w:rPr>
          <w:rFonts w:ascii="Times New Roman" w:hAnsi="Times New Roman" w:cs="Times New Roman"/>
          <w:color w:val="auto"/>
          <w:sz w:val="24"/>
          <w:szCs w:val="24"/>
        </w:rPr>
      </w:pPr>
      <w:r w:rsidRPr="6FC3E2E7">
        <w:rPr>
          <w:rFonts w:ascii="Times New Roman" w:hAnsi="Times New Roman" w:cs="Times New Roman"/>
          <w:color w:val="auto"/>
          <w:sz w:val="24"/>
          <w:szCs w:val="24"/>
        </w:rPr>
        <w:t xml:space="preserve">OES </w:t>
      </w:r>
      <w:r w:rsidR="2CFE51D8" w:rsidRPr="6FC3E2E7">
        <w:rPr>
          <w:rFonts w:ascii="Times New Roman" w:hAnsi="Times New Roman" w:cs="Times New Roman"/>
          <w:color w:val="auto"/>
          <w:sz w:val="24"/>
          <w:szCs w:val="24"/>
        </w:rPr>
        <w:t xml:space="preserve">requires all recipients of foreign assistance funding to </w:t>
      </w:r>
      <w:r w:rsidRPr="6FC3E2E7">
        <w:rPr>
          <w:rFonts w:ascii="Times New Roman" w:hAnsi="Times New Roman" w:cs="Times New Roman"/>
          <w:color w:val="auto"/>
          <w:sz w:val="24"/>
          <w:szCs w:val="24"/>
        </w:rPr>
        <w:t>compl</w:t>
      </w:r>
      <w:r w:rsidR="2CFE51D8" w:rsidRPr="6FC3E2E7">
        <w:rPr>
          <w:rFonts w:ascii="Times New Roman" w:hAnsi="Times New Roman" w:cs="Times New Roman"/>
          <w:color w:val="auto"/>
          <w:sz w:val="24"/>
          <w:szCs w:val="24"/>
        </w:rPr>
        <w:t>y</w:t>
      </w:r>
      <w:r w:rsidRPr="6FC3E2E7">
        <w:rPr>
          <w:rFonts w:ascii="Times New Roman" w:hAnsi="Times New Roman" w:cs="Times New Roman"/>
          <w:color w:val="auto"/>
          <w:sz w:val="24"/>
          <w:szCs w:val="24"/>
        </w:rPr>
        <w:t xml:space="preserve"> with </w:t>
      </w:r>
      <w:r w:rsidR="2CFE51D8" w:rsidRPr="6FC3E2E7">
        <w:rPr>
          <w:rFonts w:ascii="Times New Roman" w:hAnsi="Times New Roman" w:cs="Times New Roman"/>
          <w:color w:val="auto"/>
          <w:sz w:val="24"/>
          <w:szCs w:val="24"/>
        </w:rPr>
        <w:t>all</w:t>
      </w:r>
      <w:r w:rsidRPr="6FC3E2E7">
        <w:rPr>
          <w:rFonts w:ascii="Times New Roman" w:hAnsi="Times New Roman" w:cs="Times New Roman"/>
          <w:color w:val="auto"/>
          <w:sz w:val="24"/>
          <w:szCs w:val="24"/>
        </w:rPr>
        <w:t xml:space="preserve"> applicable Department and Federal laws and regulations, including but not limited to the following:</w:t>
      </w:r>
      <w:r w:rsidR="1F4E747A" w:rsidRPr="6FC3E2E7">
        <w:rPr>
          <w:rFonts w:ascii="Times New Roman" w:hAnsi="Times New Roman" w:cs="Times New Roman"/>
          <w:color w:val="auto"/>
          <w:sz w:val="24"/>
          <w:szCs w:val="24"/>
        </w:rPr>
        <w:t xml:space="preserve"> </w:t>
      </w:r>
    </w:p>
    <w:p w14:paraId="48BB2681" w14:textId="538A3F6E" w:rsidR="006968C1" w:rsidRDefault="2023E06A" w:rsidP="00DF259E">
      <w:pPr>
        <w:spacing w:after="0" w:line="240" w:lineRule="auto"/>
        <w:rPr>
          <w:rFonts w:ascii="Times New Roman" w:hAnsi="Times New Roman" w:cs="Times New Roman"/>
          <w:sz w:val="24"/>
          <w:szCs w:val="24"/>
        </w:rPr>
      </w:pPr>
      <w:r w:rsidRPr="6FC3E2E7">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w:t>
      </w:r>
      <w:r w:rsidRPr="6FC3E2E7">
        <w:rPr>
          <w:rFonts w:ascii="Times New Roman" w:hAnsi="Times New Roman" w:cs="Times New Roman"/>
          <w:color w:val="auto"/>
          <w:sz w:val="24"/>
          <w:szCs w:val="24"/>
        </w:rPr>
        <w:lastRenderedPageBreak/>
        <w:t>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1F4E747A" w:rsidRPr="6FC3E2E7">
        <w:rPr>
          <w:rFonts w:ascii="Times New Roman" w:hAnsi="Times New Roman" w:cs="Times New Roman"/>
          <w:sz w:val="24"/>
          <w:szCs w:val="24"/>
        </w:rPr>
        <w:t xml:space="preserve"> </w:t>
      </w:r>
      <w:hyperlink r:id="rId39">
        <w:r w:rsidR="1F4E747A" w:rsidRPr="6FC3E2E7">
          <w:rPr>
            <w:rStyle w:val="Hyperlink"/>
            <w:rFonts w:ascii="Times New Roman" w:eastAsia="Times New Roman" w:hAnsi="Times New Roman" w:cs="Times New Roman"/>
            <w:sz w:val="24"/>
            <w:szCs w:val="24"/>
          </w:rPr>
          <w:t>https://www.state.gov/about-us-office-of-the-procurement-executive/</w:t>
        </w:r>
      </w:hyperlink>
      <w:r w:rsidRPr="6FC3E2E7">
        <w:rPr>
          <w:rFonts w:ascii="Times New Roman" w:hAnsi="Times New Roman" w:cs="Times New Roman"/>
          <w:sz w:val="24"/>
          <w:szCs w:val="24"/>
        </w:rPr>
        <w:t>.</w:t>
      </w:r>
      <w:r w:rsidR="1F4E747A" w:rsidRPr="6FC3E2E7">
        <w:rPr>
          <w:rFonts w:ascii="Times New Roman" w:hAnsi="Times New Roman" w:cs="Times New Roman"/>
          <w:sz w:val="24"/>
          <w:szCs w:val="24"/>
        </w:rPr>
        <w:t xml:space="preserve">  </w:t>
      </w:r>
    </w:p>
    <w:p w14:paraId="45A9AAD8" w14:textId="190BF9B6" w:rsidR="0066323B" w:rsidRDefault="0066323B" w:rsidP="00DF259E">
      <w:pPr>
        <w:spacing w:after="0" w:line="240" w:lineRule="auto"/>
        <w:rPr>
          <w:rFonts w:ascii="Times New Roman" w:hAnsi="Times New Roman" w:cs="Times New Roman"/>
          <w:sz w:val="24"/>
          <w:szCs w:val="24"/>
        </w:rPr>
      </w:pPr>
    </w:p>
    <w:p w14:paraId="092D971E" w14:textId="1930D111"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rPr>
      </w:pPr>
      <w:r w:rsidRPr="00731219">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w:t>
      </w:r>
      <w:r w:rsidR="005D67AB">
        <w:rPr>
          <w:rFonts w:ascii="Times New Roman" w:eastAsia="Times New Roman" w:hAnsi="Times New Roman" w:cs="Times New Roman"/>
          <w:sz w:val="24"/>
          <w:szCs w:val="24"/>
        </w:rPr>
        <w:t xml:space="preserve"> T</w:t>
      </w:r>
      <w:r w:rsidRPr="00731219">
        <w:rPr>
          <w:rFonts w:ascii="Times New Roman" w:eastAsia="Times New Roman" w:hAnsi="Times New Roman" w:cs="Times New Roman"/>
          <w:sz w:val="24"/>
          <w:szCs w:val="24"/>
        </w:rPr>
        <w:t>hese include:</w:t>
      </w:r>
    </w:p>
    <w:p w14:paraId="350B06C8" w14:textId="77777777" w:rsidR="0066323B" w:rsidRPr="00731219" w:rsidRDefault="0066323B" w:rsidP="0066323B">
      <w:pPr>
        <w:shd w:val="clear" w:color="auto" w:fill="FFFFFF"/>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731219" w:rsidRDefault="00CA52ED" w:rsidP="00031DB1">
      <w:pPr>
        <w:pStyle w:val="ListParagraph"/>
        <w:numPr>
          <w:ilvl w:val="0"/>
          <w:numId w:val="28"/>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0" w:history="1">
        <w:r w:rsidR="0066323B" w:rsidRPr="00731219">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731219" w:rsidRDefault="00CA52ED" w:rsidP="00031DB1">
      <w:pPr>
        <w:pStyle w:val="ListParagraph"/>
        <w:numPr>
          <w:ilvl w:val="0"/>
          <w:numId w:val="28"/>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1" w:history="1">
        <w:r w:rsidR="0066323B" w:rsidRPr="00731219">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731219" w:rsidRDefault="00CA52ED" w:rsidP="00031DB1">
      <w:pPr>
        <w:pStyle w:val="ListParagraph"/>
        <w:numPr>
          <w:ilvl w:val="0"/>
          <w:numId w:val="28"/>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2" w:history="1">
        <w:r w:rsidR="0066323B" w:rsidRPr="00731219">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731219" w:rsidRDefault="00CA52ED" w:rsidP="00031DB1">
      <w:pPr>
        <w:pStyle w:val="ListParagraph"/>
        <w:numPr>
          <w:ilvl w:val="0"/>
          <w:numId w:val="28"/>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3" w:history="1">
        <w:r w:rsidR="0066323B" w:rsidRPr="00731219">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731219" w:rsidRDefault="00CA52ED" w:rsidP="00031DB1">
      <w:pPr>
        <w:pStyle w:val="ListParagraph"/>
        <w:numPr>
          <w:ilvl w:val="0"/>
          <w:numId w:val="28"/>
        </w:numPr>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hyperlink r:id="rId44" w:history="1">
        <w:r w:rsidR="0066323B" w:rsidRPr="00731219">
          <w:rPr>
            <w:rStyle w:val="Hyperlink"/>
            <w:rFonts w:ascii="Times New Roman" w:eastAsia="Times New Roman" w:hAnsi="Times New Roman" w:cs="Times New Roman"/>
            <w:sz w:val="24"/>
            <w:szCs w:val="24"/>
          </w:rPr>
          <w:t>2 CFR 183 - NEVER CONTRACT WITH THE ENEMY</w:t>
        </w:r>
      </w:hyperlink>
    </w:p>
    <w:p w14:paraId="541C832B" w14:textId="77CD7B21" w:rsidR="0066323B" w:rsidRPr="005D67AB" w:rsidRDefault="00CA52ED" w:rsidP="00031DB1">
      <w:pPr>
        <w:pStyle w:val="ListParagraph"/>
        <w:numPr>
          <w:ilvl w:val="0"/>
          <w:numId w:val="28"/>
        </w:numPr>
        <w:shd w:val="clear" w:color="auto" w:fill="FFFFFF"/>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45" w:history="1">
        <w:r w:rsidR="0066323B" w:rsidRPr="00731219">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731219" w:rsidRDefault="0066323B" w:rsidP="005D67AB">
      <w:pPr>
        <w:pStyle w:val="ListParagraph"/>
        <w:shd w:val="clear" w:color="auto" w:fill="FFFFFF"/>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731219" w:rsidRDefault="0066323B" w:rsidP="0066323B">
      <w:pPr>
        <w:spacing w:line="240" w:lineRule="atLeast"/>
        <w:rPr>
          <w:rFonts w:ascii="Times New Roman" w:hAnsi="Times New Roman" w:cs="Times New Roman"/>
          <w:sz w:val="24"/>
          <w:szCs w:val="24"/>
        </w:rPr>
      </w:pPr>
      <w:r w:rsidRPr="525DB2C9">
        <w:rPr>
          <w:rFonts w:ascii="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w:t>
      </w:r>
      <w:r w:rsidRPr="00F3690D">
        <w:rPr>
          <w:rFonts w:ascii="Times New Roman" w:hAnsi="Times New Roman" w:cs="Times New Roman"/>
          <w:color w:val="000000" w:themeColor="text1"/>
          <w:sz w:val="24"/>
          <w:szCs w:val="24"/>
        </w:rPr>
        <w:t>as applicable to specific programs, pu</w:t>
      </w:r>
      <w:r w:rsidRPr="525DB2C9">
        <w:rPr>
          <w:rFonts w:ascii="Times New Roman" w:hAnsi="Times New Roman" w:cs="Times New Roman"/>
          <w:color w:val="000000" w:themeColor="text1"/>
          <w:sz w:val="24"/>
          <w:szCs w:val="24"/>
        </w:rPr>
        <w:t xml:space="preserve">rsuant to this notice of funding opportunity in accordance with the following: </w:t>
      </w:r>
    </w:p>
    <w:p w14:paraId="21F51F32" w14:textId="77777777" w:rsidR="0066323B" w:rsidRPr="00731219" w:rsidRDefault="00CA52ED" w:rsidP="00031DB1">
      <w:pPr>
        <w:numPr>
          <w:ilvl w:val="0"/>
          <w:numId w:val="29"/>
        </w:numPr>
        <w:spacing w:after="0" w:line="240" w:lineRule="atLeast"/>
        <w:rPr>
          <w:rFonts w:ascii="Times New Roman" w:hAnsi="Times New Roman" w:cs="Times New Roman"/>
          <w:sz w:val="24"/>
          <w:szCs w:val="24"/>
        </w:rPr>
      </w:pPr>
      <w:hyperlink r:id="rId46" w:history="1">
        <w:r w:rsidR="0066323B" w:rsidRPr="00731219">
          <w:rPr>
            <w:rStyle w:val="Hyperlink"/>
            <w:rFonts w:ascii="Times New Roman" w:hAnsi="Times New Roman" w:cs="Times New Roman"/>
            <w:sz w:val="24"/>
            <w:szCs w:val="24"/>
          </w:rPr>
          <w:t>Guidance for Grants and Agreements in Title 2 of the Code of Federal Regulations</w:t>
        </w:r>
      </w:hyperlink>
      <w:r w:rsidR="0066323B" w:rsidRPr="00731219">
        <w:rPr>
          <w:rFonts w:ascii="Times New Roman" w:hAnsi="Times New Roman" w:cs="Times New Roman"/>
          <w:sz w:val="24"/>
          <w:szCs w:val="24"/>
        </w:rPr>
        <w:t xml:space="preserve"> (2 CFR), as updated in the Federal Register’s 85 FR 49506 on August 13, 2020, particularly on:</w:t>
      </w:r>
    </w:p>
    <w:p w14:paraId="53BA9575" w14:textId="77777777" w:rsidR="0066323B" w:rsidRPr="00731219" w:rsidRDefault="0066323B" w:rsidP="00031DB1">
      <w:pPr>
        <w:numPr>
          <w:ilvl w:val="1"/>
          <w:numId w:val="29"/>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00031DB1">
      <w:pPr>
        <w:numPr>
          <w:ilvl w:val="1"/>
          <w:numId w:val="29"/>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00031DB1">
      <w:pPr>
        <w:numPr>
          <w:ilvl w:val="1"/>
          <w:numId w:val="29"/>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 xml:space="preserve">Promoting the freedom of speech and religious liberty in alignment with </w:t>
      </w:r>
      <w:r w:rsidRPr="00731219">
        <w:rPr>
          <w:rFonts w:ascii="Times New Roman" w:hAnsi="Times New Roman" w:cs="Times New Roman"/>
          <w:i/>
          <w:sz w:val="24"/>
          <w:szCs w:val="24"/>
        </w:rPr>
        <w:t xml:space="preserve">Promoting Free Speech and Religious Liberty </w:t>
      </w:r>
      <w:r w:rsidRPr="00731219">
        <w:rPr>
          <w:rFonts w:ascii="Times New Roman" w:hAnsi="Times New Roman" w:cs="Times New Roman"/>
          <w:sz w:val="24"/>
          <w:szCs w:val="24"/>
        </w:rPr>
        <w:t xml:space="preserve">(E.O. 13798) and </w:t>
      </w:r>
      <w:r w:rsidRPr="00731219">
        <w:rPr>
          <w:rFonts w:ascii="Times New Roman" w:hAnsi="Times New Roman" w:cs="Times New Roman"/>
          <w:i/>
          <w:sz w:val="24"/>
          <w:szCs w:val="24"/>
        </w:rPr>
        <w:t>Improving Free Inquiry, Transparency, and Accountability at Colleges and Universities</w:t>
      </w:r>
      <w:r w:rsidRPr="00731219">
        <w:rPr>
          <w:rFonts w:ascii="Times New Roman" w:hAnsi="Times New Roman" w:cs="Times New Roman"/>
          <w:sz w:val="24"/>
          <w:szCs w:val="24"/>
        </w:rPr>
        <w:t xml:space="preserve"> (E.O. 13864) (§§ 200.300, 200.303, 200.339, and 200.341), </w:t>
      </w:r>
    </w:p>
    <w:p w14:paraId="1BAEDB9E" w14:textId="77777777" w:rsidR="0066323B" w:rsidRDefault="0066323B" w:rsidP="00031DB1">
      <w:pPr>
        <w:numPr>
          <w:ilvl w:val="1"/>
          <w:numId w:val="29"/>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Providing a preference, to the extent permitted by law, to maximize use of goods, products, and materials produced in the United States (2 CFR part 200.322), and</w:t>
      </w:r>
    </w:p>
    <w:p w14:paraId="1E2C0036" w14:textId="77777777" w:rsidR="0066323B" w:rsidRDefault="0066323B" w:rsidP="00031DB1">
      <w:pPr>
        <w:numPr>
          <w:ilvl w:val="1"/>
          <w:numId w:val="29"/>
        </w:numPr>
        <w:spacing w:after="0" w:line="240" w:lineRule="atLeast"/>
        <w:rPr>
          <w:rFonts w:ascii="Times New Roman" w:hAnsi="Times New Roman" w:cs="Times New Roman"/>
          <w:sz w:val="24"/>
          <w:szCs w:val="24"/>
        </w:rPr>
      </w:pPr>
      <w:r w:rsidRPr="00731219">
        <w:rPr>
          <w:rFonts w:ascii="Times New Roman" w:hAnsi="Times New Roman" w:cs="Times New Roman"/>
          <w:sz w:val="24"/>
          <w:szCs w:val="24"/>
        </w:rPr>
        <w:t>Terminating agreements in whole or in part to the greatest extent authorized by law, if an award no longer effectuates the program goals or agency priorities (2 CFR part 200.340).</w:t>
      </w:r>
    </w:p>
    <w:p w14:paraId="1910D9DB" w14:textId="77777777" w:rsidR="0066323B" w:rsidRPr="00731219" w:rsidRDefault="0066323B" w:rsidP="0066323B">
      <w:pPr>
        <w:spacing w:after="0" w:line="240" w:lineRule="atLeast"/>
        <w:ind w:left="1440"/>
        <w:rPr>
          <w:rFonts w:ascii="Times New Roman" w:hAnsi="Times New Roman" w:cs="Times New Roman"/>
          <w:sz w:val="24"/>
          <w:szCs w:val="24"/>
        </w:rPr>
      </w:pPr>
    </w:p>
    <w:p w14:paraId="4444CB9D" w14:textId="4C300A6A" w:rsidR="000D26B1" w:rsidRPr="000D26B1" w:rsidRDefault="2023E06A" w:rsidP="6FC3E2E7">
      <w:pPr>
        <w:pStyle w:val="ListParagraph"/>
        <w:numPr>
          <w:ilvl w:val="0"/>
          <w:numId w:val="5"/>
        </w:numPr>
        <w:shd w:val="clear" w:color="auto" w:fill="FFFFFF" w:themeFill="background1"/>
        <w:spacing w:after="0" w:line="240" w:lineRule="auto"/>
        <w:rPr>
          <w:rFonts w:ascii="Times New Roman" w:eastAsia="Times New Roman" w:hAnsi="Times New Roman" w:cs="Times New Roman"/>
          <w:color w:val="auto"/>
          <w:sz w:val="24"/>
          <w:szCs w:val="24"/>
        </w:rPr>
      </w:pPr>
      <w:r w:rsidRPr="6FC3E2E7">
        <w:rPr>
          <w:rFonts w:ascii="Times New Roman" w:hAnsi="Times New Roman" w:cs="Times New Roman"/>
          <w:color w:val="auto"/>
          <w:sz w:val="24"/>
          <w:szCs w:val="24"/>
        </w:rPr>
        <w:lastRenderedPageBreak/>
        <w:t>Additional requirements may be included depending on the content of the program</w:t>
      </w:r>
      <w:r w:rsidRPr="6FC3E2E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FEF9DBA" w:rsidR="00290D8C" w:rsidRPr="00754E7B" w:rsidRDefault="388E7F71">
      <w:pPr>
        <w:spacing w:after="0" w:line="240" w:lineRule="auto"/>
        <w:rPr>
          <w:color w:val="auto"/>
        </w:rPr>
      </w:pPr>
      <w:r w:rsidRPr="6FC3E2E7">
        <w:rPr>
          <w:rFonts w:ascii="Times New Roman" w:eastAsia="Times New Roman" w:hAnsi="Times New Roman" w:cs="Times New Roman"/>
          <w:color w:val="auto"/>
          <w:sz w:val="24"/>
          <w:szCs w:val="24"/>
        </w:rPr>
        <w:t xml:space="preserve">Applicants should be aware that OES awards will require that all reports (financial and progress) are uploaded to the grant file in </w:t>
      </w:r>
      <w:r w:rsidR="69E56EBB" w:rsidRPr="6FC3E2E7">
        <w:rPr>
          <w:rFonts w:ascii="Times New Roman" w:eastAsia="Times New Roman" w:hAnsi="Times New Roman" w:cs="Times New Roman"/>
          <w:color w:val="auto"/>
          <w:sz w:val="24"/>
          <w:szCs w:val="24"/>
        </w:rPr>
        <w:t>SAMS Domestic</w:t>
      </w:r>
      <w:r w:rsidRPr="6FC3E2E7">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1EBE4B25" w:rsidRPr="6FC3E2E7">
        <w:rPr>
          <w:rFonts w:ascii="Times New Roman" w:eastAsia="Times New Roman" w:hAnsi="Times New Roman" w:cs="Times New Roman"/>
          <w:color w:val="auto"/>
          <w:sz w:val="24"/>
          <w:szCs w:val="24"/>
        </w:rPr>
        <w:t>,</w:t>
      </w:r>
      <w:r w:rsidRPr="6FC3E2E7">
        <w:rPr>
          <w:rFonts w:ascii="Times New Roman" w:eastAsia="Times New Roman" w:hAnsi="Times New Roman" w:cs="Times New Roman"/>
          <w:color w:val="auto"/>
          <w:sz w:val="24"/>
          <w:szCs w:val="24"/>
        </w:rPr>
        <w:t xml:space="preserve"> as well as</w:t>
      </w:r>
      <w:r w:rsidR="0931BFC8" w:rsidRPr="6FC3E2E7">
        <w:rPr>
          <w:rFonts w:ascii="Times New Roman" w:eastAsia="Times New Roman" w:hAnsi="Times New Roman" w:cs="Times New Roman"/>
          <w:color w:val="auto"/>
          <w:sz w:val="24"/>
          <w:szCs w:val="24"/>
        </w:rPr>
        <w:t xml:space="preserve"> a copy from PMS</w:t>
      </w:r>
      <w:r w:rsidRPr="6FC3E2E7">
        <w:rPr>
          <w:rFonts w:ascii="Times New Roman" w:eastAsia="Times New Roman" w:hAnsi="Times New Roman" w:cs="Times New Roman"/>
          <w:color w:val="auto"/>
          <w:sz w:val="24"/>
          <w:szCs w:val="24"/>
        </w:rPr>
        <w:t xml:space="preserve"> then uploaded to the grant file in </w:t>
      </w:r>
      <w:r w:rsidR="69E56EBB" w:rsidRPr="6FC3E2E7">
        <w:rPr>
          <w:rFonts w:ascii="Times New Roman" w:eastAsia="Times New Roman" w:hAnsi="Times New Roman" w:cs="Times New Roman"/>
          <w:color w:val="auto"/>
          <w:sz w:val="24"/>
          <w:szCs w:val="24"/>
        </w:rPr>
        <w:t>SAMS Domestic</w:t>
      </w:r>
      <w:r w:rsidRPr="6FC3E2E7">
        <w:rPr>
          <w:rFonts w:ascii="Times New Roman" w:eastAsia="Times New Roman" w:hAnsi="Times New Roman" w:cs="Times New Roman"/>
          <w:color w:val="auto"/>
          <w:sz w:val="24"/>
          <w:szCs w:val="24"/>
        </w:rPr>
        <w:t xml:space="preserve">.  The progress reports uploaded to the grant file in </w:t>
      </w:r>
      <w:r w:rsidR="69E56EBB" w:rsidRPr="6FC3E2E7">
        <w:rPr>
          <w:rFonts w:ascii="Times New Roman" w:eastAsia="Times New Roman" w:hAnsi="Times New Roman" w:cs="Times New Roman"/>
          <w:color w:val="auto"/>
          <w:sz w:val="24"/>
          <w:szCs w:val="24"/>
        </w:rPr>
        <w:t>SAMS Domestic</w:t>
      </w:r>
      <w:r w:rsidRPr="6FC3E2E7">
        <w:rPr>
          <w:rFonts w:ascii="Times New Roman" w:eastAsia="Times New Roman" w:hAnsi="Times New Roman" w:cs="Times New Roman"/>
          <w:color w:val="auto"/>
          <w:sz w:val="24"/>
          <w:szCs w:val="24"/>
        </w:rPr>
        <w:t xml:space="preserve"> must</w:t>
      </w:r>
      <w:r w:rsidR="216566FA" w:rsidRPr="6FC3E2E7">
        <w:rPr>
          <w:rFonts w:ascii="Times New Roman" w:eastAsia="Times New Roman" w:hAnsi="Times New Roman" w:cs="Times New Roman"/>
          <w:color w:val="auto"/>
          <w:sz w:val="24"/>
          <w:szCs w:val="24"/>
        </w:rPr>
        <w:t xml:space="preserve"> include</w:t>
      </w:r>
      <w:r w:rsidRPr="6FC3E2E7">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36852697" w:rsidRPr="6FC3E2E7">
        <w:rPr>
          <w:rFonts w:ascii="Times New Roman" w:eastAsia="Times New Roman" w:hAnsi="Times New Roman" w:cs="Times New Roman"/>
          <w:color w:val="auto"/>
          <w:sz w:val="24"/>
          <w:szCs w:val="24"/>
        </w:rPr>
        <w:t>G</w:t>
      </w:r>
      <w:r w:rsidRPr="6FC3E2E7">
        <w:rPr>
          <w:rFonts w:ascii="Times New Roman" w:eastAsia="Times New Roman" w:hAnsi="Times New Roman" w:cs="Times New Roman"/>
          <w:color w:val="auto"/>
          <w:sz w:val="24"/>
          <w:szCs w:val="24"/>
        </w:rPr>
        <w:t xml:space="preserve">rants </w:t>
      </w:r>
      <w:r w:rsidR="36852697" w:rsidRPr="6FC3E2E7">
        <w:rPr>
          <w:rFonts w:ascii="Times New Roman" w:eastAsia="Times New Roman" w:hAnsi="Times New Roman" w:cs="Times New Roman"/>
          <w:color w:val="auto"/>
          <w:sz w:val="24"/>
          <w:szCs w:val="24"/>
        </w:rPr>
        <w:t>O</w:t>
      </w:r>
      <w:r w:rsidRPr="6FC3E2E7">
        <w:rPr>
          <w:rFonts w:ascii="Times New Roman" w:eastAsia="Times New Roman" w:hAnsi="Times New Roman" w:cs="Times New Roman"/>
          <w:color w:val="auto"/>
          <w:sz w:val="24"/>
          <w:szCs w:val="24"/>
        </w:rPr>
        <w:t xml:space="preserve">fficer) for the F Framework indicators.  </w:t>
      </w:r>
      <w:r w:rsidR="216566FA" w:rsidRPr="6FC3E2E7">
        <w:rPr>
          <w:rFonts w:ascii="Times New Roman" w:eastAsia="Times New Roman" w:hAnsi="Times New Roman" w:cs="Times New Roman"/>
          <w:color w:val="auto"/>
          <w:sz w:val="24"/>
          <w:szCs w:val="24"/>
        </w:rPr>
        <w:t>The</w:t>
      </w:r>
      <w:r w:rsidR="591B0046" w:rsidRPr="6FC3E2E7">
        <w:rPr>
          <w:rFonts w:ascii="Times New Roman" w:eastAsia="Times New Roman" w:hAnsi="Times New Roman" w:cs="Times New Roman"/>
          <w:color w:val="auto"/>
          <w:sz w:val="24"/>
          <w:szCs w:val="24"/>
        </w:rPr>
        <w:t xml:space="preserve"> F Framework indicators will be review</w:t>
      </w:r>
      <w:r w:rsidR="216566FA" w:rsidRPr="6FC3E2E7">
        <w:rPr>
          <w:rFonts w:ascii="Times New Roman" w:eastAsia="Times New Roman" w:hAnsi="Times New Roman" w:cs="Times New Roman"/>
          <w:color w:val="auto"/>
          <w:sz w:val="24"/>
          <w:szCs w:val="24"/>
        </w:rPr>
        <w:t>ed</w:t>
      </w:r>
      <w:r w:rsidR="591B0046" w:rsidRPr="6FC3E2E7">
        <w:rPr>
          <w:rFonts w:ascii="Times New Roman" w:eastAsia="Times New Roman" w:hAnsi="Times New Roman" w:cs="Times New Roman"/>
          <w:color w:val="auto"/>
          <w:sz w:val="24"/>
          <w:szCs w:val="24"/>
        </w:rPr>
        <w:t xml:space="preserve"> and negotiated during the final stages of issuing an award.  </w:t>
      </w:r>
    </w:p>
    <w:p w14:paraId="31383C72" w14:textId="467F43F1" w:rsidR="6FC3E2E7" w:rsidRDefault="6FC3E2E7" w:rsidP="6FC3E2E7">
      <w:pPr>
        <w:spacing w:after="0" w:line="240" w:lineRule="auto"/>
        <w:rPr>
          <w:rFonts w:ascii="Times New Roman" w:eastAsia="Times New Roman" w:hAnsi="Times New Roman" w:cs="Times New Roman"/>
          <w:color w:val="auto"/>
          <w:sz w:val="24"/>
          <w:szCs w:val="24"/>
        </w:rPr>
      </w:pPr>
    </w:p>
    <w:p w14:paraId="052B699D" w14:textId="58C03D6A"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The Recipient, at a minimum, will provide OES with the following reports (please note that all data collected, must be maintained for a minimum of three years and provided to OES upon request):</w:t>
      </w:r>
    </w:p>
    <w:p w14:paraId="3AF1F221" w14:textId="5D80B8A3"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Financial Reports</w:t>
      </w:r>
    </w:p>
    <w:p w14:paraId="20408595" w14:textId="0EBF6F4B"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The Recipient is required to submit quarterly financial reports throughout the project period, using the Federal Financial Report form SF-425,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w:t>
      </w:r>
    </w:p>
    <w:p w14:paraId="35577E69" w14:textId="2C9640E3"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Financial reports are due 30 days after the end of each quarter (Quarter One is October 1 – December 31; Quarter Two is January 1 – March 31; Quarter Three is April 1 – June 30; and Quarter Four is July 1 – September 30).  Depending on the date of the award, the Recipient may submit reporting covering a portion of a quarter. </w:t>
      </w:r>
    </w:p>
    <w:p w14:paraId="76342D21" w14:textId="44E046F7"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Progress Reports</w:t>
      </w:r>
    </w:p>
    <w:p w14:paraId="3F6395B8" w14:textId="53439EBF"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The awardee is required to upload all progress reports to the award file in SAMS Domestic. Progress reports must be submitted semi-annually.  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semiannual period.  Progress reports will include:  </w:t>
      </w:r>
    </w:p>
    <w:p w14:paraId="4B6075DA" w14:textId="458B1981" w:rsidR="6FC3E2E7" w:rsidRDefault="6FC3E2E7" w:rsidP="6FC3E2E7">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Significant activities of the period and how activities reflect progress toward achieving goals; </w:t>
      </w:r>
    </w:p>
    <w:p w14:paraId="61E07694" w14:textId="5ADA76C9" w:rsidR="6FC3E2E7" w:rsidRDefault="6FC3E2E7" w:rsidP="6FC3E2E7">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Evaluation of progress on goals/objectives with quantitative and qualitative data, as appropriate; </w:t>
      </w:r>
    </w:p>
    <w:p w14:paraId="4BB8D9AD" w14:textId="28A6FC58" w:rsidR="6FC3E2E7" w:rsidRDefault="6FC3E2E7" w:rsidP="6FC3E2E7">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Any problems/challenges in implementing the project and a corrective action plan; </w:t>
      </w:r>
    </w:p>
    <w:p w14:paraId="7FFBE96C" w14:textId="58112C27" w:rsidR="6FC3E2E7" w:rsidRDefault="6FC3E2E7" w:rsidP="6FC3E2E7">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Evaluation of accomplishments with quantifiable information on goals and objectives to date as available, including reporting on agreed-upon indicators; </w:t>
      </w:r>
    </w:p>
    <w:p w14:paraId="2413B374" w14:textId="4E797967" w:rsidR="6FC3E2E7" w:rsidRDefault="6FC3E2E7" w:rsidP="6FC3E2E7">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An update on expenditures during the reporting period; and </w:t>
      </w:r>
    </w:p>
    <w:p w14:paraId="4E9E7807" w14:textId="5F1D0D80" w:rsidR="6FC3E2E7" w:rsidRDefault="6FC3E2E7" w:rsidP="6FC3E2E7">
      <w:pPr>
        <w:pStyle w:val="ListParagraph"/>
        <w:numPr>
          <w:ilvl w:val="0"/>
          <w:numId w:val="6"/>
        </w:num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lastRenderedPageBreak/>
        <w:t xml:space="preserve">Supporting documentation or products related to project activities (such as surveys, travel, etc.). </w:t>
      </w:r>
    </w:p>
    <w:p w14:paraId="06D09699" w14:textId="2096826E"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Semiannual progress reports should also reflect the awardee’s continued focus on measuring the project’s impact on the overarching goals or problems the project set out to address.  An assessment of the overall project impact, as appropriate, should be included in each semiannual project report. </w:t>
      </w:r>
    </w:p>
    <w:p w14:paraId="03230A2E" w14:textId="6CAF11D7"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Progress reports are due 30 days after the end of each semiannual period; Semiannual Period One (SA1) is due April 30 covering the period October 1 – March 31, and SA2 is due October 30 covering the period April 1 – September 30.  Depending on the date of the award, the Recipient may submit reporting covering a portion of a semiannual period.</w:t>
      </w:r>
    </w:p>
    <w:p w14:paraId="7FF3DEE3" w14:textId="622F67AB"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Final Report</w:t>
      </w:r>
    </w:p>
    <w:p w14:paraId="73C4406F" w14:textId="3203E2B0"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The final report will be due no later than 90 days after completion or termination of all project activities.  The Final Report shall include the following elements: executive summary, successes, outcomes, best practices, how the project will be sustained, and a final financial report.  This is a separate and additional report to the one included as a deliverable of this project.</w:t>
      </w:r>
    </w:p>
    <w:p w14:paraId="1CBD2262" w14:textId="2067C12B"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7" w:anchor="ap2.1.200_1521.xii" w:history="1">
        <w:r w:rsidRPr="6FC3E2E7">
          <w:rPr>
            <w:rStyle w:val="Hyperlink"/>
            <w:rFonts w:ascii="Times New Roman" w:eastAsia="Times New Roman" w:hAnsi="Times New Roman" w:cs="Times New Roman"/>
            <w:sz w:val="24"/>
            <w:szCs w:val="24"/>
          </w:rPr>
          <w:t>2 CFR 200 Appendix XII—Award Term and Condition for Recipient Integrity and Performance Matters</w:t>
        </w:r>
      </w:hyperlink>
      <w:r w:rsidRPr="6FC3E2E7">
        <w:rPr>
          <w:rFonts w:ascii="Times New Roman" w:eastAsia="Times New Roman" w:hAnsi="Times New Roman" w:cs="Times New Roman"/>
          <w:color w:val="000000" w:themeColor="text1"/>
          <w:sz w:val="24"/>
          <w:szCs w:val="24"/>
        </w:rPr>
        <w:t>.</w:t>
      </w:r>
    </w:p>
    <w:p w14:paraId="6EE3C756" w14:textId="1E857F2B"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t>Foreign Assistance Data Review:</w:t>
      </w:r>
      <w:r w:rsidRPr="6FC3E2E7">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27DE6957" w14:textId="2C321FE5" w:rsidR="6FC3E2E7" w:rsidRDefault="6FC3E2E7" w:rsidP="6FC3E2E7">
      <w:pPr>
        <w:spacing w:line="240" w:lineRule="auto"/>
        <w:rPr>
          <w:rFonts w:ascii="Times New Roman" w:eastAsia="Times New Roman" w:hAnsi="Times New Roman" w:cs="Times New Roman"/>
          <w:color w:val="000000" w:themeColor="text1"/>
          <w:sz w:val="24"/>
          <w:szCs w:val="24"/>
        </w:rPr>
      </w:pPr>
    </w:p>
    <w:p w14:paraId="771B22C7" w14:textId="7395D75F"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color w:val="000000" w:themeColor="text1"/>
          <w:sz w:val="24"/>
          <w:szCs w:val="24"/>
        </w:rPr>
        <w:t>Please note:  Delays in reporting may result in delays of payment approvals and failure to provide required reports may jeopardize the recipient's’ ability to receive future U.S. government funds.  OES reserves the right to request any additional programmatic and/or financial project information during the award period.</w:t>
      </w:r>
    </w:p>
    <w:p w14:paraId="7839F8E0" w14:textId="1AE37B8D" w:rsidR="6FC3E2E7" w:rsidRDefault="6FC3E2E7" w:rsidP="6FC3E2E7">
      <w:pPr>
        <w:spacing w:after="0" w:line="240" w:lineRule="auto"/>
        <w:rPr>
          <w:rFonts w:ascii="Times New Roman" w:eastAsia="Times New Roman" w:hAnsi="Times New Roman" w:cs="Times New Roman"/>
          <w:color w:val="auto"/>
          <w:sz w:val="24"/>
          <w:szCs w:val="24"/>
        </w:rPr>
      </w:pP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2B11AB95" w14:textId="7728876D" w:rsidR="00754E7B" w:rsidRPr="00754E7B" w:rsidRDefault="388E7F71" w:rsidP="6FC3E2E7">
      <w:pPr>
        <w:pStyle w:val="NoSpacing"/>
        <w:rPr>
          <w:rFonts w:ascii="Times New Roman" w:eastAsia="Times New Roman" w:hAnsi="Times New Roman" w:cs="Times New Roman"/>
          <w:sz w:val="24"/>
          <w:szCs w:val="24"/>
        </w:rPr>
      </w:pPr>
      <w:r w:rsidRPr="6FC3E2E7">
        <w:rPr>
          <w:rFonts w:ascii="Times New Roman" w:eastAsia="Times New Roman" w:hAnsi="Times New Roman" w:cs="Times New Roman"/>
          <w:sz w:val="24"/>
          <w:szCs w:val="24"/>
        </w:rPr>
        <w:t xml:space="preserve">For program questions on content related to this </w:t>
      </w:r>
      <w:r w:rsidR="00A7A0A7" w:rsidRPr="6FC3E2E7">
        <w:rPr>
          <w:rFonts w:ascii="Times New Roman" w:eastAsia="Times New Roman" w:hAnsi="Times New Roman" w:cs="Times New Roman"/>
          <w:sz w:val="24"/>
          <w:szCs w:val="24"/>
        </w:rPr>
        <w:t>NOFO</w:t>
      </w:r>
      <w:r w:rsidRPr="6FC3E2E7">
        <w:rPr>
          <w:rFonts w:ascii="Times New Roman" w:eastAsia="Times New Roman" w:hAnsi="Times New Roman" w:cs="Times New Roman"/>
          <w:sz w:val="24"/>
          <w:szCs w:val="24"/>
        </w:rPr>
        <w:t>, please contact</w:t>
      </w:r>
      <w:r w:rsidRPr="6FC3E2E7">
        <w:rPr>
          <w:rFonts w:ascii="Times New Roman" w:eastAsia="Times New Roman" w:hAnsi="Times New Roman" w:cs="Times New Roman"/>
          <w:b/>
          <w:bCs/>
          <w:sz w:val="24"/>
          <w:szCs w:val="24"/>
        </w:rPr>
        <w:t xml:space="preserve"> </w:t>
      </w:r>
      <w:r w:rsidRPr="6FC3E2E7">
        <w:rPr>
          <w:rFonts w:ascii="Times New Roman" w:eastAsia="Times New Roman" w:hAnsi="Times New Roman" w:cs="Times New Roman"/>
          <w:sz w:val="24"/>
          <w:szCs w:val="24"/>
        </w:rPr>
        <w:t>Daniel Kandy (</w:t>
      </w:r>
      <w:hyperlink r:id="rId48" w:history="1">
        <w:r w:rsidRPr="6FC3E2E7">
          <w:rPr>
            <w:rFonts w:ascii="Times New Roman" w:eastAsia="Times New Roman" w:hAnsi="Times New Roman" w:cs="Times New Roman"/>
            <w:sz w:val="24"/>
            <w:szCs w:val="24"/>
          </w:rPr>
          <w:t>KandyDD@state</w:t>
        </w:r>
        <w:r w:rsidRPr="6FC3E2E7">
          <w:rPr>
            <w:rStyle w:val="Hyperlink"/>
            <w:rFonts w:ascii="Times New Roman" w:eastAsia="Times New Roman" w:hAnsi="Times New Roman" w:cs="Times New Roman"/>
            <w:sz w:val="24"/>
            <w:szCs w:val="24"/>
          </w:rPr>
          <w:t>.gov</w:t>
        </w:r>
      </w:hyperlink>
      <w:r w:rsidRPr="6FC3E2E7">
        <w:rPr>
          <w:rFonts w:ascii="Times New Roman" w:eastAsia="Times New Roman" w:hAnsi="Times New Roman" w:cs="Times New Roman"/>
          <w:sz w:val="24"/>
          <w:szCs w:val="24"/>
        </w:rPr>
        <w:t xml:space="preserve">) and Emily Hall (HallEE@state.gov). For technical submission questions, contact </w:t>
      </w:r>
      <w:r w:rsidR="6FC3E2E7" w:rsidRPr="6FC3E2E7">
        <w:rPr>
          <w:rFonts w:ascii="Times New Roman" w:eastAsia="Times New Roman" w:hAnsi="Times New Roman" w:cs="Times New Roman"/>
          <w:sz w:val="24"/>
          <w:szCs w:val="24"/>
        </w:rPr>
        <w:t>Emily Hall  (</w:t>
      </w:r>
      <w:hyperlink r:id="rId49" w:history="1">
        <w:r w:rsidR="6FC3E2E7" w:rsidRPr="6FC3E2E7">
          <w:rPr>
            <w:rFonts w:ascii="Times New Roman" w:eastAsia="Times New Roman" w:hAnsi="Times New Roman" w:cs="Times New Roman"/>
            <w:sz w:val="24"/>
            <w:szCs w:val="24"/>
          </w:rPr>
          <w:t>HallEE@state.gov</w:t>
        </w:r>
      </w:hyperlink>
      <w:r w:rsidR="6FC3E2E7" w:rsidRPr="6FC3E2E7">
        <w:rPr>
          <w:rFonts w:ascii="Times New Roman" w:eastAsia="Times New Roman" w:hAnsi="Times New Roman" w:cs="Times New Roman"/>
          <w:sz w:val="24"/>
          <w:szCs w:val="24"/>
        </w:rPr>
        <w:t xml:space="preserve">).   </w:t>
      </w:r>
    </w:p>
    <w:p w14:paraId="795FA0C3" w14:textId="505BE879" w:rsidR="00754E7B" w:rsidRPr="00754E7B" w:rsidRDefault="00754E7B" w:rsidP="6FC3E2E7">
      <w:pPr>
        <w:pStyle w:val="NoSpacing"/>
        <w:rPr>
          <w:rFonts w:ascii="Times New Roman" w:eastAsia="Times New Roman" w:hAnsi="Times New Roman" w:cs="Times New Roman"/>
          <w:sz w:val="24"/>
          <w:szCs w:val="24"/>
        </w:rPr>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 xml:space="preserve">for international </w:t>
      </w:r>
      <w:r w:rsidR="002F3763" w:rsidRPr="00032C17">
        <w:rPr>
          <w:rFonts w:ascii="Times New Roman" w:hAnsi="Times New Roman"/>
          <w:sz w:val="24"/>
          <w:szCs w:val="24"/>
        </w:rPr>
        <w:lastRenderedPageBreak/>
        <w:t>callers)</w:t>
      </w:r>
      <w:r w:rsidRPr="00B230F5">
        <w:rPr>
          <w:rFonts w:ascii="Times New Roman" w:hAnsi="Times New Roman" w:cs="Times New Roman"/>
          <w:sz w:val="24"/>
          <w:szCs w:val="24"/>
        </w:rPr>
        <w:t xml:space="preserve"> or through the Self Service online portal that can be accessed from </w:t>
      </w:r>
      <w:hyperlink r:id="rId50"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51"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5"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CA52ED" w:rsidP="00DA36CE">
      <w:pPr>
        <w:pStyle w:val="NoSpacing"/>
        <w:rPr>
          <w:rFonts w:ascii="Times New Roman" w:hAnsi="Times New Roman" w:cs="Times New Roman"/>
          <w:sz w:val="24"/>
          <w:szCs w:val="24"/>
        </w:rPr>
      </w:pPr>
      <w:hyperlink r:id="rId52" w:history="1">
        <w:r w:rsidR="00E63800" w:rsidRPr="00E63800">
          <w:rPr>
            <w:rStyle w:val="Hyperlink"/>
            <w:rFonts w:ascii="Times New Roman" w:hAnsi="Times New Roman" w:cs="Times New Roman"/>
            <w:sz w:val="24"/>
            <w:szCs w:val="24"/>
          </w:rPr>
          <w:t>https://www.opm.gov/policy-data-oversight/pay-leave/federal-holidays/</w:t>
        </w:r>
      </w:hyperlink>
    </w:p>
    <w:bookmarkEnd w:id="5"/>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22548DC2" w:rsidP="00DA36CE">
      <w:pPr>
        <w:pStyle w:val="NoSpacing"/>
      </w:pPr>
      <w:r w:rsidRPr="6FC3E2E7">
        <w:rPr>
          <w:rFonts w:ascii="Times New Roman" w:eastAsia="Times New Roman" w:hAnsi="Times New Roman" w:cs="Times New Roman"/>
          <w:sz w:val="24"/>
          <w:szCs w:val="24"/>
        </w:rPr>
        <w:t>Except for</w:t>
      </w:r>
      <w:r w:rsidR="388E7F71" w:rsidRPr="6FC3E2E7">
        <w:rPr>
          <w:rFonts w:ascii="Times New Roman" w:eastAsia="Times New Roman" w:hAnsi="Times New Roman" w:cs="Times New Roman"/>
          <w:sz w:val="24"/>
          <w:szCs w:val="24"/>
        </w:rPr>
        <w:t xml:space="preserve"> technical submission questions, during the </w:t>
      </w:r>
      <w:r w:rsidR="5FB57421" w:rsidRPr="6FC3E2E7">
        <w:rPr>
          <w:rFonts w:ascii="Times New Roman" w:eastAsia="Times New Roman" w:hAnsi="Times New Roman" w:cs="Times New Roman"/>
          <w:sz w:val="24"/>
          <w:szCs w:val="24"/>
        </w:rPr>
        <w:t xml:space="preserve">NOFO </w:t>
      </w:r>
      <w:r w:rsidR="388E7F71" w:rsidRPr="6FC3E2E7">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69209A0" w14:textId="2431B7C0" w:rsidR="6FC3E2E7" w:rsidRDefault="6FC3E2E7" w:rsidP="6FC3E2E7">
      <w:pPr>
        <w:pStyle w:val="NoSpacing"/>
        <w:rPr>
          <w:rFonts w:ascii="Times New Roman" w:eastAsia="Times New Roman" w:hAnsi="Times New Roman" w:cs="Times New Roman"/>
          <w:sz w:val="24"/>
          <w:szCs w:val="24"/>
        </w:rPr>
      </w:pP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4F5752B7" w:rsidR="00290D8C" w:rsidRPr="00DA36CE" w:rsidRDefault="388E7F71" w:rsidP="00DA36CE">
      <w:pPr>
        <w:pStyle w:val="NoSpacing"/>
        <w:rPr>
          <w:rFonts w:ascii="Times New Roman" w:hAnsi="Times New Roman" w:cs="Times New Roman"/>
          <w:sz w:val="24"/>
          <w:szCs w:val="24"/>
        </w:rPr>
      </w:pPr>
      <w:r w:rsidRPr="6FC3E2E7">
        <w:rPr>
          <w:rFonts w:ascii="Times New Roman" w:hAnsi="Times New Roman" w:cs="Times New Roman"/>
          <w:sz w:val="24"/>
          <w:szCs w:val="24"/>
        </w:rPr>
        <w:t>Applicants should be aware that</w:t>
      </w:r>
      <w:r w:rsidR="1C5D5A5C" w:rsidRPr="6FC3E2E7">
        <w:rPr>
          <w:rFonts w:ascii="Times New Roman" w:hAnsi="Times New Roman" w:cs="Times New Roman"/>
          <w:sz w:val="24"/>
          <w:szCs w:val="24"/>
        </w:rPr>
        <w:t xml:space="preserve"> OES</w:t>
      </w:r>
      <w:r w:rsidRPr="6FC3E2E7">
        <w:rPr>
          <w:rFonts w:ascii="Times New Roman" w:hAnsi="Times New Roman" w:cs="Times New Roman"/>
          <w:sz w:val="24"/>
          <w:szCs w:val="24"/>
        </w:rPr>
        <w:t xml:space="preserve"> understands that some information contained in applications may be considered sensitive or proprietary and will make appropriate efforts to protect such information.  However, applicants are advised that</w:t>
      </w:r>
      <w:r w:rsidR="3ACC0449" w:rsidRPr="6FC3E2E7">
        <w:rPr>
          <w:rFonts w:ascii="Times New Roman" w:hAnsi="Times New Roman" w:cs="Times New Roman"/>
          <w:sz w:val="24"/>
          <w:szCs w:val="24"/>
        </w:rPr>
        <w:t xml:space="preserve"> </w:t>
      </w:r>
      <w:r w:rsidRPr="6FC3E2E7">
        <w:rPr>
          <w:rFonts w:ascii="Times New Roman" w:hAnsi="Times New Roman" w:cs="Times New Roman"/>
          <w:sz w:val="24"/>
          <w:szCs w:val="24"/>
        </w:rPr>
        <w:t xml:space="preserve">OES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41055AB6" w14:textId="548FE5CE" w:rsidR="00AB3B1E" w:rsidRPr="00731219" w:rsidRDefault="388E7F71" w:rsidP="6FC3E2E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6FC3E2E7">
        <w:rPr>
          <w:rFonts w:ascii="Times New Roman" w:hAnsi="Times New Roman" w:cs="Times New Roman"/>
          <w:sz w:val="24"/>
          <w:szCs w:val="24"/>
        </w:rPr>
        <w:t>The i</w:t>
      </w:r>
      <w:r w:rsidR="04171A06" w:rsidRPr="6FC3E2E7">
        <w:rPr>
          <w:rFonts w:ascii="Times New Roman" w:hAnsi="Times New Roman" w:cs="Times New Roman"/>
          <w:sz w:val="24"/>
          <w:szCs w:val="24"/>
        </w:rPr>
        <w:t xml:space="preserve">nformation in this NOFO </w:t>
      </w:r>
      <w:r w:rsidRPr="6FC3E2E7">
        <w:rPr>
          <w:rFonts w:ascii="Times New Roman" w:hAnsi="Times New Roman" w:cs="Times New Roman"/>
          <w:sz w:val="24"/>
          <w:szCs w:val="24"/>
        </w:rPr>
        <w:t xml:space="preserve">is binding and may not be modified by any OES representative. Explanatory information provided by OES that contradicts this language will not be binding. </w:t>
      </w:r>
      <w:r w:rsidR="686593FB" w:rsidRPr="6FC3E2E7">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5F0A048" w14:textId="0575E0CC" w:rsidR="00290D8C" w:rsidRPr="00DA36CE" w:rsidRDefault="00290D8C" w:rsidP="00DA36CE">
      <w:pPr>
        <w:pStyle w:val="NoSpacing"/>
        <w:rPr>
          <w:rFonts w:ascii="Times New Roman" w:hAnsi="Times New Roman" w:cs="Times New Roman"/>
          <w:sz w:val="24"/>
          <w:szCs w:val="24"/>
        </w:rPr>
      </w:pPr>
    </w:p>
    <w:p w14:paraId="38A465E3" w14:textId="7076955D" w:rsidR="6FC3E2E7" w:rsidRDefault="6FC3E2E7" w:rsidP="6FC3E2E7">
      <w:pPr>
        <w:pStyle w:val="NoSpacing"/>
        <w:rPr>
          <w:rFonts w:ascii="Times New Roman" w:hAnsi="Times New Roman" w:cs="Times New Roman"/>
          <w:sz w:val="24"/>
          <w:szCs w:val="24"/>
        </w:rPr>
      </w:pPr>
    </w:p>
    <w:p w14:paraId="6CF04915" w14:textId="2B82FC2E" w:rsidR="6FC3E2E7" w:rsidRDefault="6FC3E2E7" w:rsidP="6FC3E2E7">
      <w:pPr>
        <w:pStyle w:val="NoSpacing"/>
        <w:rPr>
          <w:rFonts w:ascii="Times New Roman" w:hAnsi="Times New Roman" w:cs="Times New Roman"/>
          <w:sz w:val="24"/>
          <w:szCs w:val="24"/>
        </w:rPr>
      </w:pPr>
    </w:p>
    <w:p w14:paraId="4177E468" w14:textId="2743F0F0" w:rsidR="6FC3E2E7" w:rsidRDefault="6FC3E2E7" w:rsidP="6FC3E2E7">
      <w:pPr>
        <w:pStyle w:val="NoSpacing"/>
        <w:rPr>
          <w:rFonts w:ascii="Times New Roman" w:hAnsi="Times New Roman" w:cs="Times New Roman"/>
          <w:sz w:val="24"/>
          <w:szCs w:val="24"/>
        </w:rPr>
      </w:pPr>
    </w:p>
    <w:p w14:paraId="4332DAF3" w14:textId="6316C91B" w:rsidR="6FC3E2E7" w:rsidRDefault="6FC3E2E7" w:rsidP="6FC3E2E7">
      <w:pPr>
        <w:pStyle w:val="NoSpacing"/>
        <w:rPr>
          <w:rFonts w:ascii="Times New Roman" w:hAnsi="Times New Roman" w:cs="Times New Roman"/>
          <w:sz w:val="24"/>
          <w:szCs w:val="24"/>
        </w:rPr>
      </w:pPr>
    </w:p>
    <w:p w14:paraId="48313D70" w14:textId="5AB4A7BF" w:rsidR="6FC3E2E7" w:rsidRDefault="6FC3E2E7" w:rsidP="6FC3E2E7">
      <w:pPr>
        <w:pStyle w:val="NoSpacing"/>
        <w:rPr>
          <w:rFonts w:ascii="Times New Roman" w:hAnsi="Times New Roman" w:cs="Times New Roman"/>
          <w:sz w:val="24"/>
          <w:szCs w:val="24"/>
        </w:rPr>
      </w:pPr>
    </w:p>
    <w:p w14:paraId="1AD84E8E" w14:textId="7A7D101F" w:rsidR="6FC3E2E7" w:rsidRDefault="6FC3E2E7" w:rsidP="6FC3E2E7">
      <w:pPr>
        <w:pStyle w:val="NoSpacing"/>
        <w:rPr>
          <w:rFonts w:ascii="Times New Roman" w:hAnsi="Times New Roman" w:cs="Times New Roman"/>
          <w:sz w:val="24"/>
          <w:szCs w:val="24"/>
        </w:rPr>
      </w:pPr>
    </w:p>
    <w:p w14:paraId="3CF150FE" w14:textId="367D2D6A" w:rsidR="6FC3E2E7" w:rsidRDefault="6FC3E2E7" w:rsidP="6FC3E2E7">
      <w:pPr>
        <w:pStyle w:val="NoSpacing"/>
        <w:rPr>
          <w:rFonts w:ascii="Times New Roman" w:hAnsi="Times New Roman" w:cs="Times New Roman"/>
          <w:sz w:val="24"/>
          <w:szCs w:val="24"/>
        </w:rPr>
      </w:pPr>
    </w:p>
    <w:p w14:paraId="5A219193" w14:textId="3D324BA0" w:rsidR="6FC3E2E7" w:rsidRDefault="6FC3E2E7" w:rsidP="6FC3E2E7">
      <w:pPr>
        <w:pStyle w:val="NoSpacing"/>
        <w:rPr>
          <w:rFonts w:ascii="Times New Roman" w:hAnsi="Times New Roman" w:cs="Times New Roman"/>
          <w:sz w:val="24"/>
          <w:szCs w:val="24"/>
        </w:rPr>
      </w:pPr>
    </w:p>
    <w:p w14:paraId="71A35202" w14:textId="000DB12C" w:rsidR="6FC3E2E7" w:rsidRDefault="6FC3E2E7" w:rsidP="6FC3E2E7">
      <w:pPr>
        <w:pStyle w:val="NoSpacing"/>
        <w:rPr>
          <w:rFonts w:ascii="Times New Roman" w:hAnsi="Times New Roman" w:cs="Times New Roman"/>
          <w:sz w:val="24"/>
          <w:szCs w:val="24"/>
        </w:rPr>
      </w:pPr>
    </w:p>
    <w:p w14:paraId="0E0E70FF" w14:textId="7A97108B" w:rsidR="6FC3E2E7" w:rsidRDefault="6FC3E2E7" w:rsidP="6FC3E2E7">
      <w:pPr>
        <w:pStyle w:val="NoSpacing"/>
        <w:rPr>
          <w:rFonts w:ascii="Times New Roman" w:hAnsi="Times New Roman" w:cs="Times New Roman"/>
          <w:sz w:val="24"/>
          <w:szCs w:val="24"/>
        </w:rPr>
      </w:pPr>
    </w:p>
    <w:p w14:paraId="4A86EDF6" w14:textId="3CA5A27A" w:rsidR="6FC3E2E7" w:rsidRDefault="6FC3E2E7" w:rsidP="6FC3E2E7">
      <w:pPr>
        <w:pStyle w:val="NoSpacing"/>
        <w:rPr>
          <w:rFonts w:ascii="Times New Roman" w:hAnsi="Times New Roman" w:cs="Times New Roman"/>
          <w:sz w:val="24"/>
          <w:szCs w:val="24"/>
        </w:rPr>
      </w:pPr>
    </w:p>
    <w:p w14:paraId="67A8F424" w14:textId="0666BEF0" w:rsidR="6FC3E2E7" w:rsidRDefault="6FC3E2E7" w:rsidP="6FC3E2E7">
      <w:pPr>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4"/>
          <w:szCs w:val="24"/>
        </w:rPr>
        <w:lastRenderedPageBreak/>
        <w:t>ANNEX I–SAMPLE LETTER OF INSTITUTIONAL SUPPORT TO THE:</w:t>
      </w:r>
    </w:p>
    <w:p w14:paraId="60EEE2DD" w14:textId="158D246F" w:rsidR="6FC3E2E7" w:rsidRDefault="6FC3E2E7" w:rsidP="6FC3E2E7">
      <w:pPr>
        <w:pStyle w:val="NoSpacing"/>
        <w:jc w:val="center"/>
        <w:rPr>
          <w:rFonts w:ascii="Times" w:eastAsia="Times" w:hAnsi="Times" w:cs="Times"/>
          <w:color w:val="000000" w:themeColor="text1"/>
        </w:rPr>
      </w:pPr>
      <w:r w:rsidRPr="6FC3E2E7">
        <w:rPr>
          <w:rFonts w:ascii="Times" w:eastAsia="Times" w:hAnsi="Times" w:cs="Times"/>
          <w:color w:val="000000" w:themeColor="text1"/>
        </w:rPr>
        <w:t>Bureau of Oceans, and International Environmental and Scientific Affairs (OES)</w:t>
      </w:r>
    </w:p>
    <w:p w14:paraId="79D3A84E" w14:textId="34DFFC0D" w:rsidR="6FC3E2E7" w:rsidRDefault="6FC3E2E7" w:rsidP="6FC3E2E7">
      <w:pPr>
        <w:pStyle w:val="NoSpacing"/>
        <w:jc w:val="center"/>
        <w:rPr>
          <w:rFonts w:ascii="Times" w:eastAsia="Times" w:hAnsi="Times" w:cs="Times"/>
          <w:color w:val="000000" w:themeColor="text1"/>
        </w:rPr>
      </w:pPr>
      <w:r w:rsidRPr="6FC3E2E7">
        <w:rPr>
          <w:rFonts w:ascii="Times" w:eastAsia="Times" w:hAnsi="Times" w:cs="Times"/>
          <w:color w:val="000000" w:themeColor="text1"/>
        </w:rPr>
        <w:t>U.S. Department of State</w:t>
      </w:r>
    </w:p>
    <w:p w14:paraId="550A1C82" w14:textId="7EE0FA94" w:rsidR="6FC3E2E7" w:rsidRDefault="6FC3E2E7" w:rsidP="6FC3E2E7">
      <w:pPr>
        <w:pStyle w:val="NoSpacing"/>
        <w:jc w:val="center"/>
        <w:rPr>
          <w:rFonts w:ascii="Times" w:eastAsia="Times" w:hAnsi="Times" w:cs="Times"/>
          <w:color w:val="000000" w:themeColor="text1"/>
        </w:rPr>
      </w:pPr>
      <w:r w:rsidRPr="6FC3E2E7">
        <w:rPr>
          <w:rFonts w:ascii="Times" w:eastAsia="Times" w:hAnsi="Times" w:cs="Times"/>
          <w:color w:val="000000" w:themeColor="text1"/>
        </w:rPr>
        <w:t>Room 2201 C Street, NW</w:t>
      </w:r>
    </w:p>
    <w:p w14:paraId="63B74D64" w14:textId="7C904264" w:rsidR="6FC3E2E7" w:rsidRDefault="6FC3E2E7" w:rsidP="6FC3E2E7">
      <w:pPr>
        <w:pStyle w:val="NoSpacing"/>
        <w:jc w:val="center"/>
        <w:rPr>
          <w:rFonts w:ascii="Times" w:eastAsia="Times" w:hAnsi="Times" w:cs="Times"/>
          <w:color w:val="000000" w:themeColor="text1"/>
        </w:rPr>
      </w:pPr>
      <w:r w:rsidRPr="6FC3E2E7">
        <w:rPr>
          <w:rFonts w:ascii="Times" w:eastAsia="Times" w:hAnsi="Times" w:cs="Times"/>
          <w:color w:val="000000" w:themeColor="text1"/>
        </w:rPr>
        <w:t>Washington, D.C. 20520</w:t>
      </w:r>
    </w:p>
    <w:p w14:paraId="2F1CD6AC" w14:textId="2FB762B4" w:rsidR="6FC3E2E7" w:rsidRDefault="6FC3E2E7" w:rsidP="6FC3E2E7">
      <w:pPr>
        <w:spacing w:after="160" w:line="259"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[applicant Institution Letterhead]</w:t>
      </w:r>
    </w:p>
    <w:p w14:paraId="24744592" w14:textId="186DC390"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Date:</w:t>
      </w:r>
    </w:p>
    <w:p w14:paraId="0669B11A" w14:textId="27CAB045" w:rsidR="6FC3E2E7" w:rsidRDefault="6FC3E2E7" w:rsidP="6FC3E2E7">
      <w:pPr>
        <w:pStyle w:val="NoSpacing"/>
        <w:rPr>
          <w:rFonts w:ascii="Times" w:eastAsia="Times" w:hAnsi="Times" w:cs="Times"/>
          <w:color w:val="000000" w:themeColor="text1"/>
          <w:sz w:val="24"/>
          <w:szCs w:val="24"/>
        </w:rPr>
      </w:pPr>
      <w:r w:rsidRPr="6FC3E2E7">
        <w:rPr>
          <w:rFonts w:ascii="Times" w:eastAsia="Times" w:hAnsi="Times" w:cs="Times"/>
          <w:color w:val="000000" w:themeColor="text1"/>
          <w:sz w:val="24"/>
          <w:szCs w:val="24"/>
        </w:rPr>
        <w:t>Name of higher executive supportive of the proposal submission</w:t>
      </w:r>
    </w:p>
    <w:p w14:paraId="199AC804" w14:textId="034CED31" w:rsidR="6FC3E2E7" w:rsidRDefault="6FC3E2E7" w:rsidP="6FC3E2E7">
      <w:pPr>
        <w:pStyle w:val="NoSpacing"/>
        <w:rPr>
          <w:rFonts w:ascii="Times" w:eastAsia="Times" w:hAnsi="Times" w:cs="Times"/>
          <w:color w:val="000000" w:themeColor="text1"/>
          <w:sz w:val="24"/>
          <w:szCs w:val="24"/>
        </w:rPr>
      </w:pPr>
      <w:r w:rsidRPr="6FC3E2E7">
        <w:rPr>
          <w:rFonts w:ascii="Times" w:eastAsia="Times" w:hAnsi="Times" w:cs="Times"/>
          <w:color w:val="000000" w:themeColor="text1"/>
          <w:sz w:val="24"/>
          <w:szCs w:val="24"/>
        </w:rPr>
        <w:t>Street Address</w:t>
      </w:r>
    </w:p>
    <w:p w14:paraId="08564B6E" w14:textId="2709DC45" w:rsidR="6FC3E2E7" w:rsidRDefault="6FC3E2E7" w:rsidP="6FC3E2E7">
      <w:pPr>
        <w:pStyle w:val="NoSpacing"/>
        <w:rPr>
          <w:rFonts w:ascii="Times" w:eastAsia="Times" w:hAnsi="Times" w:cs="Times"/>
          <w:color w:val="000000" w:themeColor="text1"/>
          <w:sz w:val="24"/>
          <w:szCs w:val="24"/>
        </w:rPr>
      </w:pPr>
      <w:r w:rsidRPr="6FC3E2E7">
        <w:rPr>
          <w:rFonts w:ascii="Times" w:eastAsia="Times" w:hAnsi="Times" w:cs="Times"/>
          <w:color w:val="000000" w:themeColor="text1"/>
          <w:sz w:val="24"/>
          <w:szCs w:val="24"/>
        </w:rPr>
        <w:t xml:space="preserve">State, and zip code, </w:t>
      </w:r>
    </w:p>
    <w:p w14:paraId="1B86C513" w14:textId="5A167C5A" w:rsidR="6FC3E2E7" w:rsidRDefault="6FC3E2E7" w:rsidP="6FC3E2E7">
      <w:pPr>
        <w:pStyle w:val="NoSpacing"/>
        <w:rPr>
          <w:rFonts w:ascii="Times" w:eastAsia="Times" w:hAnsi="Times" w:cs="Times"/>
          <w:color w:val="000000" w:themeColor="text1"/>
          <w:sz w:val="24"/>
          <w:szCs w:val="24"/>
        </w:rPr>
      </w:pPr>
      <w:r w:rsidRPr="6FC3E2E7">
        <w:rPr>
          <w:rFonts w:ascii="Times" w:eastAsia="Times" w:hAnsi="Times" w:cs="Times"/>
          <w:color w:val="000000" w:themeColor="text1"/>
          <w:sz w:val="24"/>
          <w:szCs w:val="24"/>
        </w:rPr>
        <w:t>email, phone number</w:t>
      </w:r>
    </w:p>
    <w:p w14:paraId="07532512" w14:textId="21D8FB61" w:rsidR="6FC3E2E7" w:rsidRDefault="6FC3E2E7" w:rsidP="6FC3E2E7">
      <w:pPr>
        <w:spacing w:after="160" w:line="240" w:lineRule="auto"/>
        <w:rPr>
          <w:rFonts w:ascii="Times New Roman" w:eastAsia="Times New Roman" w:hAnsi="Times New Roman" w:cs="Times New Roman"/>
          <w:color w:val="000000" w:themeColor="text1"/>
        </w:rPr>
      </w:pPr>
    </w:p>
    <w:p w14:paraId="3AAD2E77" w14:textId="2712C83C" w:rsidR="6FC3E2E7" w:rsidRDefault="6FC3E2E7" w:rsidP="6FC3E2E7">
      <w:pPr>
        <w:pStyle w:val="NoSpacing"/>
        <w:rPr>
          <w:color w:val="000000" w:themeColor="text1"/>
        </w:rPr>
      </w:pPr>
      <w:r w:rsidRPr="6FC3E2E7">
        <w:rPr>
          <w:color w:val="000000" w:themeColor="text1"/>
        </w:rPr>
        <w:t xml:space="preserve">Attention: </w:t>
      </w:r>
      <w:r>
        <w:tab/>
      </w:r>
      <w:r w:rsidRPr="6FC3E2E7">
        <w:rPr>
          <w:color w:val="000000" w:themeColor="text1"/>
        </w:rPr>
        <w:t>Maria Urbina</w:t>
      </w:r>
    </w:p>
    <w:p w14:paraId="36F9D051" w14:textId="3E2B0556" w:rsidR="6FC3E2E7" w:rsidRDefault="6FC3E2E7" w:rsidP="6FC3E2E7">
      <w:pPr>
        <w:pStyle w:val="NoSpacing"/>
        <w:ind w:left="720" w:firstLine="720"/>
        <w:rPr>
          <w:rFonts w:ascii="Times" w:eastAsia="Times" w:hAnsi="Times" w:cs="Times"/>
          <w:color w:val="000000" w:themeColor="text1"/>
        </w:rPr>
      </w:pPr>
      <w:r w:rsidRPr="6FC3E2E7">
        <w:rPr>
          <w:rFonts w:ascii="Times" w:eastAsia="Times" w:hAnsi="Times" w:cs="Times"/>
          <w:color w:val="000000" w:themeColor="text1"/>
        </w:rPr>
        <w:t>Bureau of Oceans, Environmental and International Affairs</w:t>
      </w:r>
    </w:p>
    <w:p w14:paraId="4EBE7EE2" w14:textId="584E83A1" w:rsidR="6FC3E2E7" w:rsidRDefault="6FC3E2E7" w:rsidP="6FC3E2E7">
      <w:pPr>
        <w:pStyle w:val="NoSpacing"/>
        <w:ind w:left="1440"/>
        <w:rPr>
          <w:rFonts w:ascii="Times" w:eastAsia="Times" w:hAnsi="Times" w:cs="Times"/>
          <w:color w:val="000000" w:themeColor="text1"/>
        </w:rPr>
      </w:pPr>
      <w:r w:rsidRPr="6FC3E2E7">
        <w:rPr>
          <w:rFonts w:ascii="Times" w:eastAsia="Times" w:hAnsi="Times" w:cs="Times"/>
          <w:color w:val="000000" w:themeColor="text1"/>
        </w:rPr>
        <w:t>U.S. Department of State</w:t>
      </w:r>
    </w:p>
    <w:p w14:paraId="46A74697" w14:textId="3DF20591" w:rsidR="6FC3E2E7" w:rsidRDefault="6FC3E2E7" w:rsidP="6FC3E2E7">
      <w:pPr>
        <w:spacing w:after="160" w:line="240" w:lineRule="auto"/>
        <w:rPr>
          <w:rFonts w:ascii="Times New Roman" w:eastAsia="Times New Roman" w:hAnsi="Times New Roman" w:cs="Times New Roman"/>
          <w:color w:val="000000" w:themeColor="text1"/>
        </w:rPr>
      </w:pPr>
    </w:p>
    <w:p w14:paraId="3A864EBE" w14:textId="452EDA88"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b/>
          <w:bCs/>
          <w:color w:val="000000" w:themeColor="text1"/>
        </w:rPr>
        <w:t xml:space="preserve">RE: Letter of support for Request for Applications # </w:t>
      </w:r>
    </w:p>
    <w:p w14:paraId="0322CCC9" w14:textId="4E2AEDE6" w:rsidR="6FC3E2E7" w:rsidRDefault="6FC3E2E7" w:rsidP="6FC3E2E7">
      <w:pPr>
        <w:spacing w:after="160" w:line="240" w:lineRule="auto"/>
        <w:rPr>
          <w:rFonts w:ascii="Times New Roman" w:eastAsia="Times New Roman" w:hAnsi="Times New Roman" w:cs="Times New Roman"/>
          <w:color w:val="000000" w:themeColor="text1"/>
        </w:rPr>
      </w:pPr>
    </w:p>
    <w:p w14:paraId="189BD4D2" w14:textId="4768A928"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5AED85C7" w14:textId="4CCC8C16"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2AE16BCD" w14:textId="6DD2DA2E" w:rsidR="6FC3E2E7" w:rsidRDefault="6FC3E2E7" w:rsidP="6FC3E2E7">
      <w:pPr>
        <w:spacing w:after="120" w:line="240" w:lineRule="auto"/>
        <w:rPr>
          <w:rFonts w:ascii="Times New Roman" w:eastAsia="Times New Roman" w:hAnsi="Times New Roman" w:cs="Times New Roman"/>
          <w:color w:val="000000" w:themeColor="text1"/>
        </w:rPr>
      </w:pPr>
    </w:p>
    <w:p w14:paraId="1A28982C" w14:textId="2E3C5815"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 xml:space="preserve">Sincerely, </w:t>
      </w:r>
    </w:p>
    <w:p w14:paraId="5DFA45ED" w14:textId="45A9C02C"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 xml:space="preserve">[Sr. officer of the institution] </w:t>
      </w:r>
    </w:p>
    <w:p w14:paraId="34FE63AF" w14:textId="408CF406" w:rsidR="6FC3E2E7" w:rsidRDefault="6FC3E2E7" w:rsidP="6FC3E2E7">
      <w:pPr>
        <w:spacing w:after="160" w:line="240"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Signature of President or</w:t>
      </w:r>
    </w:p>
    <w:p w14:paraId="0412FF1E" w14:textId="1E1E4E47" w:rsidR="6FC3E2E7" w:rsidRDefault="6FC3E2E7" w:rsidP="6FC3E2E7">
      <w:pPr>
        <w:spacing w:after="160" w:line="259" w:lineRule="auto"/>
        <w:rPr>
          <w:rFonts w:ascii="Times New Roman" w:eastAsia="Times New Roman" w:hAnsi="Times New Roman" w:cs="Times New Roman"/>
          <w:color w:val="000000" w:themeColor="text1"/>
        </w:rPr>
      </w:pPr>
      <w:r w:rsidRPr="6FC3E2E7">
        <w:rPr>
          <w:rFonts w:ascii="Times New Roman" w:eastAsia="Times New Roman" w:hAnsi="Times New Roman" w:cs="Times New Roman"/>
          <w:color w:val="000000" w:themeColor="text1"/>
        </w:rPr>
        <w:t>Executive Office</w:t>
      </w:r>
    </w:p>
    <w:p w14:paraId="4BA74503" w14:textId="15A11A79" w:rsidR="6FC3E2E7" w:rsidRDefault="6FC3E2E7" w:rsidP="6FC3E2E7">
      <w:pPr>
        <w:spacing w:after="160" w:line="240" w:lineRule="auto"/>
        <w:ind w:left="720"/>
        <w:rPr>
          <w:rFonts w:ascii="Times New Roman" w:eastAsia="Times New Roman" w:hAnsi="Times New Roman" w:cs="Times New Roman"/>
          <w:color w:val="000000" w:themeColor="text1"/>
          <w:sz w:val="24"/>
          <w:szCs w:val="24"/>
        </w:rPr>
      </w:pPr>
    </w:p>
    <w:p w14:paraId="738C5DAB" w14:textId="02BD3E43" w:rsidR="6FC3E2E7" w:rsidRDefault="6FC3E2E7" w:rsidP="6FC3E2E7">
      <w:pPr>
        <w:spacing w:line="240" w:lineRule="auto"/>
        <w:rPr>
          <w:rFonts w:ascii="Times New Roman" w:eastAsia="Times New Roman" w:hAnsi="Times New Roman" w:cs="Times New Roman"/>
          <w:color w:val="000000" w:themeColor="text1"/>
          <w:sz w:val="24"/>
          <w:szCs w:val="24"/>
        </w:rPr>
      </w:pPr>
    </w:p>
    <w:p w14:paraId="55F505F4" w14:textId="2DB7DC8E" w:rsidR="6FC3E2E7" w:rsidRDefault="6FC3E2E7" w:rsidP="6FC3E2E7">
      <w:pPr>
        <w:spacing w:line="240" w:lineRule="auto"/>
        <w:rPr>
          <w:rFonts w:ascii="Times New Roman" w:eastAsia="Times New Roman" w:hAnsi="Times New Roman" w:cs="Times New Roman"/>
          <w:color w:val="000000" w:themeColor="text1"/>
          <w:sz w:val="24"/>
          <w:szCs w:val="24"/>
        </w:rPr>
      </w:pPr>
    </w:p>
    <w:p w14:paraId="007E064F" w14:textId="36764349" w:rsidR="6FC3E2E7" w:rsidRDefault="6FC3E2E7" w:rsidP="6FC3E2E7">
      <w:pPr>
        <w:spacing w:line="240" w:lineRule="auto"/>
        <w:rPr>
          <w:rFonts w:ascii="Times New Roman" w:eastAsia="Times New Roman" w:hAnsi="Times New Roman" w:cs="Times New Roman"/>
          <w:color w:val="000000" w:themeColor="text1"/>
          <w:sz w:val="24"/>
          <w:szCs w:val="24"/>
        </w:rPr>
      </w:pPr>
    </w:p>
    <w:p w14:paraId="7200070E" w14:textId="77777777" w:rsidR="00F561F7" w:rsidRDefault="00F561F7" w:rsidP="6FC3E2E7">
      <w:pPr>
        <w:spacing w:line="240" w:lineRule="auto"/>
        <w:rPr>
          <w:rFonts w:ascii="Times New Roman" w:eastAsia="Times New Roman" w:hAnsi="Times New Roman" w:cs="Times New Roman"/>
          <w:color w:val="000000" w:themeColor="text1"/>
          <w:sz w:val="24"/>
          <w:szCs w:val="24"/>
        </w:rPr>
      </w:pPr>
    </w:p>
    <w:p w14:paraId="42C0A019" w14:textId="1E2C1EE2" w:rsidR="6FC3E2E7" w:rsidRDefault="6FC3E2E7" w:rsidP="6FC3E2E7">
      <w:pPr>
        <w:spacing w:line="240" w:lineRule="auto"/>
        <w:rPr>
          <w:rFonts w:ascii="Times New Roman" w:eastAsia="Times New Roman" w:hAnsi="Times New Roman" w:cs="Times New Roman"/>
          <w:color w:val="000000" w:themeColor="text1"/>
          <w:sz w:val="28"/>
          <w:szCs w:val="28"/>
        </w:rPr>
      </w:pPr>
      <w:r w:rsidRPr="6FC3E2E7">
        <w:rPr>
          <w:rFonts w:ascii="Times New Roman" w:eastAsia="Times New Roman" w:hAnsi="Times New Roman" w:cs="Times New Roman"/>
          <w:b/>
          <w:bCs/>
          <w:color w:val="000000" w:themeColor="text1"/>
          <w:sz w:val="28"/>
          <w:szCs w:val="28"/>
        </w:rPr>
        <w:lastRenderedPageBreak/>
        <w:t xml:space="preserve">ANNEX II: Performance Indicator Definitions - </w:t>
      </w:r>
    </w:p>
    <w:p w14:paraId="19F2DAEF" w14:textId="17E2D0E5" w:rsidR="6FC3E2E7" w:rsidRDefault="6FC3E2E7" w:rsidP="6FC3E2E7">
      <w:pPr>
        <w:spacing w:line="240" w:lineRule="auto"/>
        <w:rPr>
          <w:rFonts w:ascii="Times New Roman" w:eastAsia="Times New Roman" w:hAnsi="Times New Roman" w:cs="Times New Roman"/>
          <w:color w:val="000000" w:themeColor="text1"/>
          <w:sz w:val="24"/>
          <w:szCs w:val="24"/>
        </w:rPr>
      </w:pPr>
      <w:r w:rsidRPr="6FC3E2E7">
        <w:rPr>
          <w:rFonts w:ascii="Times New Roman" w:eastAsia="Times New Roman" w:hAnsi="Times New Roman" w:cs="Times New Roman"/>
          <w:b/>
          <w:bCs/>
          <w:color w:val="000000" w:themeColor="text1"/>
          <w:sz w:val="28"/>
          <w:szCs w:val="28"/>
        </w:rPr>
        <w:t xml:space="preserve">Directions:  </w:t>
      </w:r>
      <w:r w:rsidRPr="6FC3E2E7">
        <w:rPr>
          <w:rFonts w:ascii="Times New Roman" w:eastAsia="Times New Roman" w:hAnsi="Times New Roman" w:cs="Times New Roman"/>
          <w:color w:val="000000" w:themeColor="text1"/>
          <w:sz w:val="24"/>
          <w:szCs w:val="24"/>
        </w:rPr>
        <w:t>Utilize those thematic indicators as relevant</w:t>
      </w:r>
    </w:p>
    <w:p w14:paraId="0788CDD4" w14:textId="4AACCBFD" w:rsidR="6FC3E2E7" w:rsidRDefault="6FC3E2E7" w:rsidP="6FC3E2E7">
      <w:pPr>
        <w:pStyle w:val="NoSpacing"/>
        <w:rPr>
          <w:rFonts w:ascii="Times New Roman" w:hAnsi="Times New Roman" w:cs="Times New Roman"/>
          <w:sz w:val="24"/>
          <w:szCs w:val="24"/>
        </w:rPr>
      </w:pPr>
    </w:p>
    <w:p w14:paraId="72A1ACA3" w14:textId="1EA74A2C" w:rsidR="6FC3E2E7" w:rsidRDefault="6FC3E2E7" w:rsidP="6FC3E2E7">
      <w:pPr>
        <w:spacing w:line="240" w:lineRule="auto"/>
        <w:rPr>
          <w:rFonts w:ascii="Times New Roman" w:eastAsia="Times New Roman" w:hAnsi="Times New Roman" w:cs="Times New Roman"/>
          <w:color w:val="000000" w:themeColor="text1"/>
          <w:sz w:val="28"/>
          <w:szCs w:val="28"/>
        </w:rPr>
      </w:pPr>
      <w:r w:rsidRPr="6FC3E2E7">
        <w:rPr>
          <w:rFonts w:ascii="Times New Roman" w:eastAsia="Times New Roman" w:hAnsi="Times New Roman" w:cs="Times New Roman"/>
          <w:b/>
          <w:bCs/>
          <w:color w:val="000000" w:themeColor="text1"/>
          <w:sz w:val="28"/>
          <w:szCs w:val="28"/>
        </w:rPr>
        <w:t>Sustainable Landscapes Indicators</w:t>
      </w:r>
    </w:p>
    <w:tbl>
      <w:tblPr>
        <w:tblW w:w="0" w:type="auto"/>
        <w:tblLayout w:type="fixed"/>
        <w:tblLook w:val="04A0" w:firstRow="1" w:lastRow="0" w:firstColumn="1" w:lastColumn="0" w:noHBand="0" w:noVBand="1"/>
      </w:tblPr>
      <w:tblGrid>
        <w:gridCol w:w="1425"/>
        <w:gridCol w:w="7920"/>
      </w:tblGrid>
      <w:tr w:rsidR="6FC3E2E7" w14:paraId="241E345F" w14:textId="77777777" w:rsidTr="6FC3E2E7">
        <w:trPr>
          <w:trHeight w:val="855"/>
        </w:trPr>
        <w:tc>
          <w:tcPr>
            <w:tcW w:w="142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9DDE0CD" w14:textId="105059EE"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Indicator</w:t>
            </w:r>
          </w:p>
        </w:tc>
        <w:tc>
          <w:tcPr>
            <w:tcW w:w="792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84D2850" w14:textId="67F884A5"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EG.13-1 Number of people trained in sustainable landscapes supported by USG assistance</w:t>
            </w:r>
          </w:p>
        </w:tc>
      </w:tr>
      <w:tr w:rsidR="6FC3E2E7" w14:paraId="21597C38" w14:textId="77777777" w:rsidTr="6FC3E2E7">
        <w:trPr>
          <w:trHeight w:val="1005"/>
        </w:trPr>
        <w:tc>
          <w:tcPr>
            <w:tcW w:w="1425" w:type="dxa"/>
            <w:tcBorders>
              <w:top w:val="single" w:sz="6" w:space="0" w:color="auto"/>
              <w:left w:val="single" w:sz="6" w:space="0" w:color="auto"/>
              <w:bottom w:val="single" w:sz="6" w:space="0" w:color="000000" w:themeColor="text1"/>
              <w:right w:val="single" w:sz="6" w:space="0" w:color="auto"/>
            </w:tcBorders>
            <w:vAlign w:val="center"/>
          </w:tcPr>
          <w:p w14:paraId="3E289922" w14:textId="7D19A083"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Definition</w:t>
            </w:r>
          </w:p>
        </w:tc>
        <w:tc>
          <w:tcPr>
            <w:tcW w:w="7920" w:type="dxa"/>
            <w:tcBorders>
              <w:top w:val="single" w:sz="6" w:space="0" w:color="auto"/>
              <w:left w:val="single" w:sz="6" w:space="0" w:color="auto"/>
              <w:bottom w:val="single" w:sz="6" w:space="0" w:color="000000" w:themeColor="text1"/>
              <w:right w:val="single" w:sz="6" w:space="0" w:color="auto"/>
            </w:tcBorders>
          </w:tcPr>
          <w:p w14:paraId="4289B869" w14:textId="4FC77013"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Training is defined as a learning activity involving: 1) a setting intended for teaching or transferring knowledge, skills, or approaches; 2) a formally designated instructor or lead person; and 3) a defined curriculum, learning objectives, or outcomes.</w:t>
            </w:r>
            <w:r>
              <w:br/>
            </w:r>
            <w:r>
              <w:br/>
            </w:r>
            <w:r w:rsidRPr="6FC3E2E7">
              <w:rPr>
                <w:rFonts w:ascii="Arial Narrow" w:eastAsia="Arial Narrow" w:hAnsi="Arial Narrow" w:cs="Arial Narrow"/>
                <w:color w:val="000000" w:themeColor="text1"/>
                <w:sz w:val="20"/>
                <w:szCs w:val="20"/>
              </w:rPr>
              <w:t>Training can include long-term academic degree programs, short- or long- term non-degree technical courses in academic or in other settings, seminars, workshops, conferences, on-the-job learning experiences, observational study tours, distance learning, or similar activities as long as it includes the three elements above.</w:t>
            </w:r>
            <w:r>
              <w:br/>
            </w:r>
            <w:r>
              <w:br/>
            </w:r>
            <w:r w:rsidRPr="6FC3E2E7">
              <w:rPr>
                <w:rFonts w:ascii="Arial Narrow" w:eastAsia="Arial Narrow" w:hAnsi="Arial Narrow" w:cs="Arial Narrow"/>
                <w:color w:val="000000" w:themeColor="text1"/>
                <w:sz w:val="20"/>
                <w:szCs w:val="20"/>
              </w:rPr>
              <w:t>Coaching and mentoring, meetings or other efforts that could have educational value but do not have a defined curriculum or objectives are generally not considered to be training unless they meet the three definitional standards for training identified above.</w:t>
            </w:r>
            <w:r>
              <w:br/>
            </w:r>
            <w:r>
              <w:br/>
            </w:r>
            <w:r w:rsidRPr="6FC3E2E7">
              <w:rPr>
                <w:rFonts w:ascii="Arial Narrow" w:eastAsia="Arial Narrow" w:hAnsi="Arial Narrow" w:cs="Arial Narrow"/>
                <w:color w:val="000000" w:themeColor="text1"/>
                <w:sz w:val="20"/>
                <w:szCs w:val="20"/>
              </w:rPr>
              <w:t>Only people who complete the training course are counted for this indicator. People who attend multiple, non-duplicative trainings may be counted once for each training they completed in the reporting period.</w:t>
            </w:r>
            <w:r>
              <w:br/>
            </w:r>
            <w:r>
              <w:br/>
            </w:r>
            <w:r w:rsidRPr="6FC3E2E7">
              <w:rPr>
                <w:rFonts w:ascii="Arial Narrow" w:eastAsia="Arial Narrow" w:hAnsi="Arial Narrow" w:cs="Arial Narrow"/>
                <w:color w:val="000000" w:themeColor="text1"/>
                <w:sz w:val="20"/>
                <w:szCs w:val="20"/>
              </w:rPr>
              <w:t>This indicator focuses on delivery of training that was made possible through full or partial funding from the USG. This may include the provision of funds to pay instructors or lead persons, providing hosting facilities, or other key contributions necessary to ensure the delivery of the training. This indicator does not include courses for which the USG only helped develop the curriculum. USG staff and implementers should not be included in the calculation of people trained.</w:t>
            </w:r>
            <w:r>
              <w:br/>
            </w:r>
            <w:r>
              <w:br/>
            </w:r>
            <w:r w:rsidRPr="6FC3E2E7">
              <w:rPr>
                <w:rFonts w:ascii="Arial Narrow" w:eastAsia="Arial Narrow" w:hAnsi="Arial Narrow" w:cs="Arial Narrow"/>
                <w:color w:val="000000" w:themeColor="text1"/>
                <w:sz w:val="20"/>
                <w:szCs w:val="20"/>
              </w:rPr>
              <w:t>Program Areas EG.11 (Adaptation) and EG.12 (Clean Energy) also have indicators related to training. If an individual, within the reporting period, was also trained in adaptation or clean energy, they may be reported under those indicators if the training meets the definitional standards.</w:t>
            </w:r>
            <w:r>
              <w:br/>
            </w:r>
            <w:r>
              <w:br/>
            </w:r>
            <w:r w:rsidRPr="6FC3E2E7">
              <w:rPr>
                <w:rFonts w:ascii="Arial Narrow" w:eastAsia="Arial Narrow" w:hAnsi="Arial Narrow" w:cs="Arial Narrow"/>
                <w:color w:val="000000" w:themeColor="text1"/>
                <w:sz w:val="20"/>
                <w:szCs w:val="20"/>
              </w:rPr>
              <w:t>FOR USAID ACTIVITIES:</w:t>
            </w:r>
            <w:r>
              <w:br/>
            </w:r>
            <w:r w:rsidRPr="6FC3E2E7">
              <w:rPr>
                <w:rFonts w:ascii="Arial Narrow" w:eastAsia="Arial Narrow" w:hAnsi="Arial Narrow" w:cs="Arial Narrow"/>
                <w:color w:val="000000" w:themeColor="text1"/>
                <w:sz w:val="20"/>
                <w:szCs w:val="20"/>
              </w:rPr>
              <w:t>USAID ADS standards require that participants attend a minimum of 90% of total course hours to be considered as completing a course.</w:t>
            </w:r>
          </w:p>
        </w:tc>
      </w:tr>
      <w:tr w:rsidR="6FC3E2E7" w14:paraId="0BD42F1E" w14:textId="77777777" w:rsidTr="6FC3E2E7">
        <w:trPr>
          <w:trHeight w:val="465"/>
        </w:trPr>
        <w:tc>
          <w:tcPr>
            <w:tcW w:w="1425" w:type="dxa"/>
            <w:tcBorders>
              <w:top w:val="single" w:sz="6" w:space="0" w:color="000000" w:themeColor="text1"/>
              <w:left w:val="single" w:sz="6" w:space="0" w:color="auto"/>
              <w:bottom w:val="single" w:sz="6" w:space="0" w:color="auto"/>
              <w:right w:val="single" w:sz="6" w:space="0" w:color="auto"/>
            </w:tcBorders>
            <w:vAlign w:val="center"/>
          </w:tcPr>
          <w:p w14:paraId="766BED1F" w14:textId="7AC8CFFA"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920" w:type="dxa"/>
            <w:tcBorders>
              <w:top w:val="single" w:sz="6" w:space="0" w:color="000000" w:themeColor="text1"/>
              <w:left w:val="single" w:sz="6" w:space="0" w:color="auto"/>
              <w:bottom w:val="single" w:sz="6" w:space="0" w:color="auto"/>
              <w:right w:val="single" w:sz="6" w:space="0" w:color="auto"/>
            </w:tcBorders>
            <w:vAlign w:val="bottom"/>
          </w:tcPr>
          <w:p w14:paraId="5C7DAF4F" w14:textId="2EEE5927"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 Male</w:t>
            </w:r>
            <w:r>
              <w:br/>
            </w:r>
            <w:r w:rsidRPr="6FC3E2E7">
              <w:rPr>
                <w:rFonts w:ascii="Arial Narrow" w:eastAsia="Arial Narrow" w:hAnsi="Arial Narrow" w:cs="Arial Narrow"/>
                <w:color w:val="000000" w:themeColor="text1"/>
                <w:sz w:val="20"/>
                <w:szCs w:val="20"/>
              </w:rPr>
              <w:t>• Female</w:t>
            </w:r>
          </w:p>
        </w:tc>
      </w:tr>
    </w:tbl>
    <w:p w14:paraId="33934F05" w14:textId="7392EBCB" w:rsidR="6FC3E2E7" w:rsidRDefault="6FC3E2E7" w:rsidP="6FC3E2E7">
      <w:pPr>
        <w:rPr>
          <w:color w:val="000000" w:themeColor="text1"/>
        </w:rPr>
      </w:pPr>
    </w:p>
    <w:tbl>
      <w:tblPr>
        <w:tblW w:w="0" w:type="auto"/>
        <w:tblLayout w:type="fixed"/>
        <w:tblLook w:val="04A0" w:firstRow="1" w:lastRow="0" w:firstColumn="1" w:lastColumn="0" w:noHBand="0" w:noVBand="1"/>
      </w:tblPr>
      <w:tblGrid>
        <w:gridCol w:w="1395"/>
        <w:gridCol w:w="7920"/>
      </w:tblGrid>
      <w:tr w:rsidR="6FC3E2E7" w14:paraId="2F8D2301" w14:textId="77777777" w:rsidTr="6FC3E2E7">
        <w:trPr>
          <w:trHeight w:val="765"/>
        </w:trPr>
        <w:tc>
          <w:tcPr>
            <w:tcW w:w="139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67635072" w14:textId="774B7C31"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Indicator</w:t>
            </w:r>
          </w:p>
        </w:tc>
        <w:tc>
          <w:tcPr>
            <w:tcW w:w="792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F0A10A7" w14:textId="2BDD5AE5"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EG.13-2 Number of institutions with improved capacity to address sustainable landscapes issues as supported by USG assistance</w:t>
            </w:r>
          </w:p>
        </w:tc>
      </w:tr>
      <w:tr w:rsidR="6FC3E2E7" w14:paraId="5CA43501" w14:textId="77777777" w:rsidTr="6FC3E2E7">
        <w:trPr>
          <w:trHeight w:val="8220"/>
        </w:trPr>
        <w:tc>
          <w:tcPr>
            <w:tcW w:w="1395" w:type="dxa"/>
            <w:tcBorders>
              <w:top w:val="single" w:sz="6" w:space="0" w:color="auto"/>
              <w:left w:val="single" w:sz="6" w:space="0" w:color="auto"/>
              <w:bottom w:val="single" w:sz="6" w:space="0" w:color="000000" w:themeColor="text1"/>
              <w:right w:val="single" w:sz="6" w:space="0" w:color="auto"/>
            </w:tcBorders>
            <w:vAlign w:val="center"/>
          </w:tcPr>
          <w:p w14:paraId="1DA9EBFA" w14:textId="2165B8EB"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lastRenderedPageBreak/>
              <w:t>Definition</w:t>
            </w:r>
          </w:p>
        </w:tc>
        <w:tc>
          <w:tcPr>
            <w:tcW w:w="7920" w:type="dxa"/>
            <w:tcBorders>
              <w:top w:val="single" w:sz="6" w:space="0" w:color="auto"/>
              <w:left w:val="single" w:sz="6" w:space="0" w:color="auto"/>
              <w:bottom w:val="single" w:sz="6" w:space="0" w:color="000000" w:themeColor="text1"/>
              <w:right w:val="single" w:sz="6" w:space="0" w:color="auto"/>
            </w:tcBorders>
          </w:tcPr>
          <w:p w14:paraId="701A1019" w14:textId="463F025E"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 xml:space="preserve">Institutions with improved (i.e. better, additional or greater) capacity to assess or address sustainable landscapes issues are institutions that have new or increased ability to use approaches, processes, strategies, or methodologies to mitigate climate change. </w:t>
            </w:r>
            <w:r>
              <w:br/>
            </w:r>
            <w:r>
              <w:br/>
            </w:r>
            <w:r w:rsidRPr="6FC3E2E7">
              <w:rPr>
                <w:rFonts w:ascii="Arial Narrow" w:eastAsia="Arial Narrow" w:hAnsi="Arial Narrow" w:cs="Arial Narrow"/>
                <w:color w:val="000000" w:themeColor="text1"/>
                <w:sz w:val="20"/>
                <w:szCs w:val="20"/>
              </w:rPr>
              <w:t xml:space="preserve">Relevant institutions may include national, subnational, or regional government institutions (such as ministries, departments, or commissions), private sector entities, local civil society organizations (such as women’s groups or farmers’ cooperatives), and trade unions, among other governmental, nongovernmental, and private sector institutions. </w:t>
            </w:r>
            <w:r>
              <w:br/>
            </w:r>
            <w:r>
              <w:br/>
            </w:r>
            <w:r w:rsidRPr="6FC3E2E7">
              <w:rPr>
                <w:rFonts w:ascii="Arial Narrow" w:eastAsia="Arial Narrow" w:hAnsi="Arial Narrow" w:cs="Arial Narrow"/>
                <w:color w:val="000000" w:themeColor="text1"/>
                <w:sz w:val="20"/>
                <w:szCs w:val="20"/>
              </w:rPr>
              <w:t xml:space="preserve">Indications of increased institutional capacity to engage with sustainable landscapes include, but are not limited to: </w:t>
            </w:r>
            <w:r>
              <w:br/>
            </w:r>
            <w:r>
              <w:br/>
            </w:r>
            <w:r w:rsidRPr="6FC3E2E7">
              <w:rPr>
                <w:rFonts w:ascii="Arial Narrow" w:eastAsia="Arial Narrow" w:hAnsi="Arial Narrow" w:cs="Arial Narrow"/>
                <w:color w:val="000000" w:themeColor="text1"/>
                <w:sz w:val="20"/>
                <w:szCs w:val="20"/>
              </w:rPr>
              <w:t>• Using climate-change data, information or analysis to inform decisions and actions</w:t>
            </w:r>
            <w:r>
              <w:br/>
            </w:r>
            <w:r w:rsidRPr="6FC3E2E7">
              <w:rPr>
                <w:rFonts w:ascii="Arial Narrow" w:eastAsia="Arial Narrow" w:hAnsi="Arial Narrow" w:cs="Arial Narrow"/>
                <w:color w:val="000000" w:themeColor="text1"/>
                <w:sz w:val="20"/>
                <w:szCs w:val="20"/>
              </w:rPr>
              <w:t>• Improving administrative or organizational capacity of climate-focused institutions</w:t>
            </w:r>
            <w:r>
              <w:br/>
            </w:r>
            <w:r w:rsidRPr="6FC3E2E7">
              <w:rPr>
                <w:rFonts w:ascii="Arial Narrow" w:eastAsia="Arial Narrow" w:hAnsi="Arial Narrow" w:cs="Arial Narrow"/>
                <w:color w:val="000000" w:themeColor="text1"/>
                <w:sz w:val="20"/>
                <w:szCs w:val="20"/>
              </w:rPr>
              <w:t>• Improved access to equipment or data</w:t>
            </w:r>
            <w:r>
              <w:br/>
            </w:r>
            <w:r w:rsidRPr="6FC3E2E7">
              <w:rPr>
                <w:rFonts w:ascii="Arial Narrow" w:eastAsia="Arial Narrow" w:hAnsi="Arial Narrow" w:cs="Arial Narrow"/>
                <w:color w:val="000000" w:themeColor="text1"/>
                <w:sz w:val="20"/>
                <w:szCs w:val="20"/>
              </w:rPr>
              <w:t>• Engaging stakeholders and building networks</w:t>
            </w:r>
            <w:r>
              <w:br/>
            </w:r>
            <w:r w:rsidRPr="6FC3E2E7">
              <w:rPr>
                <w:rFonts w:ascii="Arial Narrow" w:eastAsia="Arial Narrow" w:hAnsi="Arial Narrow" w:cs="Arial Narrow"/>
                <w:color w:val="000000" w:themeColor="text1"/>
                <w:sz w:val="20"/>
                <w:szCs w:val="20"/>
              </w:rPr>
              <w:t xml:space="preserve">• Building in-house technical expertise </w:t>
            </w:r>
            <w:r>
              <w:br/>
            </w:r>
            <w:r>
              <w:br/>
            </w:r>
            <w:r w:rsidRPr="6FC3E2E7">
              <w:rPr>
                <w:rFonts w:ascii="Arial Narrow" w:eastAsia="Arial Narrow" w:hAnsi="Arial Narrow" w:cs="Arial Narrow"/>
                <w:color w:val="000000" w:themeColor="text1"/>
                <w:sz w:val="20"/>
                <w:szCs w:val="20"/>
              </w:rPr>
              <w:t>This indicator measures both improvements in capacity to address climate change in institutions that do not focus exclusively on climate change as well as general institutional capacity improvements in climate institutions.</w:t>
            </w:r>
            <w:r>
              <w:br/>
            </w:r>
            <w:r>
              <w:br/>
            </w:r>
            <w:r w:rsidRPr="6FC3E2E7">
              <w:rPr>
                <w:rFonts w:ascii="Arial Narrow" w:eastAsia="Arial Narrow" w:hAnsi="Arial Narrow" w:cs="Arial Narrow"/>
                <w:color w:val="000000" w:themeColor="text1"/>
                <w:sz w:val="20"/>
                <w:szCs w:val="20"/>
              </w:rPr>
              <w:t>An institution can be reported as having its capacity improved in multiple years if it achieves meaningful improvement in each of the years it is reported. However, each institution should only be reported once per fiscal year.  Implementing partners may support improved institutional capacity by engaging with institutions through a variety of methods and over varying timeframes. Implementers may be asked to provide supporting documentation as requested below in the Data Source Section.</w:t>
            </w:r>
            <w:r>
              <w:br/>
            </w:r>
            <w:r>
              <w:br/>
            </w:r>
            <w:r w:rsidRPr="6FC3E2E7">
              <w:rPr>
                <w:rFonts w:ascii="Arial Narrow" w:eastAsia="Arial Narrow" w:hAnsi="Arial Narrow" w:cs="Arial Narrow"/>
                <w:color w:val="000000" w:themeColor="text1"/>
                <w:sz w:val="20"/>
                <w:szCs w:val="20"/>
              </w:rPr>
              <w:t>Program Areas EG.11 (Adaptation) and EG.12 (Clean Energy) also have indicators related to institutional capacity building. If, within the reporting period, an institution’s capacity was improved to also address clean energy or adaptation issues, they may be reported under those indicators if the institutions meet the definitional standards.</w:t>
            </w:r>
          </w:p>
        </w:tc>
      </w:tr>
      <w:tr w:rsidR="6FC3E2E7" w14:paraId="71030A04" w14:textId="77777777" w:rsidTr="6FC3E2E7">
        <w:trPr>
          <w:trHeight w:val="900"/>
        </w:trPr>
        <w:tc>
          <w:tcPr>
            <w:tcW w:w="1395" w:type="dxa"/>
            <w:tcBorders>
              <w:top w:val="single" w:sz="6" w:space="0" w:color="000000" w:themeColor="text1"/>
              <w:left w:val="single" w:sz="6" w:space="0" w:color="auto"/>
              <w:bottom w:val="single" w:sz="6" w:space="0" w:color="auto"/>
              <w:right w:val="single" w:sz="6" w:space="0" w:color="auto"/>
            </w:tcBorders>
            <w:vAlign w:val="center"/>
          </w:tcPr>
          <w:p w14:paraId="2441231F" w14:textId="530BF2A8"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920" w:type="dxa"/>
            <w:tcBorders>
              <w:top w:val="single" w:sz="6" w:space="0" w:color="000000" w:themeColor="text1"/>
              <w:left w:val="single" w:sz="6" w:space="0" w:color="auto"/>
              <w:bottom w:val="single" w:sz="6" w:space="0" w:color="auto"/>
              <w:right w:val="single" w:sz="6" w:space="0" w:color="auto"/>
            </w:tcBorders>
            <w:vAlign w:val="bottom"/>
          </w:tcPr>
          <w:p w14:paraId="221259BD" w14:textId="6C98D5C8" w:rsidR="6FC3E2E7" w:rsidRDefault="00CA52ED" w:rsidP="6FC3E2E7">
            <w:pPr>
              <w:spacing w:line="240" w:lineRule="auto"/>
              <w:rPr>
                <w:rFonts w:ascii="Arial Narrow" w:eastAsia="Arial Narrow" w:hAnsi="Arial Narrow" w:cs="Arial Narrow"/>
                <w:color w:val="000000" w:themeColor="text1"/>
                <w:sz w:val="20"/>
                <w:szCs w:val="20"/>
              </w:rPr>
            </w:pPr>
            <w:hyperlink r:id="rId53" w:history="1">
              <w:r w:rsidR="6FC3E2E7" w:rsidRPr="6FC3E2E7">
                <w:rPr>
                  <w:rStyle w:val="Hyperlink"/>
                  <w:rFonts w:ascii="Arial Narrow" w:eastAsia="Arial Narrow" w:hAnsi="Arial Narrow" w:cs="Arial Narrow"/>
                  <w:sz w:val="20"/>
                  <w:szCs w:val="20"/>
                </w:rPr>
                <w:t>• National governmental</w:t>
              </w:r>
            </w:hyperlink>
            <w:r w:rsidR="6FC3E2E7">
              <w:br/>
            </w:r>
            <w:hyperlink r:id="rId54" w:history="1">
              <w:r w:rsidR="6FC3E2E7" w:rsidRPr="6FC3E2E7">
                <w:rPr>
                  <w:rStyle w:val="Hyperlink"/>
                  <w:rFonts w:ascii="Arial Narrow" w:eastAsia="Arial Narrow" w:hAnsi="Arial Narrow" w:cs="Arial Narrow"/>
                  <w:sz w:val="20"/>
                  <w:szCs w:val="20"/>
                </w:rPr>
                <w:t>• Sub-national governmental</w:t>
              </w:r>
            </w:hyperlink>
            <w:r w:rsidR="6FC3E2E7">
              <w:br/>
            </w:r>
            <w:hyperlink r:id="rId55" w:history="1">
              <w:r w:rsidR="6FC3E2E7" w:rsidRPr="6FC3E2E7">
                <w:rPr>
                  <w:rStyle w:val="Hyperlink"/>
                  <w:rFonts w:ascii="Arial Narrow" w:eastAsia="Arial Narrow" w:hAnsi="Arial Narrow" w:cs="Arial Narrow"/>
                  <w:sz w:val="20"/>
                  <w:szCs w:val="20"/>
                </w:rPr>
                <w:t>• Other</w:t>
              </w:r>
            </w:hyperlink>
          </w:p>
        </w:tc>
      </w:tr>
    </w:tbl>
    <w:p w14:paraId="640A8807" w14:textId="7C4617BE" w:rsidR="6FC3E2E7" w:rsidRDefault="6FC3E2E7" w:rsidP="6FC3E2E7">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440"/>
        <w:gridCol w:w="7890"/>
      </w:tblGrid>
      <w:tr w:rsidR="6FC3E2E7" w14:paraId="67721B15" w14:textId="77777777" w:rsidTr="6FC3E2E7">
        <w:trPr>
          <w:trHeight w:val="1080"/>
        </w:trPr>
        <w:tc>
          <w:tcPr>
            <w:tcW w:w="144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552E7D9" w14:textId="55CE3BCC"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Indicator</w:t>
            </w:r>
          </w:p>
        </w:tc>
        <w:tc>
          <w:tcPr>
            <w:tcW w:w="789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E97D733" w14:textId="3A6843A1"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EG.13-3 Number of laws, policies, regulations, or standards addressing sustainable landscapes formally proposed, adopted, or implemented as supported by USG assistance</w:t>
            </w:r>
          </w:p>
        </w:tc>
      </w:tr>
      <w:tr w:rsidR="6FC3E2E7" w14:paraId="3582805E" w14:textId="77777777" w:rsidTr="6FC3E2E7">
        <w:trPr>
          <w:trHeight w:val="10200"/>
        </w:trPr>
        <w:tc>
          <w:tcPr>
            <w:tcW w:w="1440" w:type="dxa"/>
            <w:tcBorders>
              <w:top w:val="single" w:sz="6" w:space="0" w:color="auto"/>
              <w:left w:val="single" w:sz="6" w:space="0" w:color="auto"/>
              <w:bottom w:val="single" w:sz="6" w:space="0" w:color="000000" w:themeColor="text1"/>
              <w:right w:val="single" w:sz="6" w:space="0" w:color="auto"/>
            </w:tcBorders>
            <w:vAlign w:val="center"/>
          </w:tcPr>
          <w:p w14:paraId="10314764" w14:textId="356368A7"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lastRenderedPageBreak/>
              <w:t>Definition</w:t>
            </w:r>
          </w:p>
        </w:tc>
        <w:tc>
          <w:tcPr>
            <w:tcW w:w="7890" w:type="dxa"/>
            <w:tcBorders>
              <w:top w:val="single" w:sz="6" w:space="0" w:color="auto"/>
              <w:left w:val="single" w:sz="6" w:space="0" w:color="auto"/>
              <w:bottom w:val="single" w:sz="6" w:space="0" w:color="000000" w:themeColor="text1"/>
              <w:right w:val="single" w:sz="6" w:space="0" w:color="auto"/>
            </w:tcBorders>
          </w:tcPr>
          <w:p w14:paraId="5344C9BC" w14:textId="7FF23BD5"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 xml:space="preserve">Laws, policies, plans, strategies, regulations, or standards considered under this indicator are measures developed to address sustainable landscapes and/or low emission development issues. </w:t>
            </w:r>
            <w:r>
              <w:br/>
            </w:r>
            <w:r>
              <w:br/>
            </w:r>
            <w:r w:rsidRPr="6FC3E2E7">
              <w:rPr>
                <w:rFonts w:ascii="Arial Narrow" w:eastAsia="Arial Narrow" w:hAnsi="Arial Narrow" w:cs="Arial Narrow"/>
                <w:color w:val="000000" w:themeColor="text1"/>
                <w:sz w:val="20"/>
                <w:szCs w:val="20"/>
              </w:rPr>
              <w:t>Plans or strategies, such as Nationally Appropriate Mitigation Actions (NAMAs), Nationally Determined Contributions (NDCs), Low Emission Development Strategies (LEDS), REDD+ Strategies, and nationally significant land use plans, Strategic Environmental and Social Assessments, and Environment and Social Management Frameworks, stakeholder engagement strategies, and other relevant measures may be reported under this indicator. Nationally significant measures may include sector specific or provincial plans, strategies, policies, or industrial standards which, if successfully implemented, could have a significant impact on the national emissions profile.</w:t>
            </w:r>
            <w:r>
              <w:br/>
            </w:r>
            <w:r>
              <w:br/>
            </w:r>
            <w:r w:rsidRPr="6FC3E2E7">
              <w:rPr>
                <w:rFonts w:ascii="Arial Narrow" w:eastAsia="Arial Narrow" w:hAnsi="Arial Narrow" w:cs="Arial Narrow"/>
                <w:color w:val="000000" w:themeColor="text1"/>
                <w:sz w:val="20"/>
                <w:szCs w:val="20"/>
              </w:rPr>
              <w:t>“Formally proposed” means that a relevant government official or agency, organization, or non-governmental entity with decision-making authority has proposed the measure, according to established procedures, preferably publicly when this is appropriate to the given context. One example of a non-governmental entity could be a standard-setting body for a profession or industry (e.g., an association that sets certification standards for sustainable timber harvesting).</w:t>
            </w:r>
            <w:r>
              <w:br/>
            </w:r>
            <w:r>
              <w:br/>
            </w:r>
            <w:r w:rsidRPr="6FC3E2E7">
              <w:rPr>
                <w:rFonts w:ascii="Arial Narrow" w:eastAsia="Arial Narrow" w:hAnsi="Arial Narrow" w:cs="Arial Narrow"/>
                <w:color w:val="000000" w:themeColor="text1"/>
                <w:sz w:val="20"/>
                <w:szCs w:val="20"/>
              </w:rPr>
              <w:t>“Adopted” means officially codified or enacted by a government, organization, or non-governmental entity with decision-making authority in its respective legal, regulatory, policy, or non-governmental system.</w:t>
            </w:r>
            <w:r>
              <w:br/>
            </w:r>
            <w:r>
              <w:br/>
            </w:r>
            <w:r w:rsidRPr="6FC3E2E7">
              <w:rPr>
                <w:rFonts w:ascii="Arial Narrow" w:eastAsia="Arial Narrow" w:hAnsi="Arial Narrow" w:cs="Arial Narrow"/>
                <w:color w:val="000000" w:themeColor="text1"/>
                <w:sz w:val="20"/>
                <w:szCs w:val="20"/>
              </w:rPr>
              <w:t>“Implemented” means that a measure is in force or being executed in the intended geographic locations and at the intended administrative levels.</w:t>
            </w:r>
            <w:r>
              <w:br/>
            </w:r>
            <w:r>
              <w:br/>
            </w:r>
            <w:r w:rsidRPr="6FC3E2E7">
              <w:rPr>
                <w:rFonts w:ascii="Arial Narrow" w:eastAsia="Arial Narrow" w:hAnsi="Arial Narrow" w:cs="Arial Narrow"/>
                <w:color w:val="000000" w:themeColor="text1"/>
                <w:sz w:val="20"/>
                <w:szCs w:val="20"/>
              </w:rPr>
              <w:t xml:space="preserve">If a measure is not yet adopted, it must at least be formally proposed within an official process to be reported. </w:t>
            </w:r>
            <w:r>
              <w:br/>
            </w:r>
            <w:r>
              <w:br/>
            </w:r>
            <w:r w:rsidRPr="6FC3E2E7">
              <w:rPr>
                <w:rFonts w:ascii="Arial Narrow" w:eastAsia="Arial Narrow" w:hAnsi="Arial Narrow" w:cs="Arial Narrow"/>
                <w:color w:val="000000" w:themeColor="text1"/>
                <w:sz w:val="20"/>
                <w:szCs w:val="20"/>
              </w:rPr>
              <w:t>Each measure can be counted once as “proposed,” once as “adopted,” and once as “implemented,” if applicable, within the same reporting period or across multiple reporting periods. The indicator narrative should include an explanation of when each measure is being reported.</w:t>
            </w:r>
            <w:r>
              <w:br/>
            </w:r>
            <w:r>
              <w:br/>
            </w:r>
            <w:r w:rsidRPr="6FC3E2E7">
              <w:rPr>
                <w:rFonts w:ascii="Arial Narrow" w:eastAsia="Arial Narrow" w:hAnsi="Arial Narrow" w:cs="Arial Narrow"/>
                <w:color w:val="000000" w:themeColor="text1"/>
                <w:sz w:val="20"/>
                <w:szCs w:val="20"/>
              </w:rPr>
              <w:t>Legal, regulatory and policy reform and new industry standards can incentivize investment in sustainable landscapes. Measures that address sustainable landscapes may be integrated in scope (e.g., at a certain spatial or political level such as municipal, state or national), or may address sectors (such as forests, land use and agriculture, and rural development).</w:t>
            </w:r>
            <w:r>
              <w:br/>
            </w:r>
            <w:r>
              <w:br/>
            </w:r>
            <w:r w:rsidRPr="6FC3E2E7">
              <w:rPr>
                <w:rFonts w:ascii="Arial Narrow" w:eastAsia="Arial Narrow" w:hAnsi="Arial Narrow" w:cs="Arial Narrow"/>
                <w:color w:val="000000" w:themeColor="text1"/>
                <w:sz w:val="20"/>
                <w:szCs w:val="20"/>
              </w:rPr>
              <w:t>Program Areas EG.11 (Adaptation) and EG.12 (Clean Energy) also have indicators related to laws, policies, regulations and standards. If the law, policy, regulation or standard also addresses clean energy or adaptation, it may be reported under those indicators given that it meets the definitional standards.</w:t>
            </w:r>
          </w:p>
        </w:tc>
      </w:tr>
      <w:tr w:rsidR="6FC3E2E7" w14:paraId="384AB4D6" w14:textId="77777777" w:rsidTr="6FC3E2E7">
        <w:trPr>
          <w:trHeight w:val="2280"/>
        </w:trPr>
        <w:tc>
          <w:tcPr>
            <w:tcW w:w="1440" w:type="dxa"/>
            <w:tcBorders>
              <w:top w:val="single" w:sz="6" w:space="0" w:color="000000" w:themeColor="text1"/>
              <w:left w:val="single" w:sz="6" w:space="0" w:color="auto"/>
              <w:bottom w:val="single" w:sz="6" w:space="0" w:color="auto"/>
              <w:right w:val="single" w:sz="6" w:space="0" w:color="auto"/>
            </w:tcBorders>
            <w:vAlign w:val="center"/>
          </w:tcPr>
          <w:p w14:paraId="0429A8F8" w14:textId="60BEF952"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890" w:type="dxa"/>
            <w:tcBorders>
              <w:top w:val="single" w:sz="6" w:space="0" w:color="000000" w:themeColor="text1"/>
              <w:left w:val="single" w:sz="6" w:space="0" w:color="auto"/>
              <w:bottom w:val="single" w:sz="6" w:space="0" w:color="auto"/>
              <w:right w:val="single" w:sz="6" w:space="0" w:color="auto"/>
            </w:tcBorders>
            <w:vAlign w:val="center"/>
          </w:tcPr>
          <w:p w14:paraId="35BD7272" w14:textId="0BC10909" w:rsidR="6FC3E2E7" w:rsidRDefault="00CA52ED" w:rsidP="6FC3E2E7">
            <w:pPr>
              <w:spacing w:line="240" w:lineRule="auto"/>
              <w:rPr>
                <w:rFonts w:ascii="Arial Narrow" w:eastAsia="Arial Narrow" w:hAnsi="Arial Narrow" w:cs="Arial Narrow"/>
                <w:sz w:val="20"/>
                <w:szCs w:val="20"/>
              </w:rPr>
            </w:pPr>
            <w:hyperlink r:id="rId56" w:history="1">
              <w:r w:rsidR="6FC3E2E7" w:rsidRPr="6FC3E2E7">
                <w:rPr>
                  <w:rStyle w:val="Hyperlink"/>
                  <w:rFonts w:ascii="Arial Narrow" w:eastAsia="Arial Narrow" w:hAnsi="Arial Narrow" w:cs="Arial Narrow"/>
                  <w:sz w:val="20"/>
                  <w:szCs w:val="20"/>
                </w:rPr>
                <w:t>• National, proposed</w:t>
              </w:r>
            </w:hyperlink>
            <w:r w:rsidR="6FC3E2E7">
              <w:br/>
            </w:r>
            <w:hyperlink r:id="rId57" w:history="1">
              <w:r w:rsidR="6FC3E2E7" w:rsidRPr="6FC3E2E7">
                <w:rPr>
                  <w:rStyle w:val="Hyperlink"/>
                  <w:rFonts w:ascii="Arial Narrow" w:eastAsia="Arial Narrow" w:hAnsi="Arial Narrow" w:cs="Arial Narrow"/>
                  <w:sz w:val="20"/>
                  <w:szCs w:val="20"/>
                </w:rPr>
                <w:t>• National, adopted</w:t>
              </w:r>
            </w:hyperlink>
            <w:r w:rsidR="6FC3E2E7">
              <w:br/>
            </w:r>
            <w:hyperlink r:id="rId58" w:history="1">
              <w:r w:rsidR="6FC3E2E7" w:rsidRPr="6FC3E2E7">
                <w:rPr>
                  <w:rStyle w:val="Hyperlink"/>
                  <w:rFonts w:ascii="Arial Narrow" w:eastAsia="Arial Narrow" w:hAnsi="Arial Narrow" w:cs="Arial Narrow"/>
                  <w:sz w:val="20"/>
                  <w:szCs w:val="20"/>
                </w:rPr>
                <w:t>• National, implemented</w:t>
              </w:r>
            </w:hyperlink>
            <w:r w:rsidR="6FC3E2E7">
              <w:br/>
            </w:r>
            <w:hyperlink r:id="rId59" w:history="1">
              <w:r w:rsidR="6FC3E2E7" w:rsidRPr="6FC3E2E7">
                <w:rPr>
                  <w:rStyle w:val="Hyperlink"/>
                  <w:rFonts w:ascii="Arial Narrow" w:eastAsia="Arial Narrow" w:hAnsi="Arial Narrow" w:cs="Arial Narrow"/>
                  <w:sz w:val="20"/>
                  <w:szCs w:val="20"/>
                </w:rPr>
                <w:t>• Sub-national, proposed</w:t>
              </w:r>
            </w:hyperlink>
            <w:r w:rsidR="6FC3E2E7">
              <w:br/>
            </w:r>
            <w:hyperlink r:id="rId60" w:history="1">
              <w:r w:rsidR="6FC3E2E7" w:rsidRPr="6FC3E2E7">
                <w:rPr>
                  <w:rStyle w:val="Hyperlink"/>
                  <w:rFonts w:ascii="Arial Narrow" w:eastAsia="Arial Narrow" w:hAnsi="Arial Narrow" w:cs="Arial Narrow"/>
                  <w:sz w:val="20"/>
                  <w:szCs w:val="20"/>
                </w:rPr>
                <w:t>• Sub-national, adopted</w:t>
              </w:r>
            </w:hyperlink>
            <w:r w:rsidR="6FC3E2E7">
              <w:br/>
            </w:r>
            <w:hyperlink r:id="rId61" w:history="1">
              <w:r w:rsidR="6FC3E2E7" w:rsidRPr="6FC3E2E7">
                <w:rPr>
                  <w:rStyle w:val="Hyperlink"/>
                  <w:rFonts w:ascii="Arial Narrow" w:eastAsia="Arial Narrow" w:hAnsi="Arial Narrow" w:cs="Arial Narrow"/>
                  <w:sz w:val="20"/>
                  <w:szCs w:val="20"/>
                </w:rPr>
                <w:t>• Sub-national, implemented</w:t>
              </w:r>
            </w:hyperlink>
            <w:r w:rsidR="6FC3E2E7">
              <w:br/>
            </w:r>
            <w:hyperlink r:id="rId62" w:history="1">
              <w:r w:rsidR="6FC3E2E7" w:rsidRPr="6FC3E2E7">
                <w:rPr>
                  <w:rStyle w:val="Hyperlink"/>
                  <w:rFonts w:ascii="Arial Narrow" w:eastAsia="Arial Narrow" w:hAnsi="Arial Narrow" w:cs="Arial Narrow"/>
                  <w:sz w:val="20"/>
                  <w:szCs w:val="20"/>
                </w:rPr>
                <w:t>• Regional or international, proposed</w:t>
              </w:r>
            </w:hyperlink>
            <w:r w:rsidR="6FC3E2E7">
              <w:br/>
            </w:r>
            <w:hyperlink r:id="rId63" w:history="1">
              <w:r w:rsidR="6FC3E2E7" w:rsidRPr="6FC3E2E7">
                <w:rPr>
                  <w:rStyle w:val="Hyperlink"/>
                  <w:rFonts w:ascii="Arial Narrow" w:eastAsia="Arial Narrow" w:hAnsi="Arial Narrow" w:cs="Arial Narrow"/>
                  <w:sz w:val="20"/>
                  <w:szCs w:val="20"/>
                </w:rPr>
                <w:t>• Regional or international, adopted</w:t>
              </w:r>
            </w:hyperlink>
            <w:r w:rsidR="6FC3E2E7">
              <w:br/>
            </w:r>
            <w:hyperlink r:id="rId64" w:history="1">
              <w:r w:rsidR="6FC3E2E7" w:rsidRPr="6FC3E2E7">
                <w:rPr>
                  <w:rStyle w:val="Hyperlink"/>
                  <w:rFonts w:ascii="Arial Narrow" w:eastAsia="Arial Narrow" w:hAnsi="Arial Narrow" w:cs="Arial Narrow"/>
                  <w:sz w:val="20"/>
                  <w:szCs w:val="20"/>
                </w:rPr>
                <w:t>• Regional or international, implemented</w:t>
              </w:r>
            </w:hyperlink>
          </w:p>
        </w:tc>
      </w:tr>
    </w:tbl>
    <w:p w14:paraId="53BF294A" w14:textId="4AC04BAB" w:rsidR="6FC3E2E7" w:rsidRDefault="6FC3E2E7" w:rsidP="6FC3E2E7">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425"/>
        <w:gridCol w:w="7920"/>
      </w:tblGrid>
      <w:tr w:rsidR="6FC3E2E7" w14:paraId="4E76B1E4" w14:textId="77777777" w:rsidTr="6FC3E2E7">
        <w:trPr>
          <w:trHeight w:val="840"/>
        </w:trPr>
        <w:tc>
          <w:tcPr>
            <w:tcW w:w="142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3849143F" w14:textId="0D5C258B"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lastRenderedPageBreak/>
              <w:t>Indicator</w:t>
            </w:r>
          </w:p>
        </w:tc>
        <w:tc>
          <w:tcPr>
            <w:tcW w:w="792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111F0AE" w14:textId="1944D9BC"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EG.13-4  Amount of investment mobilized (in USD) for sustainable landscapes as supported by USG assistance</w:t>
            </w:r>
          </w:p>
        </w:tc>
      </w:tr>
      <w:tr w:rsidR="6FC3E2E7" w14:paraId="6C9A48D0" w14:textId="77777777" w:rsidTr="6FC3E2E7">
        <w:trPr>
          <w:trHeight w:val="10350"/>
        </w:trPr>
        <w:tc>
          <w:tcPr>
            <w:tcW w:w="1425" w:type="dxa"/>
            <w:tcBorders>
              <w:top w:val="single" w:sz="6" w:space="0" w:color="auto"/>
              <w:left w:val="single" w:sz="6" w:space="0" w:color="auto"/>
              <w:bottom w:val="single" w:sz="6" w:space="0" w:color="000000" w:themeColor="text1"/>
              <w:right w:val="single" w:sz="6" w:space="0" w:color="auto"/>
            </w:tcBorders>
            <w:vAlign w:val="center"/>
          </w:tcPr>
          <w:p w14:paraId="293FEA14" w14:textId="433E9586"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Definition</w:t>
            </w:r>
          </w:p>
        </w:tc>
        <w:tc>
          <w:tcPr>
            <w:tcW w:w="7920" w:type="dxa"/>
            <w:tcBorders>
              <w:top w:val="single" w:sz="6" w:space="0" w:color="auto"/>
              <w:left w:val="single" w:sz="6" w:space="0" w:color="auto"/>
              <w:bottom w:val="single" w:sz="6" w:space="0" w:color="000000" w:themeColor="text1"/>
              <w:right w:val="single" w:sz="6" w:space="0" w:color="auto"/>
            </w:tcBorders>
          </w:tcPr>
          <w:p w14:paraId="176E8DCF" w14:textId="0CD7ADD6"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 xml:space="preserve">This indicator includes finance mobilized (or leveraged), enabled by USG assistance,  for actions, activities, projects or programs that avoid, reduce, or sequester GHGs from sustainable landscapes activities. </w:t>
            </w:r>
            <w:r>
              <w:br/>
            </w:r>
            <w:r>
              <w:br/>
            </w:r>
            <w:r w:rsidRPr="6FC3E2E7">
              <w:rPr>
                <w:rFonts w:ascii="Arial Narrow" w:eastAsia="Arial Narrow" w:hAnsi="Arial Narrow" w:cs="Arial Narrow"/>
                <w:color w:val="000000" w:themeColor="text1"/>
                <w:sz w:val="20"/>
                <w:szCs w:val="20"/>
              </w:rPr>
              <w:t xml:space="preserve">Finance may be mobilized from the public sector (e.g. other governments or public multilateral entities) or private sector (e.g. corporate investments) and should help to advance the objectives established by the USG-supported program. USG funding should not be counted under this indicator. </w:t>
            </w:r>
            <w:r>
              <w:br/>
            </w:r>
            <w:r>
              <w:br/>
            </w:r>
            <w:r w:rsidRPr="6FC3E2E7">
              <w:rPr>
                <w:rFonts w:ascii="Arial Narrow" w:eastAsia="Arial Narrow" w:hAnsi="Arial Narrow" w:cs="Arial Narrow"/>
                <w:color w:val="000000" w:themeColor="text1"/>
                <w:sz w:val="20"/>
                <w:szCs w:val="20"/>
              </w:rPr>
              <w:t xml:space="preserve">Mobilized finance reported under this indicator should be disaggregated as domestic or international. Domestic finance is investment which originated within the country in which it is implemented (e.g. national government funds to support implementation of a project within that country) and international finance is cross-border finance (e.g. a private company based in one country contributing funds for a project in a different country). </w:t>
            </w:r>
            <w:r>
              <w:br/>
            </w:r>
            <w:r>
              <w:br/>
            </w:r>
            <w:r w:rsidRPr="6FC3E2E7">
              <w:rPr>
                <w:rFonts w:ascii="Arial Narrow" w:eastAsia="Arial Narrow" w:hAnsi="Arial Narrow" w:cs="Arial Narrow"/>
                <w:color w:val="000000" w:themeColor="text1"/>
                <w:sz w:val="20"/>
                <w:szCs w:val="20"/>
              </w:rPr>
              <w:t>Finance can be mobilized through a variety of instruments and vehicles, including common funding instruments, parallel investments, or in-kind support. Examples of the types of U.S. assistance that could mobilize finance include:</w:t>
            </w:r>
            <w:r>
              <w:br/>
            </w:r>
            <w:r>
              <w:br/>
            </w:r>
            <w:r w:rsidRPr="6FC3E2E7">
              <w:rPr>
                <w:rFonts w:ascii="Arial Narrow" w:eastAsia="Arial Narrow" w:hAnsi="Arial Narrow" w:cs="Arial Narrow"/>
                <w:color w:val="000000" w:themeColor="text1"/>
                <w:sz w:val="20"/>
                <w:szCs w:val="20"/>
              </w:rPr>
              <w:t>Investments made possible by finance interventions, such as:</w:t>
            </w:r>
            <w:r>
              <w:br/>
            </w:r>
            <w:r w:rsidRPr="6FC3E2E7">
              <w:rPr>
                <w:rFonts w:ascii="Arial Narrow" w:eastAsia="Arial Narrow" w:hAnsi="Arial Narrow" w:cs="Arial Narrow"/>
                <w:color w:val="000000" w:themeColor="text1"/>
                <w:sz w:val="20"/>
                <w:szCs w:val="20"/>
              </w:rPr>
              <w:t>• Grants (or in-kind support) for technical assistance</w:t>
            </w:r>
            <w:r>
              <w:br/>
            </w:r>
            <w:r w:rsidRPr="6FC3E2E7">
              <w:rPr>
                <w:rFonts w:ascii="Arial Narrow" w:eastAsia="Arial Narrow" w:hAnsi="Arial Narrow" w:cs="Arial Narrow"/>
                <w:color w:val="000000" w:themeColor="text1"/>
                <w:sz w:val="20"/>
                <w:szCs w:val="20"/>
              </w:rPr>
              <w:t>• Loans</w:t>
            </w:r>
            <w:r>
              <w:br/>
            </w:r>
            <w:r w:rsidRPr="6FC3E2E7">
              <w:rPr>
                <w:rFonts w:ascii="Arial Narrow" w:eastAsia="Arial Narrow" w:hAnsi="Arial Narrow" w:cs="Arial Narrow"/>
                <w:color w:val="000000" w:themeColor="text1"/>
                <w:sz w:val="20"/>
                <w:szCs w:val="20"/>
              </w:rPr>
              <w:t>• Equity or investment shares</w:t>
            </w:r>
            <w:r>
              <w:br/>
            </w:r>
            <w:r w:rsidRPr="6FC3E2E7">
              <w:rPr>
                <w:rFonts w:ascii="Arial Narrow" w:eastAsia="Arial Narrow" w:hAnsi="Arial Narrow" w:cs="Arial Narrow"/>
                <w:color w:val="000000" w:themeColor="text1"/>
                <w:sz w:val="20"/>
                <w:szCs w:val="20"/>
              </w:rPr>
              <w:t xml:space="preserve">• Support for development and structuring of other financial instruments such as Green Bonds or Real Estate Investment Trusts </w:t>
            </w:r>
            <w:r>
              <w:br/>
            </w:r>
            <w:r w:rsidRPr="6FC3E2E7">
              <w:rPr>
                <w:rFonts w:ascii="Arial Narrow" w:eastAsia="Arial Narrow" w:hAnsi="Arial Narrow" w:cs="Arial Narrow"/>
                <w:color w:val="000000" w:themeColor="text1"/>
                <w:sz w:val="20"/>
                <w:szCs w:val="20"/>
              </w:rPr>
              <w:t>• Political, regulatory, or credit risk insurance and guarantees</w:t>
            </w:r>
            <w:r>
              <w:br/>
            </w:r>
            <w:r>
              <w:br/>
            </w:r>
            <w:r w:rsidRPr="6FC3E2E7">
              <w:rPr>
                <w:rFonts w:ascii="Arial Narrow" w:eastAsia="Arial Narrow" w:hAnsi="Arial Narrow" w:cs="Arial Narrow"/>
                <w:color w:val="000000" w:themeColor="text1"/>
                <w:sz w:val="20"/>
                <w:szCs w:val="20"/>
              </w:rPr>
              <w:t>Investments made possible by policy interventions and technical assistance interventions, such as:</w:t>
            </w:r>
            <w:r>
              <w:br/>
            </w:r>
            <w:r w:rsidRPr="6FC3E2E7">
              <w:rPr>
                <w:rFonts w:ascii="Arial Narrow" w:eastAsia="Arial Narrow" w:hAnsi="Arial Narrow" w:cs="Arial Narrow"/>
                <w:color w:val="000000" w:themeColor="text1"/>
                <w:sz w:val="20"/>
                <w:szCs w:val="20"/>
              </w:rPr>
              <w:t>• Market assessments, financier credit product development, project incubation and preparation;</w:t>
            </w:r>
            <w:r>
              <w:br/>
            </w:r>
            <w:r w:rsidRPr="6FC3E2E7">
              <w:rPr>
                <w:rFonts w:ascii="Arial Narrow" w:eastAsia="Arial Narrow" w:hAnsi="Arial Narrow" w:cs="Arial Narrow"/>
                <w:color w:val="000000" w:themeColor="text1"/>
                <w:sz w:val="20"/>
                <w:szCs w:val="20"/>
              </w:rPr>
              <w:t>• Technical support for increasing the sustainability of supply chains;</w:t>
            </w:r>
            <w:r>
              <w:br/>
            </w:r>
            <w:r w:rsidRPr="6FC3E2E7">
              <w:rPr>
                <w:rFonts w:ascii="Arial Narrow" w:eastAsia="Arial Narrow" w:hAnsi="Arial Narrow" w:cs="Arial Narrow"/>
                <w:color w:val="000000" w:themeColor="text1"/>
                <w:sz w:val="20"/>
                <w:szCs w:val="20"/>
              </w:rPr>
              <w:t>• Regulatory policy support for the creation or implementation of land-use planning;</w:t>
            </w:r>
            <w:r>
              <w:br/>
            </w:r>
            <w:r w:rsidRPr="6FC3E2E7">
              <w:rPr>
                <w:rFonts w:ascii="Arial Narrow" w:eastAsia="Arial Narrow" w:hAnsi="Arial Narrow" w:cs="Arial Narrow"/>
                <w:color w:val="000000" w:themeColor="text1"/>
                <w:sz w:val="20"/>
                <w:szCs w:val="20"/>
              </w:rPr>
              <w:t>• Fiscal policy support to develop preferential tax treatment for climate-friendly technologies and environmentally related taxes; and</w:t>
            </w:r>
            <w:r>
              <w:br/>
            </w:r>
            <w:r w:rsidRPr="6FC3E2E7">
              <w:rPr>
                <w:rFonts w:ascii="Arial Narrow" w:eastAsia="Arial Narrow" w:hAnsi="Arial Narrow" w:cs="Arial Narrow"/>
                <w:color w:val="000000" w:themeColor="text1"/>
                <w:sz w:val="20"/>
                <w:szCs w:val="20"/>
              </w:rPr>
              <w:t>• Information or data-based interventions such as setting up technology centers of excellence, labeling schemes, wind speed or solar radiation mapping.</w:t>
            </w:r>
            <w:r>
              <w:br/>
            </w:r>
            <w:r w:rsidRPr="6FC3E2E7">
              <w:rPr>
                <w:rFonts w:ascii="Arial Narrow" w:eastAsia="Arial Narrow" w:hAnsi="Arial Narrow" w:cs="Arial Narrow"/>
                <w:color w:val="000000" w:themeColor="text1"/>
                <w:sz w:val="20"/>
                <w:szCs w:val="20"/>
              </w:rPr>
              <w:t>Examples of what mobilized funds may support include: improving the enabling environment for mitigation actions; enhancing processing and transport infrastructure for sustainably-produced goods, infrastructure for protected areas, etc.; funding the costs of climate change activities advanced by the program, monitoring climate change progress or outcomes; or sensitizing stakeholders to climate risks; land use issues and opportunities addressed through the program.</w:t>
            </w:r>
          </w:p>
        </w:tc>
      </w:tr>
      <w:tr w:rsidR="6FC3E2E7" w14:paraId="369D7A29" w14:textId="77777777" w:rsidTr="6FC3E2E7">
        <w:trPr>
          <w:trHeight w:val="1215"/>
        </w:trPr>
        <w:tc>
          <w:tcPr>
            <w:tcW w:w="1425" w:type="dxa"/>
            <w:tcBorders>
              <w:top w:val="single" w:sz="6" w:space="0" w:color="000000" w:themeColor="text1"/>
              <w:left w:val="single" w:sz="6" w:space="0" w:color="auto"/>
              <w:bottom w:val="single" w:sz="6" w:space="0" w:color="auto"/>
              <w:right w:val="single" w:sz="6" w:space="0" w:color="auto"/>
            </w:tcBorders>
            <w:vAlign w:val="center"/>
          </w:tcPr>
          <w:p w14:paraId="688ECDF1" w14:textId="61517CCF"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920" w:type="dxa"/>
            <w:tcBorders>
              <w:top w:val="single" w:sz="6" w:space="0" w:color="000000" w:themeColor="text1"/>
              <w:left w:val="single" w:sz="6" w:space="0" w:color="auto"/>
              <w:bottom w:val="single" w:sz="6" w:space="0" w:color="auto"/>
              <w:right w:val="single" w:sz="6" w:space="0" w:color="auto"/>
            </w:tcBorders>
            <w:vAlign w:val="center"/>
          </w:tcPr>
          <w:p w14:paraId="26DBA79B" w14:textId="753A5833" w:rsidR="6FC3E2E7" w:rsidRDefault="6FC3E2E7" w:rsidP="6FC3E2E7">
            <w:pPr>
              <w:spacing w:line="240" w:lineRule="auto"/>
              <w:rPr>
                <w:rFonts w:ascii="Arial Narrow" w:eastAsia="Arial Narrow" w:hAnsi="Arial Narrow" w:cs="Arial Narrow"/>
                <w:sz w:val="20"/>
                <w:szCs w:val="20"/>
              </w:rPr>
            </w:pPr>
            <w:r w:rsidRPr="6FC3E2E7">
              <w:rPr>
                <w:rFonts w:ascii="Arial Narrow" w:eastAsia="Arial Narrow" w:hAnsi="Arial Narrow" w:cs="Arial Narrow"/>
                <w:sz w:val="20"/>
                <w:szCs w:val="20"/>
              </w:rPr>
              <w:t>• Public, domestic</w:t>
            </w:r>
            <w:r>
              <w:br/>
            </w:r>
            <w:r w:rsidRPr="6FC3E2E7">
              <w:rPr>
                <w:rFonts w:ascii="Arial Narrow" w:eastAsia="Arial Narrow" w:hAnsi="Arial Narrow" w:cs="Arial Narrow"/>
                <w:sz w:val="20"/>
                <w:szCs w:val="20"/>
              </w:rPr>
              <w:t>• Public, international</w:t>
            </w:r>
            <w:r>
              <w:br/>
            </w:r>
            <w:r w:rsidRPr="6FC3E2E7">
              <w:rPr>
                <w:rFonts w:ascii="Arial Narrow" w:eastAsia="Arial Narrow" w:hAnsi="Arial Narrow" w:cs="Arial Narrow"/>
                <w:sz w:val="20"/>
                <w:szCs w:val="20"/>
              </w:rPr>
              <w:t>• Private, domestic</w:t>
            </w:r>
            <w:r>
              <w:br/>
            </w:r>
            <w:r w:rsidRPr="6FC3E2E7">
              <w:rPr>
                <w:rFonts w:ascii="Arial Narrow" w:eastAsia="Arial Narrow" w:hAnsi="Arial Narrow" w:cs="Arial Narrow"/>
                <w:sz w:val="20"/>
                <w:szCs w:val="20"/>
              </w:rPr>
              <w:t>• Private, international</w:t>
            </w:r>
          </w:p>
        </w:tc>
      </w:tr>
    </w:tbl>
    <w:p w14:paraId="37F7008A" w14:textId="4E16DE28" w:rsidR="6FC3E2E7" w:rsidRDefault="6FC3E2E7" w:rsidP="6FC3E2E7">
      <w:pPr>
        <w:rPr>
          <w:rFonts w:ascii="Arial Narrow" w:eastAsia="Arial Narrow" w:hAnsi="Arial Narrow" w:cs="Arial Narrow"/>
          <w:color w:val="000000" w:themeColor="text1"/>
          <w:sz w:val="20"/>
          <w:szCs w:val="20"/>
        </w:rPr>
      </w:pPr>
    </w:p>
    <w:p w14:paraId="21EDAF5F" w14:textId="6CE0DAB9" w:rsidR="6FC3E2E7" w:rsidRDefault="6FC3E2E7" w:rsidP="6FC3E2E7">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515"/>
        <w:gridCol w:w="7830"/>
      </w:tblGrid>
      <w:tr w:rsidR="6FC3E2E7" w14:paraId="14762841" w14:textId="77777777" w:rsidTr="6FC3E2E7">
        <w:trPr>
          <w:trHeight w:val="840"/>
        </w:trPr>
        <w:tc>
          <w:tcPr>
            <w:tcW w:w="151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28718004" w14:textId="2D2AC47A" w:rsidR="6FC3E2E7" w:rsidRDefault="6FC3E2E7" w:rsidP="6FC3E2E7">
            <w:pPr>
              <w:spacing w:line="240" w:lineRule="auto"/>
              <w:rPr>
                <w:rFonts w:ascii="Arial Narrow" w:eastAsia="Arial Narrow" w:hAnsi="Arial Narrow" w:cs="Arial Narrow"/>
                <w:color w:val="000000" w:themeColor="text1"/>
                <w:sz w:val="20"/>
                <w:szCs w:val="20"/>
              </w:rPr>
            </w:pPr>
          </w:p>
          <w:p w14:paraId="50D6BF56" w14:textId="0043D2BA"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Indicator</w:t>
            </w:r>
          </w:p>
        </w:tc>
        <w:tc>
          <w:tcPr>
            <w:tcW w:w="783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6B84DD1" w14:textId="32D2DA0A"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EG.13-5  Number of people receiving livelihood co-benefits (monetary or non-monetary) associated with the implementation of USG sustainable landscapes activities</w:t>
            </w:r>
          </w:p>
        </w:tc>
      </w:tr>
      <w:tr w:rsidR="6FC3E2E7" w14:paraId="6C3D2729" w14:textId="77777777" w:rsidTr="6FC3E2E7">
        <w:trPr>
          <w:trHeight w:val="3105"/>
        </w:trPr>
        <w:tc>
          <w:tcPr>
            <w:tcW w:w="1515" w:type="dxa"/>
            <w:tcBorders>
              <w:top w:val="single" w:sz="6" w:space="0" w:color="auto"/>
              <w:left w:val="single" w:sz="6" w:space="0" w:color="auto"/>
              <w:bottom w:val="single" w:sz="6" w:space="0" w:color="000000" w:themeColor="text1"/>
              <w:right w:val="single" w:sz="6" w:space="0" w:color="auto"/>
            </w:tcBorders>
            <w:vAlign w:val="center"/>
          </w:tcPr>
          <w:p w14:paraId="333257F7" w14:textId="0EA7F3D8"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Definition</w:t>
            </w:r>
          </w:p>
        </w:tc>
        <w:tc>
          <w:tcPr>
            <w:tcW w:w="7830" w:type="dxa"/>
            <w:tcBorders>
              <w:top w:val="single" w:sz="6" w:space="0" w:color="auto"/>
              <w:left w:val="single" w:sz="6" w:space="0" w:color="auto"/>
              <w:bottom w:val="single" w:sz="6" w:space="0" w:color="000000" w:themeColor="text1"/>
              <w:right w:val="single" w:sz="6" w:space="0" w:color="auto"/>
            </w:tcBorders>
          </w:tcPr>
          <w:p w14:paraId="0B02D18D" w14:textId="5DC5F903"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 xml:space="preserve">The implementation of sustainable landscapes strategies, programs or actions (including Reducing Emissions from Deforestation and Forest Degradation (REDD+) and Low Emissions Development Strategies (LEDS)) generates a range of benefits for stakeholders. </w:t>
            </w:r>
            <w:r>
              <w:br/>
            </w:r>
            <w:r>
              <w:br/>
            </w:r>
            <w:r w:rsidRPr="6FC3E2E7">
              <w:rPr>
                <w:rFonts w:ascii="Arial Narrow" w:eastAsia="Arial Narrow" w:hAnsi="Arial Narrow" w:cs="Arial Narrow"/>
                <w:color w:val="000000" w:themeColor="text1"/>
                <w:sz w:val="20"/>
                <w:szCs w:val="20"/>
              </w:rPr>
              <w:t xml:space="preserve">This indicator identifies the number of people in countries where sustainable landscapes activities are implemented who have received livelihood co-benefits associated with these activities. People included in the metric should be part of populations or households identified by a project with a documented relationship to the project.  Beneficiaries should be reasonably assumed to have received a documented benefit or service enabled by USG assistance. </w:t>
            </w:r>
            <w:r>
              <w:br/>
            </w:r>
            <w:r>
              <w:br/>
            </w:r>
            <w:r w:rsidRPr="6FC3E2E7">
              <w:rPr>
                <w:rFonts w:ascii="Arial Narrow" w:eastAsia="Arial Narrow" w:hAnsi="Arial Narrow" w:cs="Arial Narrow"/>
                <w:color w:val="000000" w:themeColor="text1"/>
                <w:sz w:val="20"/>
                <w:szCs w:val="20"/>
              </w:rPr>
              <w:t>Beneficiaries may include, but are not limited to: members of a household with an increased income or a newly secured land title, children attending a school renovated with payments for REDD+ results, or members of a cooperative who have increased sales due to increased market access.</w:t>
            </w:r>
            <w:r>
              <w:br/>
            </w:r>
            <w:r>
              <w:br/>
            </w:r>
            <w:r w:rsidRPr="6FC3E2E7">
              <w:rPr>
                <w:rFonts w:ascii="Arial Narrow" w:eastAsia="Arial Narrow" w:hAnsi="Arial Narrow" w:cs="Arial Narrow"/>
                <w:color w:val="000000" w:themeColor="text1"/>
                <w:sz w:val="20"/>
                <w:szCs w:val="20"/>
              </w:rPr>
              <w:t xml:space="preserve">Examples of monetary benefits may include, but are not limited to: increased income due to government policies related to climate change mitigation such as tax benefits or access to loans, payments for avoided emissions or carbon sequestration, payment by local governments for other ecosystem services that also achieve climate change mitigation results (e.g. implementation of a specific activity). </w:t>
            </w:r>
            <w:r>
              <w:br/>
            </w:r>
            <w:r>
              <w:br/>
            </w:r>
            <w:r w:rsidRPr="6FC3E2E7">
              <w:rPr>
                <w:rFonts w:ascii="Arial Narrow" w:eastAsia="Arial Narrow" w:hAnsi="Arial Narrow" w:cs="Arial Narrow"/>
                <w:color w:val="000000" w:themeColor="text1"/>
                <w:sz w:val="20"/>
                <w:szCs w:val="20"/>
              </w:rPr>
              <w:t>Examples of non-monetary benefits may include, but are not limited to: access to programs, services, or education; infrastructure development; access to markets; preferential investment or finance terms; land titling or registration; increased access to environmental services; newly defined rights or authorities; protection of traditional livelihoods and customary rights; environmental and other benefits from avoided deforestation and degradation, improved afforestation, or increased productivity from climate-smart agricultural practices.</w:t>
            </w:r>
            <w:r>
              <w:br/>
            </w:r>
            <w:r>
              <w:br/>
            </w:r>
            <w:r w:rsidRPr="6FC3E2E7">
              <w:rPr>
                <w:rFonts w:ascii="Arial Narrow" w:eastAsia="Arial Narrow" w:hAnsi="Arial Narrow" w:cs="Arial Narrow"/>
                <w:color w:val="000000" w:themeColor="text1"/>
                <w:sz w:val="20"/>
                <w:szCs w:val="20"/>
              </w:rPr>
              <w:t>Individuals receiving benefits from more than one sustainable landscapes activity, or receiving multiple benefits from a single activity, should be counted once per fiscal year.</w:t>
            </w:r>
          </w:p>
        </w:tc>
      </w:tr>
      <w:tr w:rsidR="6FC3E2E7" w14:paraId="6B0CD926" w14:textId="77777777" w:rsidTr="6FC3E2E7">
        <w:trPr>
          <w:trHeight w:val="360"/>
        </w:trPr>
        <w:tc>
          <w:tcPr>
            <w:tcW w:w="1515" w:type="dxa"/>
            <w:tcBorders>
              <w:top w:val="single" w:sz="6" w:space="0" w:color="000000" w:themeColor="text1"/>
              <w:left w:val="single" w:sz="6" w:space="0" w:color="auto"/>
              <w:bottom w:val="single" w:sz="6" w:space="0" w:color="auto"/>
              <w:right w:val="single" w:sz="6" w:space="0" w:color="auto"/>
            </w:tcBorders>
            <w:vAlign w:val="center"/>
          </w:tcPr>
          <w:p w14:paraId="27F3D1AB" w14:textId="24EA6B37"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830" w:type="dxa"/>
            <w:tcBorders>
              <w:top w:val="single" w:sz="6" w:space="0" w:color="000000" w:themeColor="text1"/>
              <w:left w:val="single" w:sz="6" w:space="0" w:color="auto"/>
              <w:bottom w:val="single" w:sz="6" w:space="0" w:color="auto"/>
              <w:right w:val="single" w:sz="6" w:space="0" w:color="auto"/>
            </w:tcBorders>
            <w:vAlign w:val="center"/>
          </w:tcPr>
          <w:p w14:paraId="24E90AC9" w14:textId="15608D3F"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 Male</w:t>
            </w:r>
            <w:r>
              <w:br/>
            </w:r>
            <w:r w:rsidRPr="6FC3E2E7">
              <w:rPr>
                <w:rFonts w:ascii="Arial Narrow" w:eastAsia="Arial Narrow" w:hAnsi="Arial Narrow" w:cs="Arial Narrow"/>
                <w:color w:val="000000" w:themeColor="text1"/>
                <w:sz w:val="20"/>
                <w:szCs w:val="20"/>
              </w:rPr>
              <w:t>• Female</w:t>
            </w:r>
          </w:p>
        </w:tc>
      </w:tr>
    </w:tbl>
    <w:p w14:paraId="0D9E6C47" w14:textId="0E541E2E" w:rsidR="6FC3E2E7" w:rsidRDefault="6FC3E2E7" w:rsidP="6FC3E2E7">
      <w:pPr>
        <w:rPr>
          <w:rFonts w:ascii="Arial Narrow" w:eastAsia="Arial Narrow" w:hAnsi="Arial Narrow" w:cs="Arial Narrow"/>
          <w:color w:val="000000" w:themeColor="text1"/>
          <w:sz w:val="20"/>
          <w:szCs w:val="20"/>
        </w:rPr>
      </w:pPr>
    </w:p>
    <w:tbl>
      <w:tblPr>
        <w:tblW w:w="0" w:type="auto"/>
        <w:tblLayout w:type="fixed"/>
        <w:tblLook w:val="04A0" w:firstRow="1" w:lastRow="0" w:firstColumn="1" w:lastColumn="0" w:noHBand="0" w:noVBand="1"/>
      </w:tblPr>
      <w:tblGrid>
        <w:gridCol w:w="1485"/>
        <w:gridCol w:w="7845"/>
      </w:tblGrid>
      <w:tr w:rsidR="6FC3E2E7" w14:paraId="18303481" w14:textId="77777777" w:rsidTr="6FC3E2E7">
        <w:trPr>
          <w:trHeight w:val="1335"/>
        </w:trPr>
        <w:tc>
          <w:tcPr>
            <w:tcW w:w="148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15EBF9AF" w14:textId="5B964D23"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Indicator</w:t>
            </w:r>
          </w:p>
        </w:tc>
        <w:tc>
          <w:tcPr>
            <w:tcW w:w="784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570512FE" w14:textId="0B22A93C"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EG.13-6 Greenhouse gas (GHG) emissions, estimated in metric tons of CO2 equivalent, reduced, sequestered, or avoided through sustainable landscapes activities supported by USG assistance</w:t>
            </w:r>
          </w:p>
        </w:tc>
      </w:tr>
      <w:tr w:rsidR="6FC3E2E7" w14:paraId="15165B07" w14:textId="77777777" w:rsidTr="6FC3E2E7">
        <w:trPr>
          <w:trHeight w:val="8055"/>
        </w:trPr>
        <w:tc>
          <w:tcPr>
            <w:tcW w:w="1485" w:type="dxa"/>
            <w:tcBorders>
              <w:top w:val="single" w:sz="6" w:space="0" w:color="auto"/>
              <w:left w:val="single" w:sz="6" w:space="0" w:color="auto"/>
              <w:bottom w:val="single" w:sz="6" w:space="0" w:color="000000" w:themeColor="text1"/>
              <w:right w:val="single" w:sz="6" w:space="0" w:color="auto"/>
            </w:tcBorders>
            <w:vAlign w:val="center"/>
          </w:tcPr>
          <w:p w14:paraId="16A7A7F6" w14:textId="5BB2EF40"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lastRenderedPageBreak/>
              <w:t>Definition</w:t>
            </w:r>
          </w:p>
        </w:tc>
        <w:tc>
          <w:tcPr>
            <w:tcW w:w="7845" w:type="dxa"/>
            <w:tcBorders>
              <w:top w:val="single" w:sz="6" w:space="0" w:color="auto"/>
              <w:left w:val="single" w:sz="6" w:space="0" w:color="auto"/>
              <w:bottom w:val="single" w:sz="6" w:space="0" w:color="000000" w:themeColor="text1"/>
              <w:right w:val="single" w:sz="6" w:space="0" w:color="auto"/>
            </w:tcBorders>
          </w:tcPr>
          <w:p w14:paraId="134325CA" w14:textId="3C0E44C3"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 xml:space="preserve">This indicator reports the estimated quantity of greenhouse gas (GHG) emissions, in metric tons of CO2-equivalent, reduced, sequestered, or avoided supported in full or in part by USG assistance, as compared to a baseline level of GHG emissions.  The baseline is the “business-as-usual” reference for GHG emissions that would have occurred during the reporting period if there had been no USG intervention. </w:t>
            </w:r>
            <w:r>
              <w:br/>
            </w:r>
            <w:r>
              <w:br/>
            </w:r>
            <w:r w:rsidRPr="6FC3E2E7">
              <w:rPr>
                <w:rFonts w:ascii="Arial Narrow" w:eastAsia="Arial Narrow" w:hAnsi="Arial Narrow" w:cs="Arial Narrow"/>
                <w:color w:val="000000" w:themeColor="text1"/>
                <w:sz w:val="20"/>
                <w:szCs w:val="20"/>
              </w:rPr>
              <w:t>This indicator is a calculated estimate, and often not the result of direct emissions measurements.  This indicator applies to estimated GHG emissions reductions from carbon dioxide (CO2), methane (CH4), nitrous oxide (N2O) and other global warming pollutants. Relevant sectors for projects that may report on this indicator include, but are not limited to, climate change, natural resource management, agriculture, biodiversity, energy, industry, urban, and transport.</w:t>
            </w:r>
            <w:r>
              <w:br/>
            </w:r>
            <w:r>
              <w:br/>
            </w:r>
            <w:r w:rsidRPr="6FC3E2E7">
              <w:rPr>
                <w:rFonts w:ascii="Arial Narrow" w:eastAsia="Arial Narrow" w:hAnsi="Arial Narrow" w:cs="Arial Narrow"/>
                <w:color w:val="000000" w:themeColor="text1"/>
                <w:sz w:val="20"/>
                <w:szCs w:val="20"/>
              </w:rPr>
              <w:t>This indicator applies to estimated emissions reduced, sequestered, or avoided, for the specified reporting period. This can include both emissions reductions from activities implemented during the reporting period as well as activities which were implemented during a previous reporting period, but are still achieving ongoing reductions in GHG emissions. Implementers are encouraged to include these continuing results by estimating tons of CO2e avoided during the current reporting period. Regarding land use-related emissions reductions or increased sequestration, if a U.S. government supported project continues to conserve the same hectares of land as in a previous reporting period, those hectares should be included in the calculations for the current reporting period to determine the emissions reductions of the project.</w:t>
            </w:r>
            <w:r>
              <w:br/>
            </w:r>
            <w:r>
              <w:br/>
            </w:r>
            <w:r w:rsidRPr="6FC3E2E7">
              <w:rPr>
                <w:rFonts w:ascii="Arial Narrow" w:eastAsia="Arial Narrow" w:hAnsi="Arial Narrow" w:cs="Arial Narrow"/>
                <w:color w:val="000000" w:themeColor="text1"/>
                <w:sz w:val="20"/>
                <w:szCs w:val="20"/>
              </w:rPr>
              <w:t>The 100-year Global Warming Potential (GWP) of gases from the IPCC 4th Assessment Report or later should be used for calculations.</w:t>
            </w:r>
            <w:r>
              <w:br/>
            </w:r>
            <w:r>
              <w:br/>
            </w:r>
            <w:r w:rsidRPr="6FC3E2E7">
              <w:rPr>
                <w:rFonts w:ascii="Arial Narrow" w:eastAsia="Arial Narrow" w:hAnsi="Arial Narrow" w:cs="Arial Narrow"/>
                <w:color w:val="000000" w:themeColor="text1"/>
                <w:sz w:val="20"/>
                <w:szCs w:val="20"/>
              </w:rPr>
              <w:t>FOR USAID ACTIVITIES:</w:t>
            </w:r>
            <w:r>
              <w:br/>
            </w:r>
            <w:r w:rsidRPr="6FC3E2E7">
              <w:rPr>
                <w:rFonts w:ascii="Arial Narrow" w:eastAsia="Arial Narrow" w:hAnsi="Arial Narrow" w:cs="Arial Narrow"/>
                <w:color w:val="000000" w:themeColor="text1"/>
                <w:sz w:val="20"/>
                <w:szCs w:val="20"/>
              </w:rPr>
              <w:t xml:space="preserve">Land-Use Programs (including Sustainable Landscapes): </w:t>
            </w:r>
            <w:r>
              <w:br/>
            </w:r>
            <w:r w:rsidRPr="6FC3E2E7">
              <w:rPr>
                <w:rFonts w:ascii="Arial Narrow" w:eastAsia="Arial Narrow" w:hAnsi="Arial Narrow" w:cs="Arial Narrow"/>
                <w:color w:val="000000" w:themeColor="text1"/>
                <w:sz w:val="20"/>
                <w:szCs w:val="20"/>
              </w:rPr>
              <w:t xml:space="preserve">USAID has developed the Agriculture, Forest, and Other Land Use Carbon Calculator (AFOLU) using standard methodologies and some default data. All SL programs (focused or indirect) must reference and adhere to the methods and tools in the USAID AFOLU Carbon Calculator (http:/www.afolucarbon.org) if applicable, unless a more rigorous calculation is available.  </w:t>
            </w:r>
            <w:r>
              <w:br/>
            </w:r>
            <w:r>
              <w:br/>
            </w:r>
            <w:r w:rsidRPr="6FC3E2E7">
              <w:rPr>
                <w:rFonts w:ascii="Arial Narrow" w:eastAsia="Arial Narrow" w:hAnsi="Arial Narrow" w:cs="Arial Narrow"/>
                <w:color w:val="000000" w:themeColor="text1"/>
                <w:sz w:val="20"/>
                <w:szCs w:val="20"/>
              </w:rPr>
              <w:t>All USAID OUs should document tools, methods, and data sources used for this indicator in the PPR Sustainable Landscapes Key Issue Narrative.</w:t>
            </w:r>
          </w:p>
        </w:tc>
      </w:tr>
      <w:tr w:rsidR="6FC3E2E7" w14:paraId="2603E356" w14:textId="77777777" w:rsidTr="6FC3E2E7">
        <w:trPr>
          <w:trHeight w:val="315"/>
        </w:trPr>
        <w:tc>
          <w:tcPr>
            <w:tcW w:w="1485" w:type="dxa"/>
            <w:tcBorders>
              <w:top w:val="single" w:sz="6" w:space="0" w:color="000000" w:themeColor="text1"/>
              <w:left w:val="single" w:sz="6" w:space="0" w:color="auto"/>
              <w:bottom w:val="single" w:sz="6" w:space="0" w:color="auto"/>
              <w:right w:val="single" w:sz="6" w:space="0" w:color="auto"/>
            </w:tcBorders>
            <w:vAlign w:val="center"/>
          </w:tcPr>
          <w:p w14:paraId="319B47EE" w14:textId="7D067A31"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845" w:type="dxa"/>
            <w:tcBorders>
              <w:top w:val="single" w:sz="6" w:space="0" w:color="000000" w:themeColor="text1"/>
              <w:left w:val="single" w:sz="6" w:space="0" w:color="auto"/>
              <w:bottom w:val="single" w:sz="6" w:space="0" w:color="auto"/>
              <w:right w:val="single" w:sz="6" w:space="0" w:color="auto"/>
            </w:tcBorders>
            <w:vAlign w:val="center"/>
          </w:tcPr>
          <w:p w14:paraId="7BABA9F5" w14:textId="1E098EA8" w:rsidR="6FC3E2E7" w:rsidRDefault="6FC3E2E7" w:rsidP="6FC3E2E7">
            <w:pPr>
              <w:spacing w:line="240" w:lineRule="auto"/>
              <w:rPr>
                <w:rFonts w:ascii="Arial Narrow" w:eastAsia="Arial Narrow" w:hAnsi="Arial Narrow" w:cs="Arial Narrow"/>
                <w:sz w:val="20"/>
                <w:szCs w:val="20"/>
              </w:rPr>
            </w:pPr>
            <w:r w:rsidRPr="6FC3E2E7">
              <w:rPr>
                <w:rFonts w:ascii="Arial Narrow" w:eastAsia="Arial Narrow" w:hAnsi="Arial Narrow" w:cs="Arial Narrow"/>
                <w:sz w:val="20"/>
                <w:szCs w:val="20"/>
              </w:rPr>
              <w:t>None</w:t>
            </w:r>
          </w:p>
        </w:tc>
      </w:tr>
    </w:tbl>
    <w:p w14:paraId="0DDB10AA" w14:textId="32081CB0" w:rsidR="6FC3E2E7" w:rsidRDefault="6FC3E2E7" w:rsidP="6FC3E2E7">
      <w:pPr>
        <w:rPr>
          <w:rFonts w:ascii="Arial Narrow" w:eastAsia="Arial Narrow" w:hAnsi="Arial Narrow" w:cs="Arial Narrow"/>
          <w:color w:val="000000" w:themeColor="text1"/>
          <w:sz w:val="20"/>
          <w:szCs w:val="20"/>
        </w:rPr>
      </w:pPr>
    </w:p>
    <w:tbl>
      <w:tblPr>
        <w:tblStyle w:val="TableGrid"/>
        <w:tblW w:w="0" w:type="auto"/>
        <w:tblLayout w:type="fixed"/>
        <w:tblLook w:val="04A0" w:firstRow="1" w:lastRow="0" w:firstColumn="1" w:lastColumn="0" w:noHBand="0" w:noVBand="1"/>
      </w:tblPr>
      <w:tblGrid>
        <w:gridCol w:w="1515"/>
        <w:gridCol w:w="7830"/>
      </w:tblGrid>
      <w:tr w:rsidR="6FC3E2E7" w14:paraId="3B0A1265" w14:textId="77777777" w:rsidTr="6FC3E2E7">
        <w:tc>
          <w:tcPr>
            <w:tcW w:w="1515" w:type="dxa"/>
            <w:shd w:val="clear" w:color="auto" w:fill="C6D9F1" w:themeFill="text2" w:themeFillTint="33"/>
          </w:tcPr>
          <w:p w14:paraId="60E28693" w14:textId="3877B0DE" w:rsidR="6FC3E2E7" w:rsidRDefault="6FC3E2E7" w:rsidP="6FC3E2E7">
            <w:pPr>
              <w:spacing w:after="200"/>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Indicator</w:t>
            </w:r>
          </w:p>
        </w:tc>
        <w:tc>
          <w:tcPr>
            <w:tcW w:w="7830" w:type="dxa"/>
            <w:shd w:val="clear" w:color="auto" w:fill="C6D9F1" w:themeFill="text2" w:themeFillTint="33"/>
          </w:tcPr>
          <w:p w14:paraId="5BDC7ABB" w14:textId="404BA7B1" w:rsidR="6FC3E2E7" w:rsidRDefault="6FC3E2E7" w:rsidP="6FC3E2E7">
            <w:pPr>
              <w:spacing w:after="200"/>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EG.13-7 Projected greenhouse gas emissions reduced or avoided through 2030 from adopted laws, policies, regulations, or technologies related to sustainable landscapes as supported by USG assistance</w:t>
            </w:r>
          </w:p>
        </w:tc>
      </w:tr>
      <w:tr w:rsidR="6FC3E2E7" w14:paraId="4B61AD85" w14:textId="77777777" w:rsidTr="6FC3E2E7">
        <w:tc>
          <w:tcPr>
            <w:tcW w:w="1515" w:type="dxa"/>
          </w:tcPr>
          <w:p w14:paraId="673BDF7E" w14:textId="0E49CB25" w:rsidR="6FC3E2E7" w:rsidRDefault="6FC3E2E7" w:rsidP="6FC3E2E7">
            <w:pPr>
              <w:spacing w:after="200"/>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Definition</w:t>
            </w:r>
          </w:p>
        </w:tc>
        <w:tc>
          <w:tcPr>
            <w:tcW w:w="7830" w:type="dxa"/>
          </w:tcPr>
          <w:p w14:paraId="2B72A8AF" w14:textId="221DA3DB" w:rsidR="6FC3E2E7" w:rsidRDefault="6FC3E2E7" w:rsidP="6FC3E2E7">
            <w:pPr>
              <w:spacing w:after="200"/>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Sustainable landscapes programming slows, halts, or reverses greenhouse gas emissions from land use, including forests and agricultural ecosystems.</w:t>
            </w:r>
            <w:r>
              <w:br/>
            </w:r>
            <w:r>
              <w:br/>
            </w:r>
            <w:r w:rsidRPr="6FC3E2E7">
              <w:rPr>
                <w:rFonts w:ascii="Arial Narrow" w:eastAsia="Arial Narrow" w:hAnsi="Arial Narrow" w:cs="Arial Narrow"/>
                <w:color w:val="000000" w:themeColor="text1"/>
                <w:sz w:val="20"/>
                <w:szCs w:val="20"/>
              </w:rPr>
              <w:t>This indicator measures the cumulative projected greenhouse gas (GHG) emissions reduced, avoided and/or sequestered, in metric tons of CO2-equivalent, over a period of 15 years, starting at the time the policy took effect or action was taken. The measure, technology, or action may be supported in full or in part by USG assistance. It is acceptable to calculate the projected emissions reductions from a combination of adopted policies and/or actions to which USG assistance contributed. Policies and actions adopted since 2015 that have not been previously reported, may be included.</w:t>
            </w:r>
            <w:r>
              <w:br/>
            </w:r>
            <w:r>
              <w:lastRenderedPageBreak/>
              <w:br/>
            </w:r>
            <w:r w:rsidRPr="6FC3E2E7">
              <w:rPr>
                <w:rFonts w:ascii="Arial Narrow" w:eastAsia="Arial Narrow" w:hAnsi="Arial Narrow" w:cs="Arial Narrow"/>
                <w:color w:val="000000" w:themeColor="text1"/>
                <w:sz w:val="20"/>
                <w:szCs w:val="20"/>
              </w:rPr>
              <w:t>Relevant technologies include any sustainable landscapes related product, process, or infrastructure supported by USG assistance that is installed or adopted which can reduce, avoid or sequester greenhouse gas emissions.</w:t>
            </w:r>
            <w:r>
              <w:br/>
            </w:r>
            <w:r>
              <w:br/>
            </w:r>
            <w:r w:rsidRPr="6FC3E2E7">
              <w:rPr>
                <w:rFonts w:ascii="Arial Narrow" w:eastAsia="Arial Narrow" w:hAnsi="Arial Narrow" w:cs="Arial Narrow"/>
                <w:color w:val="000000" w:themeColor="text1"/>
                <w:sz w:val="20"/>
                <w:szCs w:val="20"/>
              </w:rPr>
              <w:t>This indicator is applicable to all types of sustainable landscapes policies and actions, including, but not limited to national and subnational forest strategies, integrated landscape strategies, national climate strategies,  improved logging regulations, deforestation laws, payment for ecosystem services, improved agricultural practices, and deployment of technologies or implementation of sustainable landscapes activities that result in net emission reductions.</w:t>
            </w:r>
            <w:r>
              <w:br/>
            </w:r>
            <w:r>
              <w:br/>
            </w:r>
            <w:r w:rsidRPr="6FC3E2E7">
              <w:rPr>
                <w:rFonts w:ascii="Arial Narrow" w:eastAsia="Arial Narrow" w:hAnsi="Arial Narrow" w:cs="Arial Narrow"/>
                <w:color w:val="000000" w:themeColor="text1"/>
                <w:sz w:val="20"/>
                <w:szCs w:val="20"/>
              </w:rPr>
              <w:t>Results should be divided into three disaggregates: emissions reduced or avoided from the time action was taken or the policy took effect through year five, from year 6 to year 10, and from year 11 to year 15.  The sum of the three should be the total projected reduction in or avoided emissions.</w:t>
            </w:r>
            <w:r>
              <w:br/>
            </w:r>
            <w:r>
              <w:br/>
            </w:r>
            <w:r w:rsidRPr="6FC3E2E7">
              <w:rPr>
                <w:rFonts w:ascii="Arial Narrow" w:eastAsia="Arial Narrow" w:hAnsi="Arial Narrow" w:cs="Arial Narrow"/>
                <w:color w:val="000000" w:themeColor="text1"/>
                <w:sz w:val="20"/>
                <w:szCs w:val="20"/>
              </w:rPr>
              <w:t xml:space="preserve">Implementers may report on this indicator only once per adopted policy or action.  Reporting may occur in the year the policy was adopted, or the year the action was taken or implemented. Assessments of previously supported policies and actions, adopted since 2015, can be reported under this indicator.  In such cases, they may involve both ex post and ex ante estimates.  </w:t>
            </w:r>
            <w:r>
              <w:br/>
            </w:r>
            <w:r>
              <w:br/>
            </w:r>
            <w:r w:rsidRPr="6FC3E2E7">
              <w:rPr>
                <w:rFonts w:ascii="Arial Narrow" w:eastAsia="Arial Narrow" w:hAnsi="Arial Narrow" w:cs="Arial Narrow"/>
                <w:color w:val="000000" w:themeColor="text1"/>
                <w:sz w:val="20"/>
                <w:szCs w:val="20"/>
              </w:rPr>
              <w:t>FOR USAID ACTIVITIES:</w:t>
            </w:r>
            <w:r>
              <w:br/>
            </w:r>
            <w:r w:rsidRPr="6FC3E2E7">
              <w:rPr>
                <w:rFonts w:ascii="Arial Narrow" w:eastAsia="Arial Narrow" w:hAnsi="Arial Narrow" w:cs="Arial Narrow"/>
                <w:color w:val="000000" w:themeColor="text1"/>
                <w:sz w:val="20"/>
                <w:szCs w:val="20"/>
              </w:rPr>
              <w:t>OUs can refer to the WRI 2014 Policy and Action Standard for guidance on how to generate a 10 year projection (</w:t>
            </w:r>
            <w:hyperlink r:id="rId65" w:history="1">
              <w:r w:rsidRPr="6FC3E2E7">
                <w:rPr>
                  <w:rStyle w:val="Hyperlink"/>
                  <w:sz w:val="20"/>
                  <w:szCs w:val="20"/>
                </w:rPr>
                <w:t>http://www.ghgprotocol.org/policy-and-action-standard</w:t>
              </w:r>
            </w:hyperlink>
            <w:r w:rsidRPr="6FC3E2E7">
              <w:rPr>
                <w:rFonts w:ascii="Arial Narrow" w:eastAsia="Arial Narrow" w:hAnsi="Arial Narrow" w:cs="Arial Narrow"/>
                <w:color w:val="000000" w:themeColor="text1"/>
                <w:sz w:val="20"/>
                <w:szCs w:val="20"/>
              </w:rPr>
              <w:t xml:space="preserve">). However, this is a significant exercise, and is not standardized across all programs. USAID OUs can contact USAID/Washington for additional technical assistance on developing a projection of emission reductions.  The USAID AFOLU Carbon Calculator (http:/www.afolucarbon.org) can be used to generate GHG projections for a variety of sustainable landscapes activities. </w:t>
            </w:r>
            <w:r>
              <w:br/>
            </w:r>
            <w:r>
              <w:br/>
            </w:r>
            <w:r w:rsidRPr="6FC3E2E7">
              <w:rPr>
                <w:rFonts w:ascii="Arial Narrow" w:eastAsia="Arial Narrow" w:hAnsi="Arial Narrow" w:cs="Arial Narrow"/>
                <w:color w:val="000000" w:themeColor="text1"/>
                <w:sz w:val="20"/>
                <w:szCs w:val="20"/>
              </w:rPr>
              <w:t>This indicator may be used in conjunction with 13.6 GHG emission reductions, as this indicator represents projected emission reductions, and 13.6 measures ex-post emission reductions over a specific reporting period.  Activities that use this indicator may also report on EG12.3 Laws and policies as emission reductions may be expected as a result.</w:t>
            </w:r>
          </w:p>
        </w:tc>
      </w:tr>
      <w:tr w:rsidR="6FC3E2E7" w14:paraId="1683C4CE" w14:textId="77777777" w:rsidTr="6FC3E2E7">
        <w:tc>
          <w:tcPr>
            <w:tcW w:w="1515" w:type="dxa"/>
          </w:tcPr>
          <w:p w14:paraId="6866D170" w14:textId="596BFD32" w:rsidR="6FC3E2E7" w:rsidRDefault="6FC3E2E7" w:rsidP="6FC3E2E7">
            <w:pPr>
              <w:spacing w:after="200"/>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lastRenderedPageBreak/>
              <w:t>Disaggregate(s)</w:t>
            </w:r>
          </w:p>
        </w:tc>
        <w:tc>
          <w:tcPr>
            <w:tcW w:w="7830" w:type="dxa"/>
          </w:tcPr>
          <w:p w14:paraId="61EA7E91" w14:textId="2D37D557" w:rsidR="6FC3E2E7" w:rsidRDefault="6FC3E2E7" w:rsidP="6FC3E2E7">
            <w:pPr>
              <w:spacing w:after="200"/>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 Years 1 to 5</w:t>
            </w:r>
            <w:r>
              <w:br/>
            </w:r>
            <w:r w:rsidRPr="6FC3E2E7">
              <w:rPr>
                <w:rFonts w:ascii="Arial Narrow" w:eastAsia="Arial Narrow" w:hAnsi="Arial Narrow" w:cs="Arial Narrow"/>
                <w:color w:val="000000" w:themeColor="text1"/>
                <w:sz w:val="20"/>
                <w:szCs w:val="20"/>
              </w:rPr>
              <w:t>• Years 6 to 10</w:t>
            </w:r>
            <w:r>
              <w:br/>
            </w:r>
            <w:r w:rsidRPr="6FC3E2E7">
              <w:rPr>
                <w:rFonts w:ascii="Arial Narrow" w:eastAsia="Arial Narrow" w:hAnsi="Arial Narrow" w:cs="Arial Narrow"/>
                <w:color w:val="000000" w:themeColor="text1"/>
                <w:sz w:val="20"/>
                <w:szCs w:val="20"/>
              </w:rPr>
              <w:t>• Years 11 to 15</w:t>
            </w:r>
          </w:p>
        </w:tc>
      </w:tr>
    </w:tbl>
    <w:p w14:paraId="2E1FF0C0" w14:textId="63A21328" w:rsidR="6FC3E2E7" w:rsidRDefault="6FC3E2E7" w:rsidP="6FC3E2E7">
      <w:pPr>
        <w:rPr>
          <w:rFonts w:ascii="Arial Narrow" w:eastAsia="Arial Narrow" w:hAnsi="Arial Narrow" w:cs="Arial Narrow"/>
          <w:color w:val="000000" w:themeColor="text1"/>
          <w:sz w:val="20"/>
          <w:szCs w:val="20"/>
        </w:rPr>
      </w:pPr>
    </w:p>
    <w:tbl>
      <w:tblPr>
        <w:tblStyle w:val="TableGrid"/>
        <w:tblW w:w="0" w:type="auto"/>
        <w:tblLayout w:type="fixed"/>
        <w:tblLook w:val="06A0" w:firstRow="1" w:lastRow="0" w:firstColumn="1" w:lastColumn="0" w:noHBand="1" w:noVBand="1"/>
      </w:tblPr>
      <w:tblGrid>
        <w:gridCol w:w="1575"/>
        <w:gridCol w:w="7770"/>
      </w:tblGrid>
      <w:tr w:rsidR="6FC3E2E7" w14:paraId="6F4F3807" w14:textId="77777777" w:rsidTr="6FC3E2E7">
        <w:tc>
          <w:tcPr>
            <w:tcW w:w="1575" w:type="dxa"/>
            <w:shd w:val="clear" w:color="auto" w:fill="C6D9F1" w:themeFill="text2" w:themeFillTint="33"/>
          </w:tcPr>
          <w:p w14:paraId="6056F19D" w14:textId="2FFA77EE" w:rsidR="6FC3E2E7" w:rsidRDefault="6FC3E2E7" w:rsidP="6FC3E2E7">
            <w:pPr>
              <w:spacing w:after="200" w:line="276" w:lineRule="auto"/>
              <w:rPr>
                <w:rFonts w:ascii="Arial Narrow" w:eastAsia="Arial Narrow" w:hAnsi="Arial Narrow" w:cs="Arial Narrow"/>
                <w:color w:val="000000" w:themeColor="text1"/>
              </w:rPr>
            </w:pPr>
            <w:r w:rsidRPr="6FC3E2E7">
              <w:rPr>
                <w:rFonts w:ascii="Arial Narrow" w:eastAsia="Arial Narrow" w:hAnsi="Arial Narrow" w:cs="Arial Narrow"/>
                <w:b/>
                <w:bCs/>
                <w:color w:val="000000" w:themeColor="text1"/>
              </w:rPr>
              <w:t>Indicator</w:t>
            </w:r>
          </w:p>
        </w:tc>
        <w:tc>
          <w:tcPr>
            <w:tcW w:w="7770" w:type="dxa"/>
            <w:shd w:val="clear" w:color="auto" w:fill="C6D9F1" w:themeFill="text2" w:themeFillTint="33"/>
          </w:tcPr>
          <w:p w14:paraId="1EB2095F" w14:textId="568B4B5D" w:rsidR="6FC3E2E7" w:rsidRDefault="6FC3E2E7" w:rsidP="6FC3E2E7">
            <w:pPr>
              <w:spacing w:after="200" w:line="276" w:lineRule="auto"/>
              <w:rPr>
                <w:rFonts w:ascii="Arial Narrow" w:eastAsia="Arial Narrow" w:hAnsi="Arial Narrow" w:cs="Arial Narrow"/>
                <w:color w:val="000000" w:themeColor="text1"/>
              </w:rPr>
            </w:pPr>
            <w:r w:rsidRPr="6FC3E2E7">
              <w:rPr>
                <w:rFonts w:ascii="Arial Narrow" w:eastAsia="Arial Narrow" w:hAnsi="Arial Narrow" w:cs="Arial Narrow"/>
                <w:b/>
                <w:bCs/>
              </w:rPr>
              <w:t>EG13-8 Number of hectares under improved management expected to reduce greenhouse gas emissions as a result of USG assistance</w:t>
            </w:r>
          </w:p>
        </w:tc>
      </w:tr>
      <w:tr w:rsidR="6FC3E2E7" w14:paraId="4BB37B8F" w14:textId="77777777" w:rsidTr="6FC3E2E7">
        <w:tc>
          <w:tcPr>
            <w:tcW w:w="1575" w:type="dxa"/>
          </w:tcPr>
          <w:p w14:paraId="16DF3689" w14:textId="7381EDCE" w:rsidR="6FC3E2E7" w:rsidRDefault="6FC3E2E7" w:rsidP="6FC3E2E7">
            <w:pPr>
              <w:spacing w:after="200" w:line="276" w:lineRule="auto"/>
              <w:rPr>
                <w:rFonts w:ascii="Arial Narrow" w:eastAsia="Arial Narrow" w:hAnsi="Arial Narrow" w:cs="Arial Narrow"/>
                <w:color w:val="000000" w:themeColor="text1"/>
              </w:rPr>
            </w:pPr>
          </w:p>
        </w:tc>
        <w:tc>
          <w:tcPr>
            <w:tcW w:w="7770" w:type="dxa"/>
          </w:tcPr>
          <w:p w14:paraId="77F734FC" w14:textId="12890513" w:rsidR="6FC3E2E7" w:rsidRDefault="6FC3E2E7" w:rsidP="6FC3E2E7">
            <w:pPr>
              <w:spacing w:after="200" w:line="276" w:lineRule="auto"/>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Sustainable landscapes programming slows, halts, or reverses greenhouse gas</w:t>
            </w:r>
            <w:r>
              <w:br/>
            </w:r>
            <w:r w:rsidRPr="6FC3E2E7">
              <w:rPr>
                <w:rFonts w:ascii="Arial Narrow" w:eastAsia="Arial Narrow" w:hAnsi="Arial Narrow" w:cs="Arial Narrow"/>
                <w:color w:val="000000" w:themeColor="text1"/>
              </w:rPr>
              <w:t>emissions from land use, including forests and agricultural ecosystems.</w:t>
            </w:r>
            <w:r>
              <w:br/>
            </w:r>
            <w:r>
              <w:br/>
            </w:r>
            <w:r w:rsidRPr="6FC3E2E7">
              <w:rPr>
                <w:rFonts w:ascii="Arial Narrow" w:eastAsia="Arial Narrow" w:hAnsi="Arial Narrow" w:cs="Arial Narrow"/>
                <w:color w:val="000000" w:themeColor="text1"/>
              </w:rPr>
              <w:t xml:space="preserve">Emissions of greenhouse gases (GHGs), such as carbon dioxide (CO2) and methane (CH4), can be reduced, avoided, or sequestered as a result of improved management practices, including: protection, restoration, and management. </w:t>
            </w:r>
            <w:r>
              <w:br/>
            </w:r>
            <w:r>
              <w:br/>
            </w:r>
            <w:r w:rsidRPr="6FC3E2E7">
              <w:rPr>
                <w:rFonts w:ascii="Arial Narrow" w:eastAsia="Arial Narrow" w:hAnsi="Arial Narrow" w:cs="Arial Narrow"/>
                <w:color w:val="000000" w:themeColor="text1"/>
              </w:rPr>
              <w:t xml:space="preserve">For hectares included under this indicator, the improved management approaches applied must be reasonably expected to result in emission reductions. </w:t>
            </w:r>
            <w:r>
              <w:br/>
            </w:r>
            <w:r>
              <w:br/>
            </w:r>
            <w:r w:rsidRPr="6FC3E2E7">
              <w:rPr>
                <w:rFonts w:ascii="Arial Narrow" w:eastAsia="Arial Narrow" w:hAnsi="Arial Narrow" w:cs="Arial Narrow"/>
                <w:color w:val="000000" w:themeColor="text1"/>
              </w:rPr>
              <w:lastRenderedPageBreak/>
              <w:t>‘Improved management’ includes protection, restoration, and management activities that reduce emissions while promoting enhanced management of natural resources for one or more objectives, such as mitigating climate change, conserving biodiversity, maintaining ecosystem services, strengthening sustainable use of natural resources, and/or promoting community participation. An area is considered to be under improved management practices when, at least partially as a result of USG support, additional areas have been conserved or restored, or additional emissions reductions are expected be achieved due to changes in management planning, implementation of management plans or policies, or application of data to management decisions and enforcement actions.</w:t>
            </w:r>
            <w:r>
              <w:br/>
            </w:r>
            <w:r>
              <w:br/>
            </w:r>
            <w:r w:rsidRPr="6FC3E2E7">
              <w:rPr>
                <w:rFonts w:ascii="Arial Narrow" w:eastAsia="Arial Narrow" w:hAnsi="Arial Narrow" w:cs="Arial Narrow"/>
                <w:color w:val="000000" w:themeColor="text1"/>
              </w:rPr>
              <w:t xml:space="preserve">Improved management should be reported for activities where the USG-supported activity can be plausibly linked to the approaches applied. Implementing partners should clearly articulate the milestones used to gauge success and provide a short narrative describing the milestones reached in the reporting period. The conversion to hectares of some management actions can be </w:t>
            </w:r>
            <w:r w:rsidR="00D30EBD" w:rsidRPr="6FC3E2E7">
              <w:rPr>
                <w:rFonts w:ascii="Arial Narrow" w:eastAsia="Arial Narrow" w:hAnsi="Arial Narrow" w:cs="Arial Narrow"/>
                <w:color w:val="000000" w:themeColor="text1"/>
              </w:rPr>
              <w:t>challenging but</w:t>
            </w:r>
            <w:r w:rsidRPr="6FC3E2E7">
              <w:rPr>
                <w:rFonts w:ascii="Arial Narrow" w:eastAsia="Arial Narrow" w:hAnsi="Arial Narrow" w:cs="Arial Narrow"/>
                <w:color w:val="000000" w:themeColor="text1"/>
              </w:rPr>
              <w:t xml:space="preserve"> should be based on the theory of change behind how the management action is expected to lead to emissions reductions. OUs should document tools, methods, and data sources used for this indicator in the PPR Sustainable Landscapes Narrative.</w:t>
            </w:r>
          </w:p>
        </w:tc>
      </w:tr>
      <w:tr w:rsidR="6FC3E2E7" w14:paraId="51B39BEA" w14:textId="77777777" w:rsidTr="6FC3E2E7">
        <w:tc>
          <w:tcPr>
            <w:tcW w:w="1575" w:type="dxa"/>
          </w:tcPr>
          <w:p w14:paraId="1CC5179A" w14:textId="12DFAA21" w:rsidR="6FC3E2E7" w:rsidRDefault="6FC3E2E7" w:rsidP="6FC3E2E7">
            <w:pPr>
              <w:spacing w:after="200" w:line="276" w:lineRule="auto"/>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lastRenderedPageBreak/>
              <w:t>Definition</w:t>
            </w:r>
          </w:p>
        </w:tc>
        <w:tc>
          <w:tcPr>
            <w:tcW w:w="7770" w:type="dxa"/>
          </w:tcPr>
          <w:p w14:paraId="469886EC" w14:textId="26806E18" w:rsidR="6FC3E2E7" w:rsidRDefault="6FC3E2E7" w:rsidP="6FC3E2E7">
            <w:pPr>
              <w:spacing w:after="200" w:line="276" w:lineRule="auto"/>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Hectares reported may include sustained improvements in previously reported hectares and/or new, additional hectares. The same hectares should only be reported once per year per implementing mechanism.</w:t>
            </w:r>
            <w:r>
              <w:br/>
            </w:r>
            <w:r w:rsidRPr="6FC3E2E7">
              <w:rPr>
                <w:rFonts w:ascii="Arial Narrow" w:eastAsia="Arial Narrow" w:hAnsi="Arial Narrow" w:cs="Arial Narrow"/>
                <w:color w:val="000000" w:themeColor="text1"/>
              </w:rPr>
              <w:t>Results for this indicator should be classified under two sets of disaggregates:</w:t>
            </w:r>
            <w:r>
              <w:br/>
            </w:r>
            <w:r w:rsidRPr="6FC3E2E7">
              <w:rPr>
                <w:rFonts w:ascii="Arial Narrow" w:eastAsia="Arial Narrow" w:hAnsi="Arial Narrow" w:cs="Arial Narrow"/>
                <w:color w:val="000000" w:themeColor="text1"/>
              </w:rPr>
              <w:t xml:space="preserve">1.     The type of intervention: Protection, Restoration, or Management; and </w:t>
            </w:r>
            <w:r>
              <w:br/>
            </w:r>
            <w:r w:rsidRPr="6FC3E2E7">
              <w:rPr>
                <w:rFonts w:ascii="Arial Narrow" w:eastAsia="Arial Narrow" w:hAnsi="Arial Narrow" w:cs="Arial Narrow"/>
                <w:color w:val="000000" w:themeColor="text1"/>
              </w:rPr>
              <w:t>2.     The intervention land type: Forest or Non-Forest.</w:t>
            </w:r>
            <w:r>
              <w:br/>
            </w:r>
            <w:r w:rsidRPr="6FC3E2E7">
              <w:rPr>
                <w:rFonts w:ascii="Arial Narrow" w:eastAsia="Arial Narrow" w:hAnsi="Arial Narrow" w:cs="Arial Narrow"/>
                <w:color w:val="000000" w:themeColor="text1"/>
              </w:rPr>
              <w:t>‘Protection’ includes improved management activities that prevent the loss of native ecosystems. Examples of protection include: reducing conversion of forests to agricultural lands; preventing or mitigating forest fires; halting or slowing illegal mining or logging; preventing the loss of biodiversity and native ecosystems; and supporting the enforcement of designated protected areas.</w:t>
            </w:r>
            <w:r>
              <w:br/>
            </w:r>
            <w:r>
              <w:br/>
            </w:r>
            <w:r w:rsidRPr="6FC3E2E7">
              <w:rPr>
                <w:rFonts w:ascii="Arial Narrow" w:eastAsia="Arial Narrow" w:hAnsi="Arial Narrow" w:cs="Arial Narrow"/>
                <w:color w:val="000000" w:themeColor="text1"/>
              </w:rPr>
              <w:t>‘Restoration’ includes improved management activities that expand the spatial extent of native cover types, including forest and non-forest ecosystems, to areas from where they had previously been lost or degraded as a result of human activity. Examples of restoration include: planting native trees in degraded forested areas; peatland restoration; and rehabilitating mangroves or watersheds for improved ecosystem services.</w:t>
            </w:r>
            <w:r>
              <w:br/>
            </w:r>
            <w:r>
              <w:br/>
            </w:r>
            <w:r w:rsidRPr="6FC3E2E7">
              <w:rPr>
                <w:rFonts w:ascii="Arial Narrow" w:eastAsia="Arial Narrow" w:hAnsi="Arial Narrow" w:cs="Arial Narrow"/>
                <w:color w:val="000000" w:themeColor="text1"/>
              </w:rPr>
              <w:t xml:space="preserve">‘Management’ includes improved management activities that avoid or reduce greenhouse gas emissions or enhance carbon sinks on working or managed lands through improved management practices. Examples of management include: planting fruit, woodfuel, and/or timber trees for economic development; alternate wetting and drying of rice; improved agroforestry and silvopastoral systems; nutrient management; and improved grazing practices. </w:t>
            </w:r>
          </w:p>
          <w:p w14:paraId="0F4CF015" w14:textId="33C5D642" w:rsidR="6FC3E2E7" w:rsidRDefault="6FC3E2E7" w:rsidP="6FC3E2E7">
            <w:pPr>
              <w:spacing w:after="200" w:line="276" w:lineRule="auto"/>
              <w:rPr>
                <w:rFonts w:ascii="Arial Narrow" w:eastAsia="Arial Narrow" w:hAnsi="Arial Narrow" w:cs="Arial Narrow"/>
                <w:color w:val="000000" w:themeColor="text1"/>
              </w:rPr>
            </w:pPr>
            <w:r w:rsidRPr="6FC3E2E7">
              <w:rPr>
                <w:rFonts w:ascii="Arial Narrow" w:eastAsia="Arial Narrow" w:hAnsi="Arial Narrow" w:cs="Arial Narrow"/>
                <w:color w:val="000000" w:themeColor="text1"/>
              </w:rPr>
              <w:t xml:space="preserve">‘Forest’ lands can be defined broadly for the purpose of this indicator. OUs may choose to refer to the definition of forests used by the local government (e.g., the country Forest </w:t>
            </w:r>
            <w:r w:rsidRPr="6FC3E2E7">
              <w:rPr>
                <w:rFonts w:ascii="Arial Narrow" w:eastAsia="Arial Narrow" w:hAnsi="Arial Narrow" w:cs="Arial Narrow"/>
                <w:color w:val="000000" w:themeColor="text1"/>
              </w:rPr>
              <w:lastRenderedPageBreak/>
              <w:t>Reference Emission Level) or partner organizations (e.g., FAO) . Examples of landscapes included under this disaggregate are: forest in national parks, nature reserves and other protected areas; forest stands on agricultural lands (e.g., windbreaks and shelterbelts of trees); mangrove forests; peat swamp forests; and plantation forests (e.g., timber, pulp, rubber).</w:t>
            </w:r>
            <w:r>
              <w:br/>
            </w:r>
            <w:r w:rsidRPr="6FC3E2E7">
              <w:rPr>
                <w:rFonts w:ascii="Arial Narrow" w:eastAsia="Arial Narrow" w:hAnsi="Arial Narrow" w:cs="Arial Narrow"/>
                <w:color w:val="000000" w:themeColor="text1"/>
              </w:rPr>
              <w:t>‘Non-forest’ lands include areas with little or no tree cover. Examples of landscapes included under this disaggregate are: rice paddies; pastures with few or no trees; agricultural lands (e.g., oil palm, fruit, coffee, cacao plantations); and agroforestry systems.</w:t>
            </w:r>
            <w:r>
              <w:br/>
            </w:r>
            <w:r w:rsidRPr="6FC3E2E7">
              <w:rPr>
                <w:rFonts w:ascii="Arial Narrow" w:eastAsia="Arial Narrow" w:hAnsi="Arial Narrow" w:cs="Arial Narrow"/>
                <w:color w:val="000000" w:themeColor="text1"/>
              </w:rPr>
              <w:t>If an area with expected emission reductions under improved management is also a biologically significant area for biodiversity (indicator EG10.2-2) or shows improved biophysical conditions (indicator EG10.2-1), then the corresponding hectares can be reported under each applicable indicator in the same year.</w:t>
            </w:r>
            <w:r>
              <w:br/>
            </w:r>
            <w:r>
              <w:br/>
            </w:r>
            <w:r w:rsidRPr="6FC3E2E7">
              <w:rPr>
                <w:rFonts w:ascii="Arial Narrow" w:eastAsia="Arial Narrow" w:hAnsi="Arial Narrow" w:cs="Arial Narrow"/>
                <w:color w:val="000000" w:themeColor="text1"/>
              </w:rPr>
              <w:t>Collecting Geospatial Data:</w:t>
            </w:r>
            <w:r>
              <w:br/>
            </w:r>
            <w:r w:rsidRPr="6FC3E2E7">
              <w:rPr>
                <w:rFonts w:ascii="Arial Narrow" w:eastAsia="Arial Narrow" w:hAnsi="Arial Narrow" w:cs="Arial Narrow"/>
                <w:color w:val="000000" w:themeColor="text1"/>
              </w:rPr>
              <w:t xml:space="preserve">Implementing Partners should collect geospatial data associated with the hectares under improved management. This data should be collected at the relevant scales of implementation or impact of the activities or sub-activities (e.g., national, provincial, municipal, household, or plot). These datasets should further be tagged and calculated for each applicable </w:t>
            </w:r>
            <w:r w:rsidR="00D30EBD" w:rsidRPr="6FC3E2E7">
              <w:rPr>
                <w:rFonts w:ascii="Arial Narrow" w:eastAsia="Arial Narrow" w:hAnsi="Arial Narrow" w:cs="Arial Narrow"/>
                <w:color w:val="000000" w:themeColor="text1"/>
              </w:rPr>
              <w:t>disaggregate</w:t>
            </w:r>
            <w:r w:rsidRPr="6FC3E2E7">
              <w:rPr>
                <w:rFonts w:ascii="Arial Narrow" w:eastAsia="Arial Narrow" w:hAnsi="Arial Narrow" w:cs="Arial Narrow"/>
                <w:color w:val="000000" w:themeColor="text1"/>
              </w:rPr>
              <w:t xml:space="preserve"> protection, restoration, and management.</w:t>
            </w:r>
          </w:p>
        </w:tc>
      </w:tr>
      <w:tr w:rsidR="6FC3E2E7" w14:paraId="7DF0DECF" w14:textId="77777777" w:rsidTr="6FC3E2E7">
        <w:tc>
          <w:tcPr>
            <w:tcW w:w="1575" w:type="dxa"/>
          </w:tcPr>
          <w:p w14:paraId="7B3F5D29" w14:textId="0ECF66D2" w:rsidR="6FC3E2E7" w:rsidRDefault="6FC3E2E7" w:rsidP="6FC3E2E7">
            <w:pPr>
              <w:spacing w:after="200" w:line="276" w:lineRule="auto"/>
              <w:rPr>
                <w:rFonts w:ascii="Arial Narrow" w:eastAsia="Arial Narrow" w:hAnsi="Arial Narrow" w:cs="Arial Narrow"/>
              </w:rPr>
            </w:pPr>
            <w:r w:rsidRPr="6FC3E2E7">
              <w:rPr>
                <w:rFonts w:ascii="Arial Narrow" w:eastAsia="Arial Narrow" w:hAnsi="Arial Narrow" w:cs="Arial Narrow"/>
              </w:rPr>
              <w:lastRenderedPageBreak/>
              <w:t>Disaggregate(s)</w:t>
            </w:r>
          </w:p>
        </w:tc>
        <w:tc>
          <w:tcPr>
            <w:tcW w:w="7770" w:type="dxa"/>
          </w:tcPr>
          <w:p w14:paraId="47402119" w14:textId="0EBD55A0" w:rsidR="6FC3E2E7" w:rsidRDefault="6FC3E2E7" w:rsidP="6FC3E2E7">
            <w:pPr>
              <w:spacing w:after="200" w:line="276" w:lineRule="auto"/>
              <w:rPr>
                <w:rFonts w:ascii="Arial Narrow" w:eastAsia="Arial Narrow" w:hAnsi="Arial Narrow" w:cs="Arial Narrow"/>
              </w:rPr>
            </w:pPr>
            <w:r w:rsidRPr="6FC3E2E7">
              <w:rPr>
                <w:rFonts w:ascii="Arial Narrow" w:eastAsia="Arial Narrow" w:hAnsi="Arial Narrow" w:cs="Arial Narrow"/>
                <w:color w:val="000000" w:themeColor="text1"/>
                <w:sz w:val="20"/>
                <w:szCs w:val="20"/>
              </w:rPr>
              <w:t xml:space="preserve">• </w:t>
            </w:r>
            <w:r w:rsidRPr="6FC3E2E7">
              <w:rPr>
                <w:rFonts w:ascii="Arial Narrow" w:eastAsia="Arial Narrow" w:hAnsi="Arial Narrow" w:cs="Arial Narrow"/>
              </w:rPr>
              <w:t>Protection, Forests</w:t>
            </w:r>
            <w:r>
              <w:br/>
            </w:r>
            <w:r w:rsidRPr="6FC3E2E7">
              <w:rPr>
                <w:rFonts w:ascii="Arial Narrow" w:eastAsia="Arial Narrow" w:hAnsi="Arial Narrow" w:cs="Arial Narrow"/>
              </w:rPr>
              <w:t>• Protection, Non-forests</w:t>
            </w:r>
            <w:r>
              <w:br/>
            </w:r>
            <w:r w:rsidRPr="6FC3E2E7">
              <w:rPr>
                <w:rFonts w:ascii="Arial Narrow" w:eastAsia="Arial Narrow" w:hAnsi="Arial Narrow" w:cs="Arial Narrow"/>
              </w:rPr>
              <w:t>• Restoration, Forests</w:t>
            </w:r>
            <w:r>
              <w:br/>
            </w:r>
            <w:r w:rsidRPr="6FC3E2E7">
              <w:rPr>
                <w:rFonts w:ascii="Arial Narrow" w:eastAsia="Arial Narrow" w:hAnsi="Arial Narrow" w:cs="Arial Narrow"/>
              </w:rPr>
              <w:t>• Restoration, Non-forests</w:t>
            </w:r>
            <w:r>
              <w:br/>
            </w:r>
            <w:r w:rsidRPr="6FC3E2E7">
              <w:rPr>
                <w:rFonts w:ascii="Arial Narrow" w:eastAsia="Arial Narrow" w:hAnsi="Arial Narrow" w:cs="Arial Narrow"/>
              </w:rPr>
              <w:t>• Management, Forests</w:t>
            </w:r>
            <w:r>
              <w:br/>
            </w:r>
            <w:r w:rsidRPr="6FC3E2E7">
              <w:rPr>
                <w:rFonts w:ascii="Arial Narrow" w:eastAsia="Arial Narrow" w:hAnsi="Arial Narrow" w:cs="Arial Narrow"/>
              </w:rPr>
              <w:t>• Management, Non-forests</w:t>
            </w:r>
          </w:p>
        </w:tc>
      </w:tr>
    </w:tbl>
    <w:p w14:paraId="4654894D" w14:textId="0AAEB2BF" w:rsidR="6FC3E2E7" w:rsidRDefault="6FC3E2E7" w:rsidP="6FC3E2E7">
      <w:pPr>
        <w:rPr>
          <w:rFonts w:ascii="Arial Narrow" w:eastAsia="Arial Narrow" w:hAnsi="Arial Narrow" w:cs="Arial Narrow"/>
          <w:color w:val="000000" w:themeColor="text1"/>
          <w:sz w:val="20"/>
          <w:szCs w:val="20"/>
        </w:rPr>
      </w:pPr>
    </w:p>
    <w:p w14:paraId="2456FD89" w14:textId="24134E7B" w:rsidR="6FC3E2E7" w:rsidRDefault="6FC3E2E7" w:rsidP="6FC3E2E7">
      <w:pPr>
        <w:rPr>
          <w:rFonts w:ascii="Times New Roman" w:eastAsia="Times New Roman" w:hAnsi="Times New Roman" w:cs="Times New Roman"/>
          <w:color w:val="000000" w:themeColor="text1"/>
          <w:sz w:val="28"/>
          <w:szCs w:val="28"/>
        </w:rPr>
      </w:pPr>
      <w:r w:rsidRPr="6FC3E2E7">
        <w:rPr>
          <w:rFonts w:ascii="Times New Roman" w:eastAsia="Times New Roman" w:hAnsi="Times New Roman" w:cs="Times New Roman"/>
          <w:b/>
          <w:bCs/>
          <w:color w:val="000000" w:themeColor="text1"/>
          <w:sz w:val="28"/>
          <w:szCs w:val="28"/>
        </w:rPr>
        <w:t>Custom Indicator Example</w:t>
      </w:r>
    </w:p>
    <w:tbl>
      <w:tblPr>
        <w:tblW w:w="0" w:type="auto"/>
        <w:tblLayout w:type="fixed"/>
        <w:tblLook w:val="04A0" w:firstRow="1" w:lastRow="0" w:firstColumn="1" w:lastColumn="0" w:noHBand="0" w:noVBand="1"/>
      </w:tblPr>
      <w:tblGrid>
        <w:gridCol w:w="1515"/>
        <w:gridCol w:w="7830"/>
      </w:tblGrid>
      <w:tr w:rsidR="6FC3E2E7" w14:paraId="2C6CEDF1" w14:textId="77777777" w:rsidTr="6FC3E2E7">
        <w:trPr>
          <w:trHeight w:val="390"/>
        </w:trPr>
        <w:tc>
          <w:tcPr>
            <w:tcW w:w="1515"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717B8454" w14:textId="072B2B3D"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Custom Indicator</w:t>
            </w:r>
          </w:p>
        </w:tc>
        <w:tc>
          <w:tcPr>
            <w:tcW w:w="7830" w:type="dxa"/>
            <w:tcBorders>
              <w:top w:val="single" w:sz="6" w:space="0" w:color="auto"/>
              <w:left w:val="single" w:sz="6" w:space="0" w:color="auto"/>
              <w:bottom w:val="single" w:sz="6" w:space="0" w:color="auto"/>
              <w:right w:val="single" w:sz="6" w:space="0" w:color="auto"/>
            </w:tcBorders>
            <w:shd w:val="clear" w:color="auto" w:fill="C6D9F1" w:themeFill="text2" w:themeFillTint="33"/>
          </w:tcPr>
          <w:p w14:paraId="0D57ED45" w14:textId="2A729941"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b/>
                <w:bCs/>
                <w:color w:val="000000" w:themeColor="text1"/>
                <w:sz w:val="20"/>
                <w:szCs w:val="20"/>
              </w:rPr>
              <w:t>Number of days of USG funded technical assistance in climate change provided to counterparts or stakeholders</w:t>
            </w:r>
          </w:p>
        </w:tc>
      </w:tr>
      <w:tr w:rsidR="6FC3E2E7" w14:paraId="4013D691" w14:textId="77777777" w:rsidTr="6FC3E2E7">
        <w:trPr>
          <w:trHeight w:val="1695"/>
        </w:trPr>
        <w:tc>
          <w:tcPr>
            <w:tcW w:w="1515" w:type="dxa"/>
            <w:tcBorders>
              <w:top w:val="single" w:sz="6" w:space="0" w:color="auto"/>
              <w:left w:val="single" w:sz="6" w:space="0" w:color="auto"/>
              <w:bottom w:val="single" w:sz="6" w:space="0" w:color="auto"/>
              <w:right w:val="single" w:sz="6" w:space="0" w:color="auto"/>
            </w:tcBorders>
          </w:tcPr>
          <w:p w14:paraId="32C90A25" w14:textId="09200549"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Definition</w:t>
            </w:r>
          </w:p>
        </w:tc>
        <w:tc>
          <w:tcPr>
            <w:tcW w:w="7830" w:type="dxa"/>
            <w:tcBorders>
              <w:top w:val="single" w:sz="6" w:space="0" w:color="auto"/>
              <w:left w:val="single" w:sz="6" w:space="0" w:color="auto"/>
              <w:bottom w:val="single" w:sz="6" w:space="0" w:color="auto"/>
              <w:right w:val="single" w:sz="6" w:space="0" w:color="auto"/>
            </w:tcBorders>
          </w:tcPr>
          <w:p w14:paraId="021004BF" w14:textId="5176D452"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The provision of goods or services to developing countries and other USG recipients in direct support of a development objective-as opposed to the internal management of the foreign assistance program. Services could include the transfer of knowledge and/or expertise by way of staff, skills training, research work and financing to support quality of program implementation and impact, support administration, management, representation, publicity, policy development and capacity building. Technical assistance includes both human and institutional resources. Technical assistance does not include financial assistance.</w:t>
            </w:r>
          </w:p>
        </w:tc>
      </w:tr>
      <w:tr w:rsidR="6FC3E2E7" w14:paraId="6C056E01" w14:textId="77777777" w:rsidTr="6FC3E2E7">
        <w:trPr>
          <w:trHeight w:val="900"/>
        </w:trPr>
        <w:tc>
          <w:tcPr>
            <w:tcW w:w="1515" w:type="dxa"/>
            <w:tcBorders>
              <w:top w:val="single" w:sz="6" w:space="0" w:color="auto"/>
              <w:left w:val="single" w:sz="6" w:space="0" w:color="auto"/>
              <w:bottom w:val="single" w:sz="6" w:space="0" w:color="auto"/>
              <w:right w:val="single" w:sz="6" w:space="0" w:color="auto"/>
            </w:tcBorders>
          </w:tcPr>
          <w:p w14:paraId="63F109DE" w14:textId="2F73E380"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Linkage to Long-Term Outcome or Impact</w:t>
            </w:r>
          </w:p>
        </w:tc>
        <w:tc>
          <w:tcPr>
            <w:tcW w:w="7830" w:type="dxa"/>
            <w:tcBorders>
              <w:top w:val="single" w:sz="6" w:space="0" w:color="auto"/>
              <w:left w:val="single" w:sz="6" w:space="0" w:color="auto"/>
              <w:bottom w:val="single" w:sz="6" w:space="0" w:color="auto"/>
              <w:right w:val="single" w:sz="6" w:space="0" w:color="auto"/>
            </w:tcBorders>
          </w:tcPr>
          <w:p w14:paraId="51E300CA" w14:textId="0296F081"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Technical assistance supports institutional capacity building, a key goal for long term sustainability.</w:t>
            </w:r>
          </w:p>
        </w:tc>
      </w:tr>
      <w:tr w:rsidR="6FC3E2E7" w14:paraId="33D93140" w14:textId="77777777" w:rsidTr="6FC3E2E7">
        <w:trPr>
          <w:trHeight w:val="300"/>
        </w:trPr>
        <w:tc>
          <w:tcPr>
            <w:tcW w:w="1515" w:type="dxa"/>
            <w:tcBorders>
              <w:top w:val="single" w:sz="6" w:space="0" w:color="auto"/>
              <w:left w:val="single" w:sz="6" w:space="0" w:color="auto"/>
              <w:bottom w:val="single" w:sz="6" w:space="0" w:color="auto"/>
              <w:right w:val="single" w:sz="6" w:space="0" w:color="auto"/>
            </w:tcBorders>
          </w:tcPr>
          <w:p w14:paraId="2BA98E27" w14:textId="77F72A89"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Indicator Type</w:t>
            </w:r>
          </w:p>
        </w:tc>
        <w:tc>
          <w:tcPr>
            <w:tcW w:w="7830" w:type="dxa"/>
            <w:tcBorders>
              <w:top w:val="single" w:sz="6" w:space="0" w:color="auto"/>
              <w:left w:val="single" w:sz="6" w:space="0" w:color="auto"/>
              <w:bottom w:val="single" w:sz="6" w:space="0" w:color="auto"/>
              <w:right w:val="single" w:sz="6" w:space="0" w:color="auto"/>
            </w:tcBorders>
          </w:tcPr>
          <w:p w14:paraId="43F75CD0" w14:textId="790862BD"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Output</w:t>
            </w:r>
          </w:p>
        </w:tc>
      </w:tr>
      <w:tr w:rsidR="6FC3E2E7" w14:paraId="6E1DBD63" w14:textId="77777777" w:rsidTr="6FC3E2E7">
        <w:trPr>
          <w:trHeight w:val="300"/>
        </w:trPr>
        <w:tc>
          <w:tcPr>
            <w:tcW w:w="1515" w:type="dxa"/>
            <w:tcBorders>
              <w:top w:val="single" w:sz="6" w:space="0" w:color="auto"/>
              <w:left w:val="single" w:sz="6" w:space="0" w:color="auto"/>
              <w:bottom w:val="single" w:sz="6" w:space="0" w:color="auto"/>
              <w:right w:val="single" w:sz="6" w:space="0" w:color="auto"/>
            </w:tcBorders>
          </w:tcPr>
          <w:p w14:paraId="5228001B" w14:textId="54BC0FEE"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lastRenderedPageBreak/>
              <w:t>Unit of Measure</w:t>
            </w:r>
          </w:p>
        </w:tc>
        <w:tc>
          <w:tcPr>
            <w:tcW w:w="7830" w:type="dxa"/>
            <w:tcBorders>
              <w:top w:val="single" w:sz="6" w:space="0" w:color="auto"/>
              <w:left w:val="single" w:sz="6" w:space="0" w:color="auto"/>
              <w:bottom w:val="single" w:sz="6" w:space="0" w:color="auto"/>
              <w:right w:val="single" w:sz="6" w:space="0" w:color="auto"/>
            </w:tcBorders>
          </w:tcPr>
          <w:p w14:paraId="74281821" w14:textId="2B22D1D7"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Number of days of technical assistance provided in each reporting period. Rounded up or down into whole numbers.</w:t>
            </w:r>
          </w:p>
        </w:tc>
      </w:tr>
      <w:tr w:rsidR="6FC3E2E7" w14:paraId="60AB4E7B" w14:textId="77777777" w:rsidTr="6FC3E2E7">
        <w:trPr>
          <w:trHeight w:val="300"/>
        </w:trPr>
        <w:tc>
          <w:tcPr>
            <w:tcW w:w="1515" w:type="dxa"/>
            <w:tcBorders>
              <w:top w:val="single" w:sz="6" w:space="0" w:color="auto"/>
              <w:left w:val="single" w:sz="6" w:space="0" w:color="auto"/>
              <w:bottom w:val="single" w:sz="6" w:space="0" w:color="auto"/>
              <w:right w:val="single" w:sz="6" w:space="0" w:color="auto"/>
            </w:tcBorders>
          </w:tcPr>
          <w:p w14:paraId="3532394B" w14:textId="3E004595"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Use of Indicator</w:t>
            </w:r>
          </w:p>
        </w:tc>
        <w:tc>
          <w:tcPr>
            <w:tcW w:w="7830" w:type="dxa"/>
            <w:tcBorders>
              <w:top w:val="single" w:sz="6" w:space="0" w:color="auto"/>
              <w:left w:val="single" w:sz="6" w:space="0" w:color="auto"/>
              <w:bottom w:val="single" w:sz="6" w:space="0" w:color="auto"/>
              <w:right w:val="single" w:sz="6" w:space="0" w:color="auto"/>
            </w:tcBorders>
          </w:tcPr>
          <w:p w14:paraId="6E5C82EA" w14:textId="391E367B"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To convey the coverage and capacity building contribution of USG programs.</w:t>
            </w:r>
          </w:p>
        </w:tc>
      </w:tr>
      <w:tr w:rsidR="6FC3E2E7" w14:paraId="35134A77" w14:textId="77777777" w:rsidTr="6FC3E2E7">
        <w:trPr>
          <w:trHeight w:val="900"/>
        </w:trPr>
        <w:tc>
          <w:tcPr>
            <w:tcW w:w="1515" w:type="dxa"/>
            <w:tcBorders>
              <w:top w:val="single" w:sz="6" w:space="0" w:color="auto"/>
              <w:left w:val="single" w:sz="6" w:space="0" w:color="auto"/>
              <w:bottom w:val="single" w:sz="6" w:space="0" w:color="auto"/>
              <w:right w:val="single" w:sz="6" w:space="0" w:color="auto"/>
            </w:tcBorders>
          </w:tcPr>
          <w:p w14:paraId="17256673" w14:textId="68CA196E"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Data Source and Reporting Frequency</w:t>
            </w:r>
          </w:p>
        </w:tc>
        <w:tc>
          <w:tcPr>
            <w:tcW w:w="7830" w:type="dxa"/>
            <w:tcBorders>
              <w:top w:val="single" w:sz="6" w:space="0" w:color="auto"/>
              <w:left w:val="single" w:sz="6" w:space="0" w:color="auto"/>
              <w:bottom w:val="single" w:sz="6" w:space="0" w:color="auto"/>
              <w:right w:val="single" w:sz="6" w:space="0" w:color="auto"/>
            </w:tcBorders>
          </w:tcPr>
          <w:p w14:paraId="1DB2E937" w14:textId="74E6EBA2"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Reporting by implementing partners on an annual basis</w:t>
            </w:r>
          </w:p>
        </w:tc>
      </w:tr>
      <w:tr w:rsidR="6FC3E2E7" w14:paraId="7D656251" w14:textId="77777777" w:rsidTr="6FC3E2E7">
        <w:trPr>
          <w:trHeight w:val="1485"/>
        </w:trPr>
        <w:tc>
          <w:tcPr>
            <w:tcW w:w="1515" w:type="dxa"/>
            <w:tcBorders>
              <w:top w:val="single" w:sz="6" w:space="0" w:color="auto"/>
              <w:left w:val="single" w:sz="6" w:space="0" w:color="auto"/>
              <w:bottom w:val="single" w:sz="6" w:space="0" w:color="auto"/>
              <w:right w:val="single" w:sz="6" w:space="0" w:color="auto"/>
            </w:tcBorders>
          </w:tcPr>
          <w:p w14:paraId="03BA07BA" w14:textId="53BA53ED"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Known Data Limitations</w:t>
            </w:r>
          </w:p>
        </w:tc>
        <w:tc>
          <w:tcPr>
            <w:tcW w:w="7830" w:type="dxa"/>
            <w:tcBorders>
              <w:top w:val="single" w:sz="6" w:space="0" w:color="auto"/>
              <w:left w:val="single" w:sz="6" w:space="0" w:color="auto"/>
              <w:bottom w:val="single" w:sz="6" w:space="0" w:color="auto"/>
              <w:right w:val="single" w:sz="6" w:space="0" w:color="auto"/>
            </w:tcBorders>
          </w:tcPr>
          <w:p w14:paraId="1FAAF203" w14:textId="75882053"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Validity: This indicator addresses only one of the limitations, exposure to concepts and systems that offer solutions to development problems or institutional gaps that prevent people from taking appropriate actions.</w:t>
            </w:r>
            <w:r>
              <w:br/>
            </w:r>
            <w:r>
              <w:br/>
            </w:r>
            <w:r w:rsidRPr="6FC3E2E7">
              <w:rPr>
                <w:rFonts w:ascii="Arial Narrow" w:eastAsia="Arial Narrow" w:hAnsi="Arial Narrow" w:cs="Arial Narrow"/>
                <w:color w:val="000000" w:themeColor="text1"/>
                <w:sz w:val="20"/>
                <w:szCs w:val="20"/>
              </w:rPr>
              <w:t>Precision: Simply knowing the number of person days of technical assistance provided does not provide information about the quality and appropriateness of the technical advice provided.</w:t>
            </w:r>
          </w:p>
        </w:tc>
      </w:tr>
      <w:tr w:rsidR="6FC3E2E7" w14:paraId="69F05243" w14:textId="77777777" w:rsidTr="6FC3E2E7">
        <w:trPr>
          <w:trHeight w:val="585"/>
        </w:trPr>
        <w:tc>
          <w:tcPr>
            <w:tcW w:w="1515" w:type="dxa"/>
            <w:tcBorders>
              <w:top w:val="single" w:sz="6" w:space="0" w:color="auto"/>
              <w:left w:val="single" w:sz="6" w:space="0" w:color="auto"/>
              <w:bottom w:val="single" w:sz="6" w:space="0" w:color="auto"/>
              <w:right w:val="single" w:sz="6" w:space="0" w:color="auto"/>
            </w:tcBorders>
          </w:tcPr>
          <w:p w14:paraId="2B4F838C" w14:textId="42EF1F74"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Baseline</w:t>
            </w:r>
          </w:p>
        </w:tc>
        <w:tc>
          <w:tcPr>
            <w:tcW w:w="7830" w:type="dxa"/>
            <w:tcBorders>
              <w:top w:val="single" w:sz="6" w:space="0" w:color="auto"/>
              <w:left w:val="single" w:sz="6" w:space="0" w:color="auto"/>
              <w:bottom w:val="single" w:sz="6" w:space="0" w:color="auto"/>
              <w:right w:val="single" w:sz="6" w:space="0" w:color="auto"/>
            </w:tcBorders>
          </w:tcPr>
          <w:p w14:paraId="51FE5675" w14:textId="756577FC"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Baseline is the start year of the project. The baseline value will be zero to measure the incremental change in the number of people trained resulting from a project.</w:t>
            </w:r>
          </w:p>
        </w:tc>
      </w:tr>
      <w:tr w:rsidR="6FC3E2E7" w14:paraId="3D03B253" w14:textId="77777777" w:rsidTr="6FC3E2E7">
        <w:trPr>
          <w:trHeight w:val="300"/>
        </w:trPr>
        <w:tc>
          <w:tcPr>
            <w:tcW w:w="1515" w:type="dxa"/>
            <w:tcBorders>
              <w:top w:val="single" w:sz="6" w:space="0" w:color="auto"/>
              <w:left w:val="single" w:sz="6" w:space="0" w:color="auto"/>
              <w:bottom w:val="single" w:sz="6" w:space="0" w:color="auto"/>
              <w:right w:val="single" w:sz="6" w:space="0" w:color="auto"/>
            </w:tcBorders>
          </w:tcPr>
          <w:p w14:paraId="7AFA8FF7" w14:textId="708FEBF8"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Disaggregate(s)</w:t>
            </w:r>
          </w:p>
        </w:tc>
        <w:tc>
          <w:tcPr>
            <w:tcW w:w="7830" w:type="dxa"/>
            <w:tcBorders>
              <w:top w:val="single" w:sz="6" w:space="0" w:color="auto"/>
              <w:left w:val="single" w:sz="6" w:space="0" w:color="auto"/>
              <w:bottom w:val="single" w:sz="6" w:space="0" w:color="auto"/>
              <w:right w:val="single" w:sz="6" w:space="0" w:color="auto"/>
            </w:tcBorders>
          </w:tcPr>
          <w:p w14:paraId="5B51BA87" w14:textId="59BC20D7" w:rsidR="6FC3E2E7" w:rsidRDefault="6FC3E2E7" w:rsidP="6FC3E2E7">
            <w:pPr>
              <w:spacing w:line="240" w:lineRule="auto"/>
              <w:rPr>
                <w:rFonts w:ascii="Arial Narrow" w:eastAsia="Arial Narrow" w:hAnsi="Arial Narrow" w:cs="Arial Narrow"/>
                <w:color w:val="000000" w:themeColor="text1"/>
                <w:sz w:val="20"/>
                <w:szCs w:val="20"/>
              </w:rPr>
            </w:pPr>
            <w:r w:rsidRPr="6FC3E2E7">
              <w:rPr>
                <w:rFonts w:ascii="Arial Narrow" w:eastAsia="Arial Narrow" w:hAnsi="Arial Narrow" w:cs="Arial Narrow"/>
                <w:color w:val="000000" w:themeColor="text1"/>
                <w:sz w:val="20"/>
                <w:szCs w:val="20"/>
              </w:rPr>
              <w:t>N/A</w:t>
            </w:r>
          </w:p>
        </w:tc>
      </w:tr>
    </w:tbl>
    <w:p w14:paraId="11D7A8B2" w14:textId="16DC435D" w:rsidR="6FC3E2E7" w:rsidRDefault="6FC3E2E7" w:rsidP="6FC3E2E7">
      <w:pPr>
        <w:spacing w:line="240" w:lineRule="auto"/>
        <w:rPr>
          <w:rFonts w:ascii="Arial Narrow" w:eastAsia="Arial Narrow" w:hAnsi="Arial Narrow" w:cs="Arial Narrow"/>
          <w:color w:val="000000" w:themeColor="text1"/>
          <w:sz w:val="20"/>
          <w:szCs w:val="20"/>
        </w:rPr>
      </w:pPr>
    </w:p>
    <w:p w14:paraId="4F05FEDD" w14:textId="2FB13886" w:rsidR="6FC3E2E7" w:rsidRDefault="6FC3E2E7" w:rsidP="6FC3E2E7">
      <w:pPr>
        <w:pStyle w:val="NoSpacing"/>
        <w:rPr>
          <w:rFonts w:ascii="Times New Roman" w:hAnsi="Times New Roman" w:cs="Times New Roman"/>
          <w:sz w:val="24"/>
          <w:szCs w:val="24"/>
        </w:rPr>
      </w:pPr>
    </w:p>
    <w:p w14:paraId="4C2E7650" w14:textId="520178DD" w:rsidR="6FC3E2E7" w:rsidRDefault="6FC3E2E7" w:rsidP="6FC3E2E7">
      <w:pPr>
        <w:pStyle w:val="NoSpacing"/>
        <w:rPr>
          <w:rFonts w:ascii="Times New Roman" w:hAnsi="Times New Roman" w:cs="Times New Roman"/>
          <w:sz w:val="24"/>
          <w:szCs w:val="24"/>
        </w:rPr>
      </w:pPr>
    </w:p>
    <w:p w14:paraId="38CF445A" w14:textId="55EAC276" w:rsidR="6FC3E2E7" w:rsidRDefault="6FC3E2E7" w:rsidP="6FC3E2E7">
      <w:pPr>
        <w:pStyle w:val="NoSpacing"/>
        <w:rPr>
          <w:rFonts w:ascii="Times New Roman" w:hAnsi="Times New Roman" w:cs="Times New Roman"/>
          <w:sz w:val="24"/>
          <w:szCs w:val="24"/>
        </w:rPr>
      </w:pPr>
    </w:p>
    <w:p w14:paraId="4930D4D6" w14:textId="0DF42AE8" w:rsidR="6FC3E2E7" w:rsidRDefault="6FC3E2E7" w:rsidP="6FC3E2E7">
      <w:pPr>
        <w:pStyle w:val="NoSpacing"/>
        <w:rPr>
          <w:rFonts w:ascii="Times New Roman" w:hAnsi="Times New Roman" w:cs="Times New Roman"/>
          <w:sz w:val="24"/>
          <w:szCs w:val="24"/>
        </w:rPr>
      </w:pPr>
    </w:p>
    <w:p w14:paraId="34B0511E" w14:textId="78268DF5" w:rsidR="6FC3E2E7" w:rsidRDefault="6FC3E2E7" w:rsidP="6FC3E2E7">
      <w:pPr>
        <w:pStyle w:val="NoSpacing"/>
        <w:rPr>
          <w:rFonts w:ascii="Times New Roman" w:hAnsi="Times New Roman" w:cs="Times New Roman"/>
          <w:sz w:val="24"/>
          <w:szCs w:val="24"/>
        </w:rPr>
      </w:pPr>
    </w:p>
    <w:p w14:paraId="7B419204" w14:textId="77777777" w:rsidR="00863457" w:rsidRPr="00DA36CE" w:rsidRDefault="00863457" w:rsidP="00DA36CE">
      <w:pPr>
        <w:pStyle w:val="NoSpacing"/>
        <w:rPr>
          <w:rFonts w:ascii="Times New Roman" w:hAnsi="Times New Roman" w:cs="Times New Roman"/>
          <w:sz w:val="24"/>
          <w:szCs w:val="24"/>
        </w:rPr>
      </w:pPr>
    </w:p>
    <w:p w14:paraId="03898C7F" w14:textId="6AEA9D2B" w:rsidR="00290D8C" w:rsidRPr="00AD1B75" w:rsidRDefault="00290D8C" w:rsidP="00DA36CE">
      <w:pPr>
        <w:pStyle w:val="NoSpacing"/>
        <w:rPr>
          <w:rFonts w:ascii="Times New Roman" w:hAnsi="Times New Roman" w:cs="Times New Roman"/>
          <w:sz w:val="24"/>
          <w:szCs w:val="24"/>
        </w:rPr>
      </w:pPr>
      <w:bookmarkStart w:id="6" w:name="h.3dy6vkm"/>
      <w:bookmarkEnd w:id="6"/>
    </w:p>
    <w:sectPr w:rsidR="00290D8C" w:rsidRPr="00AD1B75" w:rsidSect="00C622A6">
      <w:headerReference w:type="default" r:id="rId66"/>
      <w:footerReference w:type="default" r:id="rId67"/>
      <w:footerReference w:type="first" r:id="rId6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82797" w14:textId="77777777" w:rsidR="00301A0A" w:rsidRDefault="00301A0A">
      <w:pPr>
        <w:spacing w:after="0" w:line="240" w:lineRule="auto"/>
      </w:pPr>
      <w:r>
        <w:separator/>
      </w:r>
    </w:p>
  </w:endnote>
  <w:endnote w:type="continuationSeparator" w:id="0">
    <w:p w14:paraId="4450EAB0" w14:textId="77777777" w:rsidR="00301A0A" w:rsidRDefault="0030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 narrow">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1B5A0375" w:rsidR="0090391C" w:rsidRDefault="00B73EC9">
    <w:pPr>
      <w:pStyle w:val="Footer"/>
    </w:pPr>
    <w:r>
      <w:rPr>
        <w:noProof/>
      </w:rPr>
      <mc:AlternateContent>
        <mc:Choice Requires="wps">
          <w:drawing>
            <wp:anchor distT="0" distB="0" distL="114300" distR="114300" simplePos="0" relativeHeight="251659264" behindDoc="0" locked="0" layoutInCell="0" allowOverlap="1" wp14:anchorId="674358D2" wp14:editId="6328CA09">
              <wp:simplePos x="0" y="0"/>
              <wp:positionH relativeFrom="page">
                <wp:posOffset>0</wp:posOffset>
              </wp:positionH>
              <wp:positionV relativeFrom="page">
                <wp:posOffset>9617075</wp:posOffset>
              </wp:positionV>
              <wp:extent cx="7772400" cy="250190"/>
              <wp:effectExtent l="0" t="0" r="0" b="0"/>
              <wp:wrapNone/>
              <wp:docPr id="4" name="MSIPCM501246e1b9ffd74fd73cadb7" descr="{&quot;HashCode&quot;:177867355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AD466C" w14:textId="57F6C082" w:rsidR="00B73EC9" w:rsidRPr="00B73EC9" w:rsidRDefault="00B73EC9" w:rsidP="00B73EC9">
                          <w:pPr>
                            <w:spacing w:after="0"/>
                            <w:jc w:val="center"/>
                            <w:rPr>
                              <w:rFonts w:ascii="Times New Roman" w:hAnsi="Times New Roman" w:cs="Times New Roman"/>
                              <w:sz w:val="20"/>
                            </w:rPr>
                          </w:pPr>
                          <w:r w:rsidRPr="00B73EC9">
                            <w:rPr>
                              <w:rFonts w:ascii="Times New Roman" w:hAnsi="Times New Roman" w:cs="Times New Roman"/>
                              <w:sz w:val="20"/>
                            </w:rPr>
                            <w:t>SBU - CONTRACTING AND ACQUISITIONS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74358D2" id="_x0000_t202" coordsize="21600,21600" o:spt="202" path="m,l,21600r21600,l21600,xe">
              <v:stroke joinstyle="miter"/>
              <v:path gradientshapeok="t" o:connecttype="rect"/>
            </v:shapetype>
            <v:shape id="MSIPCM501246e1b9ffd74fd73cadb7" o:spid="_x0000_s1026" type="#_x0000_t202" alt="{&quot;HashCode&quot;:1778673554,&quot;Height&quot;:792.0,&quot;Width&quot;:612.0,&quot;Placement&quot;:&quot;Footer&quot;,&quot;Index&quot;:&quot;Primary&quot;,&quot;Section&quot;:1,&quot;Top&quot;:0.0,&quot;Left&quot;:0.0}" style="position:absolute;margin-left:0;margin-top:757.25pt;width:612pt;height:19.7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" o:allowincell="f" filled="f" stroked="f" strokeweight=".5pt">
              <v:textbox inset=",0,,0">
                <w:txbxContent>
                  <w:p w14:paraId="07AD466C" w14:textId="57F6C082" w:rsidR="00B73EC9" w:rsidRPr="00B73EC9" w:rsidRDefault="00B73EC9" w:rsidP="00B73EC9">
                    <w:pPr>
                      <w:spacing w:after="0"/>
                      <w:jc w:val="center"/>
                      <w:rPr>
                        <w:rFonts w:ascii="Times New Roman" w:hAnsi="Times New Roman" w:cs="Times New Roman"/>
                        <w:sz w:val="20"/>
                      </w:rPr>
                    </w:pPr>
                    <w:r w:rsidRPr="00B73EC9">
                      <w:rPr>
                        <w:rFonts w:ascii="Times New Roman" w:hAnsi="Times New Roman" w:cs="Times New Roman"/>
                        <w:sz w:val="20"/>
                      </w:rPr>
                      <w:t>SBU - CONTRACTING AND ACQUISITIONS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A3EB5F9" w:rsidR="0090391C" w:rsidRDefault="00B73EC9">
    <w:pPr>
      <w:pStyle w:val="Footer"/>
    </w:pPr>
    <w:r>
      <w:rPr>
        <w:noProof/>
      </w:rPr>
      <mc:AlternateContent>
        <mc:Choice Requires="wps">
          <w:drawing>
            <wp:anchor distT="0" distB="0" distL="114300" distR="114300" simplePos="0" relativeHeight="251660288" behindDoc="0" locked="0" layoutInCell="0" allowOverlap="1" wp14:anchorId="12D7DD4A" wp14:editId="75BB43EE">
              <wp:simplePos x="0" y="0"/>
              <wp:positionH relativeFrom="page">
                <wp:posOffset>0</wp:posOffset>
              </wp:positionH>
              <wp:positionV relativeFrom="page">
                <wp:posOffset>9617075</wp:posOffset>
              </wp:positionV>
              <wp:extent cx="7772400" cy="250190"/>
              <wp:effectExtent l="0" t="0" r="0" b="0"/>
              <wp:wrapNone/>
              <wp:docPr id="5" name="MSIPCMb4c44eb6920031dd8b5c240d" descr="{&quot;HashCode&quot;:1778673554,&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01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580DFF" w14:textId="4353293F" w:rsidR="00B73EC9" w:rsidRPr="00B73EC9" w:rsidRDefault="00B73EC9" w:rsidP="00B73EC9">
                          <w:pPr>
                            <w:spacing w:after="0"/>
                            <w:jc w:val="center"/>
                            <w:rPr>
                              <w:rFonts w:ascii="Times New Roman" w:hAnsi="Times New Roman" w:cs="Times New Roman"/>
                              <w:sz w:val="20"/>
                            </w:rPr>
                          </w:pPr>
                          <w:r w:rsidRPr="00B73EC9">
                            <w:rPr>
                              <w:rFonts w:ascii="Times New Roman" w:hAnsi="Times New Roman" w:cs="Times New Roman"/>
                              <w:sz w:val="20"/>
                            </w:rPr>
                            <w:t>SBU - CONTRACTING AND ACQUISITIONS</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2D7DD4A" id="_x0000_t202" coordsize="21600,21600" o:spt="202" path="m,l,21600r21600,l21600,xe">
              <v:stroke joinstyle="miter"/>
              <v:path gradientshapeok="t" o:connecttype="rect"/>
            </v:shapetype>
            <v:shape id="MSIPCMb4c44eb6920031dd8b5c240d" o:spid="_x0000_s1027" type="#_x0000_t202" alt="{&quot;HashCode&quot;:1778673554,&quot;Height&quot;:792.0,&quot;Width&quot;:612.0,&quot;Placement&quot;:&quot;Footer&quot;,&quot;Index&quot;:&quot;FirstPage&quot;,&quot;Section&quot;:1,&quot;Top&quot;:0.0,&quot;Left&quot;:0.0}" style="position:absolute;margin-left:0;margin-top:757.25pt;width:612pt;height:19.7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" o:allowincell="f" filled="f" stroked="f" strokeweight=".5pt">
              <v:textbox inset=",0,,0">
                <w:txbxContent>
                  <w:p w14:paraId="06580DFF" w14:textId="4353293F" w:rsidR="00B73EC9" w:rsidRPr="00B73EC9" w:rsidRDefault="00B73EC9" w:rsidP="00B73EC9">
                    <w:pPr>
                      <w:spacing w:after="0"/>
                      <w:jc w:val="center"/>
                      <w:rPr>
                        <w:rFonts w:ascii="Times New Roman" w:hAnsi="Times New Roman" w:cs="Times New Roman"/>
                        <w:sz w:val="20"/>
                      </w:rPr>
                    </w:pPr>
                    <w:r w:rsidRPr="00B73EC9">
                      <w:rPr>
                        <w:rFonts w:ascii="Times New Roman" w:hAnsi="Times New Roman" w:cs="Times New Roman"/>
                        <w:sz w:val="20"/>
                      </w:rPr>
                      <w:t>SBU - CONTRACTING AND ACQUISITIONS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AF4CE" w14:textId="77777777" w:rsidR="00301A0A" w:rsidRDefault="00301A0A">
      <w:pPr>
        <w:spacing w:after="0" w:line="240" w:lineRule="auto"/>
      </w:pPr>
      <w:r>
        <w:separator/>
      </w:r>
    </w:p>
  </w:footnote>
  <w:footnote w:type="continuationSeparator" w:id="0">
    <w:p w14:paraId="401F0632" w14:textId="77777777" w:rsidR="00301A0A" w:rsidRDefault="0030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hAnsi="Aria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D3690B"/>
    <w:multiLevelType w:val="hybridMultilevel"/>
    <w:tmpl w:val="3E64FAC4"/>
    <w:lvl w:ilvl="0" w:tplc="FBAC7FE4">
      <w:start w:val="1"/>
      <w:numFmt w:val="bullet"/>
      <w:lvlText w:val=""/>
      <w:lvlJc w:val="left"/>
      <w:pPr>
        <w:ind w:left="720" w:hanging="360"/>
      </w:pPr>
      <w:rPr>
        <w:rFonts w:ascii="Symbol" w:hAnsi="Symbol" w:hint="default"/>
      </w:rPr>
    </w:lvl>
    <w:lvl w:ilvl="1" w:tplc="E1145644">
      <w:start w:val="1"/>
      <w:numFmt w:val="bullet"/>
      <w:lvlText w:val="o"/>
      <w:lvlJc w:val="left"/>
      <w:pPr>
        <w:ind w:left="1440" w:hanging="360"/>
      </w:pPr>
      <w:rPr>
        <w:rFonts w:ascii="Courier New" w:hAnsi="Courier New" w:hint="default"/>
      </w:rPr>
    </w:lvl>
    <w:lvl w:ilvl="2" w:tplc="E3F82518">
      <w:start w:val="1"/>
      <w:numFmt w:val="bullet"/>
      <w:lvlText w:val=""/>
      <w:lvlJc w:val="left"/>
      <w:pPr>
        <w:ind w:left="2160" w:hanging="360"/>
      </w:pPr>
      <w:rPr>
        <w:rFonts w:ascii="Wingdings" w:hAnsi="Wingdings" w:hint="default"/>
      </w:rPr>
    </w:lvl>
    <w:lvl w:ilvl="3" w:tplc="4E440A9A">
      <w:start w:val="1"/>
      <w:numFmt w:val="bullet"/>
      <w:lvlText w:val=""/>
      <w:lvlJc w:val="left"/>
      <w:pPr>
        <w:ind w:left="2880" w:hanging="360"/>
      </w:pPr>
      <w:rPr>
        <w:rFonts w:ascii="Symbol" w:hAnsi="Symbol" w:hint="default"/>
      </w:rPr>
    </w:lvl>
    <w:lvl w:ilvl="4" w:tplc="38904D02">
      <w:start w:val="1"/>
      <w:numFmt w:val="bullet"/>
      <w:lvlText w:val="o"/>
      <w:lvlJc w:val="left"/>
      <w:pPr>
        <w:ind w:left="3600" w:hanging="360"/>
      </w:pPr>
      <w:rPr>
        <w:rFonts w:ascii="Courier New" w:hAnsi="Courier New" w:hint="default"/>
      </w:rPr>
    </w:lvl>
    <w:lvl w:ilvl="5" w:tplc="A2AE956A">
      <w:start w:val="1"/>
      <w:numFmt w:val="bullet"/>
      <w:lvlText w:val=""/>
      <w:lvlJc w:val="left"/>
      <w:pPr>
        <w:ind w:left="4320" w:hanging="360"/>
      </w:pPr>
      <w:rPr>
        <w:rFonts w:ascii="Wingdings" w:hAnsi="Wingdings" w:hint="default"/>
      </w:rPr>
    </w:lvl>
    <w:lvl w:ilvl="6" w:tplc="6D1C47AC">
      <w:start w:val="1"/>
      <w:numFmt w:val="bullet"/>
      <w:lvlText w:val=""/>
      <w:lvlJc w:val="left"/>
      <w:pPr>
        <w:ind w:left="5040" w:hanging="360"/>
      </w:pPr>
      <w:rPr>
        <w:rFonts w:ascii="Symbol" w:hAnsi="Symbol" w:hint="default"/>
      </w:rPr>
    </w:lvl>
    <w:lvl w:ilvl="7" w:tplc="15B04D10">
      <w:start w:val="1"/>
      <w:numFmt w:val="bullet"/>
      <w:lvlText w:val="o"/>
      <w:lvlJc w:val="left"/>
      <w:pPr>
        <w:ind w:left="5760" w:hanging="360"/>
      </w:pPr>
      <w:rPr>
        <w:rFonts w:ascii="Courier New" w:hAnsi="Courier New" w:hint="default"/>
      </w:rPr>
    </w:lvl>
    <w:lvl w:ilvl="8" w:tplc="D584E1C0">
      <w:start w:val="1"/>
      <w:numFmt w:val="bullet"/>
      <w:lvlText w:val=""/>
      <w:lvlJc w:val="left"/>
      <w:pPr>
        <w:ind w:left="6480" w:hanging="360"/>
      </w:pPr>
      <w:rPr>
        <w:rFonts w:ascii="Wingdings" w:hAnsi="Wingdings" w:hint="default"/>
      </w:rPr>
    </w:lvl>
  </w:abstractNum>
  <w:abstractNum w:abstractNumId="2"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32DAF"/>
    <w:multiLevelType w:val="hybridMultilevel"/>
    <w:tmpl w:val="7B280F98"/>
    <w:lvl w:ilvl="0" w:tplc="AC76C752">
      <w:start w:val="1"/>
      <w:numFmt w:val="bullet"/>
      <w:lvlText w:val=""/>
      <w:lvlJc w:val="left"/>
      <w:pPr>
        <w:ind w:left="720" w:hanging="360"/>
      </w:pPr>
      <w:rPr>
        <w:rFonts w:ascii="Symbol" w:hAnsi="Symbol" w:hint="default"/>
      </w:rPr>
    </w:lvl>
    <w:lvl w:ilvl="1" w:tplc="3BEC40A0">
      <w:start w:val="1"/>
      <w:numFmt w:val="bullet"/>
      <w:lvlText w:val="o"/>
      <w:lvlJc w:val="left"/>
      <w:pPr>
        <w:ind w:left="1440" w:hanging="360"/>
      </w:pPr>
      <w:rPr>
        <w:rFonts w:ascii="Courier New" w:hAnsi="Courier New" w:hint="default"/>
      </w:rPr>
    </w:lvl>
    <w:lvl w:ilvl="2" w:tplc="C842340A">
      <w:start w:val="1"/>
      <w:numFmt w:val="bullet"/>
      <w:lvlText w:val=""/>
      <w:lvlJc w:val="left"/>
      <w:pPr>
        <w:ind w:left="2160" w:hanging="360"/>
      </w:pPr>
      <w:rPr>
        <w:rFonts w:ascii="Wingdings" w:hAnsi="Wingdings" w:hint="default"/>
      </w:rPr>
    </w:lvl>
    <w:lvl w:ilvl="3" w:tplc="DF765740">
      <w:start w:val="1"/>
      <w:numFmt w:val="bullet"/>
      <w:lvlText w:val=""/>
      <w:lvlJc w:val="left"/>
      <w:pPr>
        <w:ind w:left="2880" w:hanging="360"/>
      </w:pPr>
      <w:rPr>
        <w:rFonts w:ascii="Symbol" w:hAnsi="Symbol" w:hint="default"/>
      </w:rPr>
    </w:lvl>
    <w:lvl w:ilvl="4" w:tplc="A010317C">
      <w:start w:val="1"/>
      <w:numFmt w:val="bullet"/>
      <w:lvlText w:val="o"/>
      <w:lvlJc w:val="left"/>
      <w:pPr>
        <w:ind w:left="3600" w:hanging="360"/>
      </w:pPr>
      <w:rPr>
        <w:rFonts w:ascii="Courier New" w:hAnsi="Courier New" w:hint="default"/>
      </w:rPr>
    </w:lvl>
    <w:lvl w:ilvl="5" w:tplc="C9A8D146">
      <w:start w:val="1"/>
      <w:numFmt w:val="bullet"/>
      <w:lvlText w:val=""/>
      <w:lvlJc w:val="left"/>
      <w:pPr>
        <w:ind w:left="4320" w:hanging="360"/>
      </w:pPr>
      <w:rPr>
        <w:rFonts w:ascii="Wingdings" w:hAnsi="Wingdings" w:hint="default"/>
      </w:rPr>
    </w:lvl>
    <w:lvl w:ilvl="6" w:tplc="F616490E">
      <w:start w:val="1"/>
      <w:numFmt w:val="bullet"/>
      <w:lvlText w:val=""/>
      <w:lvlJc w:val="left"/>
      <w:pPr>
        <w:ind w:left="5040" w:hanging="360"/>
      </w:pPr>
      <w:rPr>
        <w:rFonts w:ascii="Symbol" w:hAnsi="Symbol" w:hint="default"/>
      </w:rPr>
    </w:lvl>
    <w:lvl w:ilvl="7" w:tplc="2AA448BE">
      <w:start w:val="1"/>
      <w:numFmt w:val="bullet"/>
      <w:lvlText w:val="o"/>
      <w:lvlJc w:val="left"/>
      <w:pPr>
        <w:ind w:left="5760" w:hanging="360"/>
      </w:pPr>
      <w:rPr>
        <w:rFonts w:ascii="Courier New" w:hAnsi="Courier New" w:hint="default"/>
      </w:rPr>
    </w:lvl>
    <w:lvl w:ilvl="8" w:tplc="F3E404DC">
      <w:start w:val="1"/>
      <w:numFmt w:val="bullet"/>
      <w:lvlText w:val=""/>
      <w:lvlJc w:val="left"/>
      <w:pPr>
        <w:ind w:left="6480" w:hanging="360"/>
      </w:pPr>
      <w:rPr>
        <w:rFonts w:ascii="Wingdings" w:hAnsi="Wingdings" w:hint="default"/>
      </w:rPr>
    </w:lvl>
  </w:abstractNum>
  <w:abstractNum w:abstractNumId="6" w15:restartNumberingAfterBreak="0">
    <w:nsid w:val="1D6E3E57"/>
    <w:multiLevelType w:val="hybridMultilevel"/>
    <w:tmpl w:val="AD146580"/>
    <w:lvl w:ilvl="0" w:tplc="67CA1586">
      <w:start w:val="1"/>
      <w:numFmt w:val="bullet"/>
      <w:lvlText w:val="●"/>
      <w:lvlJc w:val="left"/>
      <w:pPr>
        <w:ind w:left="720" w:hanging="360"/>
      </w:pPr>
      <w:rPr>
        <w:rFonts w:ascii="Arial" w:hAnsi="Arial" w:hint="default"/>
      </w:rPr>
    </w:lvl>
    <w:lvl w:ilvl="1" w:tplc="3EEEBEBE">
      <w:start w:val="1"/>
      <w:numFmt w:val="bullet"/>
      <w:lvlText w:val="o"/>
      <w:lvlJc w:val="left"/>
      <w:pPr>
        <w:ind w:left="1440" w:hanging="360"/>
      </w:pPr>
      <w:rPr>
        <w:rFonts w:ascii="Courier New" w:hAnsi="Courier New" w:hint="default"/>
      </w:rPr>
    </w:lvl>
    <w:lvl w:ilvl="2" w:tplc="30B63126">
      <w:start w:val="1"/>
      <w:numFmt w:val="bullet"/>
      <w:lvlText w:val=""/>
      <w:lvlJc w:val="left"/>
      <w:pPr>
        <w:ind w:left="2160" w:hanging="360"/>
      </w:pPr>
      <w:rPr>
        <w:rFonts w:ascii="Wingdings" w:hAnsi="Wingdings" w:hint="default"/>
      </w:rPr>
    </w:lvl>
    <w:lvl w:ilvl="3" w:tplc="04DE13C2">
      <w:start w:val="1"/>
      <w:numFmt w:val="bullet"/>
      <w:lvlText w:val=""/>
      <w:lvlJc w:val="left"/>
      <w:pPr>
        <w:ind w:left="2880" w:hanging="360"/>
      </w:pPr>
      <w:rPr>
        <w:rFonts w:ascii="Symbol" w:hAnsi="Symbol" w:hint="default"/>
      </w:rPr>
    </w:lvl>
    <w:lvl w:ilvl="4" w:tplc="5380BCB0">
      <w:start w:val="1"/>
      <w:numFmt w:val="bullet"/>
      <w:lvlText w:val="o"/>
      <w:lvlJc w:val="left"/>
      <w:pPr>
        <w:ind w:left="3600" w:hanging="360"/>
      </w:pPr>
      <w:rPr>
        <w:rFonts w:ascii="Courier New" w:hAnsi="Courier New" w:hint="default"/>
      </w:rPr>
    </w:lvl>
    <w:lvl w:ilvl="5" w:tplc="52F6067C">
      <w:start w:val="1"/>
      <w:numFmt w:val="bullet"/>
      <w:lvlText w:val=""/>
      <w:lvlJc w:val="left"/>
      <w:pPr>
        <w:ind w:left="4320" w:hanging="360"/>
      </w:pPr>
      <w:rPr>
        <w:rFonts w:ascii="Wingdings" w:hAnsi="Wingdings" w:hint="default"/>
      </w:rPr>
    </w:lvl>
    <w:lvl w:ilvl="6" w:tplc="434AF7F2">
      <w:start w:val="1"/>
      <w:numFmt w:val="bullet"/>
      <w:lvlText w:val=""/>
      <w:lvlJc w:val="left"/>
      <w:pPr>
        <w:ind w:left="5040" w:hanging="360"/>
      </w:pPr>
      <w:rPr>
        <w:rFonts w:ascii="Symbol" w:hAnsi="Symbol" w:hint="default"/>
      </w:rPr>
    </w:lvl>
    <w:lvl w:ilvl="7" w:tplc="BD7279C4">
      <w:start w:val="1"/>
      <w:numFmt w:val="bullet"/>
      <w:lvlText w:val="o"/>
      <w:lvlJc w:val="left"/>
      <w:pPr>
        <w:ind w:left="5760" w:hanging="360"/>
      </w:pPr>
      <w:rPr>
        <w:rFonts w:ascii="Courier New" w:hAnsi="Courier New" w:hint="default"/>
      </w:rPr>
    </w:lvl>
    <w:lvl w:ilvl="8" w:tplc="BED442B8">
      <w:start w:val="1"/>
      <w:numFmt w:val="bullet"/>
      <w:lvlText w:val=""/>
      <w:lvlJc w:val="left"/>
      <w:pPr>
        <w:ind w:left="6480" w:hanging="360"/>
      </w:pPr>
      <w:rPr>
        <w:rFonts w:ascii="Wingdings" w:hAnsi="Wingdings" w:hint="default"/>
      </w:rPr>
    </w:lvl>
  </w:abstractNum>
  <w:abstractNum w:abstractNumId="7" w15:restartNumberingAfterBreak="0">
    <w:nsid w:val="26651F69"/>
    <w:multiLevelType w:val="hybridMultilevel"/>
    <w:tmpl w:val="FFFFFFFF"/>
    <w:lvl w:ilvl="0" w:tplc="FFFFFFFF">
      <w:start w:val="1"/>
      <w:numFmt w:val="decimal"/>
      <w:lvlText w:val="%1."/>
      <w:lvlJc w:val="left"/>
      <w:pPr>
        <w:ind w:left="720" w:hanging="360"/>
      </w:pPr>
    </w:lvl>
    <w:lvl w:ilvl="1" w:tplc="32B4B1C2">
      <w:start w:val="1"/>
      <w:numFmt w:val="lowerLetter"/>
      <w:lvlText w:val="%2."/>
      <w:lvlJc w:val="left"/>
      <w:pPr>
        <w:ind w:left="1440" w:hanging="360"/>
      </w:pPr>
    </w:lvl>
    <w:lvl w:ilvl="2" w:tplc="0666C29E">
      <w:start w:val="1"/>
      <w:numFmt w:val="lowerRoman"/>
      <w:lvlText w:val="%3."/>
      <w:lvlJc w:val="right"/>
      <w:pPr>
        <w:ind w:left="2160" w:hanging="180"/>
      </w:pPr>
    </w:lvl>
    <w:lvl w:ilvl="3" w:tplc="B63A7CAC">
      <w:start w:val="1"/>
      <w:numFmt w:val="decimal"/>
      <w:lvlText w:val="%4."/>
      <w:lvlJc w:val="left"/>
      <w:pPr>
        <w:ind w:left="2880" w:hanging="360"/>
      </w:pPr>
    </w:lvl>
    <w:lvl w:ilvl="4" w:tplc="42F07BBC">
      <w:start w:val="1"/>
      <w:numFmt w:val="lowerLetter"/>
      <w:lvlText w:val="%5."/>
      <w:lvlJc w:val="left"/>
      <w:pPr>
        <w:ind w:left="3600" w:hanging="360"/>
      </w:pPr>
    </w:lvl>
    <w:lvl w:ilvl="5" w:tplc="5E6E2298">
      <w:start w:val="1"/>
      <w:numFmt w:val="lowerRoman"/>
      <w:lvlText w:val="%6."/>
      <w:lvlJc w:val="right"/>
      <w:pPr>
        <w:ind w:left="4320" w:hanging="180"/>
      </w:pPr>
    </w:lvl>
    <w:lvl w:ilvl="6" w:tplc="AD6C7C22">
      <w:start w:val="1"/>
      <w:numFmt w:val="decimal"/>
      <w:lvlText w:val="%7."/>
      <w:lvlJc w:val="left"/>
      <w:pPr>
        <w:ind w:left="5040" w:hanging="360"/>
      </w:pPr>
    </w:lvl>
    <w:lvl w:ilvl="7" w:tplc="BC827C9A">
      <w:start w:val="1"/>
      <w:numFmt w:val="lowerLetter"/>
      <w:lvlText w:val="%8."/>
      <w:lvlJc w:val="left"/>
      <w:pPr>
        <w:ind w:left="5760" w:hanging="360"/>
      </w:pPr>
    </w:lvl>
    <w:lvl w:ilvl="8" w:tplc="921474E4">
      <w:start w:val="1"/>
      <w:numFmt w:val="lowerRoman"/>
      <w:lvlText w:val="%9."/>
      <w:lvlJc w:val="right"/>
      <w:pPr>
        <w:ind w:left="6480" w:hanging="180"/>
      </w:pPr>
    </w:lvl>
  </w:abstractNum>
  <w:abstractNum w:abstractNumId="8" w15:restartNumberingAfterBreak="0">
    <w:nsid w:val="2DE26B07"/>
    <w:multiLevelType w:val="hybridMultilevel"/>
    <w:tmpl w:val="77D80EE4"/>
    <w:lvl w:ilvl="0" w:tplc="8C0C4D5E">
      <w:start w:val="1"/>
      <w:numFmt w:val="bullet"/>
      <w:lvlText w:val=""/>
      <w:lvlJc w:val="left"/>
      <w:pPr>
        <w:ind w:left="720" w:hanging="360"/>
      </w:pPr>
      <w:rPr>
        <w:rFonts w:ascii="Symbol" w:hAnsi="Symbol" w:hint="default"/>
      </w:rPr>
    </w:lvl>
    <w:lvl w:ilvl="1" w:tplc="8892D4F8">
      <w:start w:val="1"/>
      <w:numFmt w:val="bullet"/>
      <w:lvlText w:val="o"/>
      <w:lvlJc w:val="left"/>
      <w:pPr>
        <w:ind w:left="1440" w:hanging="360"/>
      </w:pPr>
      <w:rPr>
        <w:rFonts w:ascii="Courier New" w:hAnsi="Courier New" w:hint="default"/>
      </w:rPr>
    </w:lvl>
    <w:lvl w:ilvl="2" w:tplc="E3302912">
      <w:start w:val="1"/>
      <w:numFmt w:val="bullet"/>
      <w:lvlText w:val=""/>
      <w:lvlJc w:val="left"/>
      <w:pPr>
        <w:ind w:left="2160" w:hanging="360"/>
      </w:pPr>
      <w:rPr>
        <w:rFonts w:ascii="Wingdings" w:hAnsi="Wingdings" w:hint="default"/>
      </w:rPr>
    </w:lvl>
    <w:lvl w:ilvl="3" w:tplc="F48E942C">
      <w:start w:val="1"/>
      <w:numFmt w:val="bullet"/>
      <w:lvlText w:val=""/>
      <w:lvlJc w:val="left"/>
      <w:pPr>
        <w:ind w:left="2880" w:hanging="360"/>
      </w:pPr>
      <w:rPr>
        <w:rFonts w:ascii="Symbol" w:hAnsi="Symbol" w:hint="default"/>
      </w:rPr>
    </w:lvl>
    <w:lvl w:ilvl="4" w:tplc="E6D416BE">
      <w:start w:val="1"/>
      <w:numFmt w:val="bullet"/>
      <w:lvlText w:val="o"/>
      <w:lvlJc w:val="left"/>
      <w:pPr>
        <w:ind w:left="3600" w:hanging="360"/>
      </w:pPr>
      <w:rPr>
        <w:rFonts w:ascii="Courier New" w:hAnsi="Courier New" w:hint="default"/>
      </w:rPr>
    </w:lvl>
    <w:lvl w:ilvl="5" w:tplc="D7C0850C">
      <w:start w:val="1"/>
      <w:numFmt w:val="bullet"/>
      <w:lvlText w:val=""/>
      <w:lvlJc w:val="left"/>
      <w:pPr>
        <w:ind w:left="4320" w:hanging="360"/>
      </w:pPr>
      <w:rPr>
        <w:rFonts w:ascii="Wingdings" w:hAnsi="Wingdings" w:hint="default"/>
      </w:rPr>
    </w:lvl>
    <w:lvl w:ilvl="6" w:tplc="81C24E78">
      <w:start w:val="1"/>
      <w:numFmt w:val="bullet"/>
      <w:lvlText w:val=""/>
      <w:lvlJc w:val="left"/>
      <w:pPr>
        <w:ind w:left="5040" w:hanging="360"/>
      </w:pPr>
      <w:rPr>
        <w:rFonts w:ascii="Symbol" w:hAnsi="Symbol" w:hint="default"/>
      </w:rPr>
    </w:lvl>
    <w:lvl w:ilvl="7" w:tplc="A9CEF584">
      <w:start w:val="1"/>
      <w:numFmt w:val="bullet"/>
      <w:lvlText w:val="o"/>
      <w:lvlJc w:val="left"/>
      <w:pPr>
        <w:ind w:left="5760" w:hanging="360"/>
      </w:pPr>
      <w:rPr>
        <w:rFonts w:ascii="Courier New" w:hAnsi="Courier New" w:hint="default"/>
      </w:rPr>
    </w:lvl>
    <w:lvl w:ilvl="8" w:tplc="8FD682B8">
      <w:start w:val="1"/>
      <w:numFmt w:val="bullet"/>
      <w:lvlText w:val=""/>
      <w:lvlJc w:val="left"/>
      <w:pPr>
        <w:ind w:left="6480" w:hanging="360"/>
      </w:pPr>
      <w:rPr>
        <w:rFonts w:ascii="Wingdings" w:hAnsi="Wingdings" w:hint="default"/>
      </w:rPr>
    </w:lvl>
  </w:abstractNum>
  <w:abstractNum w:abstractNumId="9"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52710D"/>
    <w:multiLevelType w:val="hybridMultilevel"/>
    <w:tmpl w:val="FFFFFFFF"/>
    <w:lvl w:ilvl="0" w:tplc="B1826B54">
      <w:start w:val="1"/>
      <w:numFmt w:val="bullet"/>
      <w:lvlText w:val=""/>
      <w:lvlJc w:val="left"/>
      <w:pPr>
        <w:ind w:left="720" w:hanging="360"/>
      </w:pPr>
      <w:rPr>
        <w:rFonts w:ascii="Symbol" w:hAnsi="Symbol" w:hint="default"/>
      </w:rPr>
    </w:lvl>
    <w:lvl w:ilvl="1" w:tplc="DEDE8A18">
      <w:start w:val="1"/>
      <w:numFmt w:val="bullet"/>
      <w:lvlText w:val="o"/>
      <w:lvlJc w:val="left"/>
      <w:pPr>
        <w:ind w:left="1440" w:hanging="360"/>
      </w:pPr>
      <w:rPr>
        <w:rFonts w:ascii="Courier New" w:hAnsi="Courier New" w:hint="default"/>
      </w:rPr>
    </w:lvl>
    <w:lvl w:ilvl="2" w:tplc="57861DEE">
      <w:start w:val="1"/>
      <w:numFmt w:val="bullet"/>
      <w:lvlText w:val=""/>
      <w:lvlJc w:val="left"/>
      <w:pPr>
        <w:ind w:left="2160" w:hanging="360"/>
      </w:pPr>
      <w:rPr>
        <w:rFonts w:ascii="Wingdings" w:hAnsi="Wingdings" w:hint="default"/>
      </w:rPr>
    </w:lvl>
    <w:lvl w:ilvl="3" w:tplc="9C9824F2">
      <w:start w:val="1"/>
      <w:numFmt w:val="bullet"/>
      <w:lvlText w:val=""/>
      <w:lvlJc w:val="left"/>
      <w:pPr>
        <w:ind w:left="2880" w:hanging="360"/>
      </w:pPr>
      <w:rPr>
        <w:rFonts w:ascii="Symbol" w:hAnsi="Symbol" w:hint="default"/>
      </w:rPr>
    </w:lvl>
    <w:lvl w:ilvl="4" w:tplc="BE60EBB0">
      <w:start w:val="1"/>
      <w:numFmt w:val="bullet"/>
      <w:lvlText w:val="o"/>
      <w:lvlJc w:val="left"/>
      <w:pPr>
        <w:ind w:left="3600" w:hanging="360"/>
      </w:pPr>
      <w:rPr>
        <w:rFonts w:ascii="Courier New" w:hAnsi="Courier New" w:hint="default"/>
      </w:rPr>
    </w:lvl>
    <w:lvl w:ilvl="5" w:tplc="7974FD52">
      <w:start w:val="1"/>
      <w:numFmt w:val="bullet"/>
      <w:lvlText w:val=""/>
      <w:lvlJc w:val="left"/>
      <w:pPr>
        <w:ind w:left="4320" w:hanging="360"/>
      </w:pPr>
      <w:rPr>
        <w:rFonts w:ascii="Wingdings" w:hAnsi="Wingdings" w:hint="default"/>
      </w:rPr>
    </w:lvl>
    <w:lvl w:ilvl="6" w:tplc="EB165866">
      <w:start w:val="1"/>
      <w:numFmt w:val="bullet"/>
      <w:lvlText w:val=""/>
      <w:lvlJc w:val="left"/>
      <w:pPr>
        <w:ind w:left="5040" w:hanging="360"/>
      </w:pPr>
      <w:rPr>
        <w:rFonts w:ascii="Symbol" w:hAnsi="Symbol" w:hint="default"/>
      </w:rPr>
    </w:lvl>
    <w:lvl w:ilvl="7" w:tplc="B7CC8EBC">
      <w:start w:val="1"/>
      <w:numFmt w:val="bullet"/>
      <w:lvlText w:val="o"/>
      <w:lvlJc w:val="left"/>
      <w:pPr>
        <w:ind w:left="5760" w:hanging="360"/>
      </w:pPr>
      <w:rPr>
        <w:rFonts w:ascii="Courier New" w:hAnsi="Courier New" w:hint="default"/>
      </w:rPr>
    </w:lvl>
    <w:lvl w:ilvl="8" w:tplc="474E1290">
      <w:start w:val="1"/>
      <w:numFmt w:val="bullet"/>
      <w:lvlText w:val=""/>
      <w:lvlJc w:val="left"/>
      <w:pPr>
        <w:ind w:left="6480" w:hanging="360"/>
      </w:pPr>
      <w:rPr>
        <w:rFonts w:ascii="Wingdings" w:hAnsi="Wingdings" w:hint="default"/>
      </w:rPr>
    </w:lvl>
  </w:abstractNum>
  <w:abstractNum w:abstractNumId="13"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1870F9F"/>
    <w:multiLevelType w:val="hybridMultilevel"/>
    <w:tmpl w:val="85E62F54"/>
    <w:lvl w:ilvl="0" w:tplc="FFFFFFFF">
      <w:start w:val="1"/>
      <w:numFmt w:val="decimal"/>
      <w:lvlText w:val="%1)"/>
      <w:lvlJc w:val="left"/>
      <w:pPr>
        <w:ind w:left="720" w:hanging="360"/>
      </w:pPr>
      <w:rPr>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9B6D1D"/>
    <w:multiLevelType w:val="hybridMultilevel"/>
    <w:tmpl w:val="8A6E4022"/>
    <w:lvl w:ilvl="0" w:tplc="FFFFFFFF">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15:restartNumberingAfterBreak="0">
    <w:nsid w:val="49685559"/>
    <w:multiLevelType w:val="hybridMultilevel"/>
    <w:tmpl w:val="0382FA4A"/>
    <w:lvl w:ilvl="0" w:tplc="8FA88340">
      <w:start w:val="1"/>
      <w:numFmt w:val="bullet"/>
      <w:lvlText w:val=""/>
      <w:lvlJc w:val="left"/>
      <w:pPr>
        <w:ind w:left="720" w:hanging="360"/>
      </w:pPr>
      <w:rPr>
        <w:rFonts w:ascii="Symbol" w:hAnsi="Symbol" w:hint="default"/>
      </w:rPr>
    </w:lvl>
    <w:lvl w:ilvl="1" w:tplc="C4E646C4">
      <w:start w:val="1"/>
      <w:numFmt w:val="bullet"/>
      <w:lvlText w:val="o"/>
      <w:lvlJc w:val="left"/>
      <w:pPr>
        <w:ind w:left="1440" w:hanging="360"/>
      </w:pPr>
      <w:rPr>
        <w:rFonts w:ascii="Courier New" w:hAnsi="Courier New" w:hint="default"/>
      </w:rPr>
    </w:lvl>
    <w:lvl w:ilvl="2" w:tplc="3258DABA">
      <w:start w:val="1"/>
      <w:numFmt w:val="bullet"/>
      <w:lvlText w:val=""/>
      <w:lvlJc w:val="left"/>
      <w:pPr>
        <w:ind w:left="2160" w:hanging="360"/>
      </w:pPr>
      <w:rPr>
        <w:rFonts w:ascii="Wingdings" w:hAnsi="Wingdings" w:hint="default"/>
      </w:rPr>
    </w:lvl>
    <w:lvl w:ilvl="3" w:tplc="C1B01374">
      <w:start w:val="1"/>
      <w:numFmt w:val="bullet"/>
      <w:lvlText w:val=""/>
      <w:lvlJc w:val="left"/>
      <w:pPr>
        <w:ind w:left="2880" w:hanging="360"/>
      </w:pPr>
      <w:rPr>
        <w:rFonts w:ascii="Symbol" w:hAnsi="Symbol" w:hint="default"/>
      </w:rPr>
    </w:lvl>
    <w:lvl w:ilvl="4" w:tplc="A3A8D662">
      <w:start w:val="1"/>
      <w:numFmt w:val="bullet"/>
      <w:lvlText w:val="o"/>
      <w:lvlJc w:val="left"/>
      <w:pPr>
        <w:ind w:left="3600" w:hanging="360"/>
      </w:pPr>
      <w:rPr>
        <w:rFonts w:ascii="Courier New" w:hAnsi="Courier New" w:hint="default"/>
      </w:rPr>
    </w:lvl>
    <w:lvl w:ilvl="5" w:tplc="182EEEF2">
      <w:start w:val="1"/>
      <w:numFmt w:val="bullet"/>
      <w:lvlText w:val=""/>
      <w:lvlJc w:val="left"/>
      <w:pPr>
        <w:ind w:left="4320" w:hanging="360"/>
      </w:pPr>
      <w:rPr>
        <w:rFonts w:ascii="Wingdings" w:hAnsi="Wingdings" w:hint="default"/>
      </w:rPr>
    </w:lvl>
    <w:lvl w:ilvl="6" w:tplc="3C0615D6">
      <w:start w:val="1"/>
      <w:numFmt w:val="bullet"/>
      <w:lvlText w:val=""/>
      <w:lvlJc w:val="left"/>
      <w:pPr>
        <w:ind w:left="5040" w:hanging="360"/>
      </w:pPr>
      <w:rPr>
        <w:rFonts w:ascii="Symbol" w:hAnsi="Symbol" w:hint="default"/>
      </w:rPr>
    </w:lvl>
    <w:lvl w:ilvl="7" w:tplc="35F45C16">
      <w:start w:val="1"/>
      <w:numFmt w:val="bullet"/>
      <w:lvlText w:val="o"/>
      <w:lvlJc w:val="left"/>
      <w:pPr>
        <w:ind w:left="5760" w:hanging="360"/>
      </w:pPr>
      <w:rPr>
        <w:rFonts w:ascii="Courier New" w:hAnsi="Courier New" w:hint="default"/>
      </w:rPr>
    </w:lvl>
    <w:lvl w:ilvl="8" w:tplc="4F445996">
      <w:start w:val="1"/>
      <w:numFmt w:val="bullet"/>
      <w:lvlText w:val=""/>
      <w:lvlJc w:val="left"/>
      <w:pPr>
        <w:ind w:left="6480" w:hanging="360"/>
      </w:pPr>
      <w:rPr>
        <w:rFonts w:ascii="Wingdings" w:hAnsi="Wingdings" w:hint="default"/>
      </w:rPr>
    </w:lvl>
  </w:abstractNum>
  <w:abstractNum w:abstractNumId="17" w15:restartNumberingAfterBreak="0">
    <w:nsid w:val="4FFF3009"/>
    <w:multiLevelType w:val="hybridMultilevel"/>
    <w:tmpl w:val="FFFFFFFF"/>
    <w:lvl w:ilvl="0" w:tplc="FFFFFFFF">
      <w:start w:val="1"/>
      <w:numFmt w:val="bullet"/>
      <w:lvlText w:val=""/>
      <w:lvlJc w:val="left"/>
      <w:pPr>
        <w:ind w:left="720" w:hanging="360"/>
      </w:pPr>
      <w:rPr>
        <w:rFonts w:ascii="Symbol" w:hAnsi="Symbol" w:hint="default"/>
      </w:rPr>
    </w:lvl>
    <w:lvl w:ilvl="1" w:tplc="6304E7C4">
      <w:start w:val="1"/>
      <w:numFmt w:val="bullet"/>
      <w:lvlText w:val="o"/>
      <w:lvlJc w:val="left"/>
      <w:pPr>
        <w:ind w:left="1440" w:hanging="360"/>
      </w:pPr>
      <w:rPr>
        <w:rFonts w:ascii="Courier New" w:hAnsi="Courier New" w:hint="default"/>
      </w:rPr>
    </w:lvl>
    <w:lvl w:ilvl="2" w:tplc="EE3631C0">
      <w:start w:val="1"/>
      <w:numFmt w:val="bullet"/>
      <w:lvlText w:val=""/>
      <w:lvlJc w:val="left"/>
      <w:pPr>
        <w:ind w:left="2160" w:hanging="360"/>
      </w:pPr>
      <w:rPr>
        <w:rFonts w:ascii="Wingdings" w:hAnsi="Wingdings" w:hint="default"/>
      </w:rPr>
    </w:lvl>
    <w:lvl w:ilvl="3" w:tplc="12943D62">
      <w:start w:val="1"/>
      <w:numFmt w:val="bullet"/>
      <w:lvlText w:val=""/>
      <w:lvlJc w:val="left"/>
      <w:pPr>
        <w:ind w:left="2880" w:hanging="360"/>
      </w:pPr>
      <w:rPr>
        <w:rFonts w:ascii="Symbol" w:hAnsi="Symbol" w:hint="default"/>
      </w:rPr>
    </w:lvl>
    <w:lvl w:ilvl="4" w:tplc="63923FE2">
      <w:start w:val="1"/>
      <w:numFmt w:val="bullet"/>
      <w:lvlText w:val="o"/>
      <w:lvlJc w:val="left"/>
      <w:pPr>
        <w:ind w:left="3600" w:hanging="360"/>
      </w:pPr>
      <w:rPr>
        <w:rFonts w:ascii="Courier New" w:hAnsi="Courier New" w:hint="default"/>
      </w:rPr>
    </w:lvl>
    <w:lvl w:ilvl="5" w:tplc="0AE6802E">
      <w:start w:val="1"/>
      <w:numFmt w:val="bullet"/>
      <w:lvlText w:val=""/>
      <w:lvlJc w:val="left"/>
      <w:pPr>
        <w:ind w:left="4320" w:hanging="360"/>
      </w:pPr>
      <w:rPr>
        <w:rFonts w:ascii="Wingdings" w:hAnsi="Wingdings" w:hint="default"/>
      </w:rPr>
    </w:lvl>
    <w:lvl w:ilvl="6" w:tplc="FD8A5BEC">
      <w:start w:val="1"/>
      <w:numFmt w:val="bullet"/>
      <w:lvlText w:val=""/>
      <w:lvlJc w:val="left"/>
      <w:pPr>
        <w:ind w:left="5040" w:hanging="360"/>
      </w:pPr>
      <w:rPr>
        <w:rFonts w:ascii="Symbol" w:hAnsi="Symbol" w:hint="default"/>
      </w:rPr>
    </w:lvl>
    <w:lvl w:ilvl="7" w:tplc="DC62273A">
      <w:start w:val="1"/>
      <w:numFmt w:val="bullet"/>
      <w:lvlText w:val="o"/>
      <w:lvlJc w:val="left"/>
      <w:pPr>
        <w:ind w:left="5760" w:hanging="360"/>
      </w:pPr>
      <w:rPr>
        <w:rFonts w:ascii="Courier New" w:hAnsi="Courier New" w:hint="default"/>
      </w:rPr>
    </w:lvl>
    <w:lvl w:ilvl="8" w:tplc="391AEE9C">
      <w:start w:val="1"/>
      <w:numFmt w:val="bullet"/>
      <w:lvlText w:val=""/>
      <w:lvlJc w:val="left"/>
      <w:pPr>
        <w:ind w:left="6480" w:hanging="360"/>
      </w:pPr>
      <w:rPr>
        <w:rFonts w:ascii="Wingdings" w:hAnsi="Wingdings" w:hint="default"/>
      </w:rPr>
    </w:lvl>
  </w:abstractNum>
  <w:abstractNum w:abstractNumId="18" w15:restartNumberingAfterBreak="0">
    <w:nsid w:val="570E758E"/>
    <w:multiLevelType w:val="hybridMultilevel"/>
    <w:tmpl w:val="28ACA8DA"/>
    <w:lvl w:ilvl="0" w:tplc="1E1C6978">
      <w:start w:val="1"/>
      <w:numFmt w:val="bullet"/>
      <w:lvlText w:val=""/>
      <w:lvlJc w:val="left"/>
      <w:pPr>
        <w:ind w:left="720" w:hanging="360"/>
      </w:pPr>
      <w:rPr>
        <w:rFonts w:ascii="Symbol" w:hAnsi="Symbol" w:hint="default"/>
      </w:rPr>
    </w:lvl>
    <w:lvl w:ilvl="1" w:tplc="9B904946">
      <w:start w:val="1"/>
      <w:numFmt w:val="bullet"/>
      <w:lvlText w:val="o"/>
      <w:lvlJc w:val="left"/>
      <w:pPr>
        <w:ind w:left="1440" w:hanging="360"/>
      </w:pPr>
      <w:rPr>
        <w:rFonts w:ascii="Courier New" w:hAnsi="Courier New" w:hint="default"/>
      </w:rPr>
    </w:lvl>
    <w:lvl w:ilvl="2" w:tplc="9960A00C">
      <w:start w:val="1"/>
      <w:numFmt w:val="bullet"/>
      <w:lvlText w:val=""/>
      <w:lvlJc w:val="left"/>
      <w:pPr>
        <w:ind w:left="2160" w:hanging="360"/>
      </w:pPr>
      <w:rPr>
        <w:rFonts w:ascii="Wingdings" w:hAnsi="Wingdings" w:hint="default"/>
      </w:rPr>
    </w:lvl>
    <w:lvl w:ilvl="3" w:tplc="5AC01492">
      <w:start w:val="1"/>
      <w:numFmt w:val="bullet"/>
      <w:lvlText w:val=""/>
      <w:lvlJc w:val="left"/>
      <w:pPr>
        <w:ind w:left="2880" w:hanging="360"/>
      </w:pPr>
      <w:rPr>
        <w:rFonts w:ascii="Symbol" w:hAnsi="Symbol" w:hint="default"/>
      </w:rPr>
    </w:lvl>
    <w:lvl w:ilvl="4" w:tplc="785CC32E">
      <w:start w:val="1"/>
      <w:numFmt w:val="bullet"/>
      <w:lvlText w:val="o"/>
      <w:lvlJc w:val="left"/>
      <w:pPr>
        <w:ind w:left="3600" w:hanging="360"/>
      </w:pPr>
      <w:rPr>
        <w:rFonts w:ascii="Courier New" w:hAnsi="Courier New" w:hint="default"/>
      </w:rPr>
    </w:lvl>
    <w:lvl w:ilvl="5" w:tplc="41140970">
      <w:start w:val="1"/>
      <w:numFmt w:val="bullet"/>
      <w:lvlText w:val=""/>
      <w:lvlJc w:val="left"/>
      <w:pPr>
        <w:ind w:left="4320" w:hanging="360"/>
      </w:pPr>
      <w:rPr>
        <w:rFonts w:ascii="Wingdings" w:hAnsi="Wingdings" w:hint="default"/>
      </w:rPr>
    </w:lvl>
    <w:lvl w:ilvl="6" w:tplc="8132EC96">
      <w:start w:val="1"/>
      <w:numFmt w:val="bullet"/>
      <w:lvlText w:val=""/>
      <w:lvlJc w:val="left"/>
      <w:pPr>
        <w:ind w:left="5040" w:hanging="360"/>
      </w:pPr>
      <w:rPr>
        <w:rFonts w:ascii="Symbol" w:hAnsi="Symbol" w:hint="default"/>
      </w:rPr>
    </w:lvl>
    <w:lvl w:ilvl="7" w:tplc="D4F2E60C">
      <w:start w:val="1"/>
      <w:numFmt w:val="bullet"/>
      <w:lvlText w:val="o"/>
      <w:lvlJc w:val="left"/>
      <w:pPr>
        <w:ind w:left="5760" w:hanging="360"/>
      </w:pPr>
      <w:rPr>
        <w:rFonts w:ascii="Courier New" w:hAnsi="Courier New" w:hint="default"/>
      </w:rPr>
    </w:lvl>
    <w:lvl w:ilvl="8" w:tplc="DF54418A">
      <w:start w:val="1"/>
      <w:numFmt w:val="bullet"/>
      <w:lvlText w:val=""/>
      <w:lvlJc w:val="left"/>
      <w:pPr>
        <w:ind w:left="6480" w:hanging="360"/>
      </w:pPr>
      <w:rPr>
        <w:rFonts w:ascii="Wingdings" w:hAnsi="Wingdings" w:hint="default"/>
      </w:rPr>
    </w:lvl>
  </w:abstractNum>
  <w:abstractNum w:abstractNumId="19"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9CF1597"/>
    <w:multiLevelType w:val="hybridMultilevel"/>
    <w:tmpl w:val="0B563FC0"/>
    <w:lvl w:ilvl="0" w:tplc="1F5088C2">
      <w:start w:val="1"/>
      <w:numFmt w:val="bullet"/>
      <w:lvlText w:val=""/>
      <w:lvlJc w:val="left"/>
      <w:pPr>
        <w:ind w:left="720" w:hanging="360"/>
      </w:pPr>
      <w:rPr>
        <w:rFonts w:ascii="Symbol" w:hAnsi="Symbol" w:hint="default"/>
      </w:rPr>
    </w:lvl>
    <w:lvl w:ilvl="1" w:tplc="E1121148">
      <w:start w:val="1"/>
      <w:numFmt w:val="bullet"/>
      <w:lvlText w:val="o"/>
      <w:lvlJc w:val="left"/>
      <w:pPr>
        <w:ind w:left="1440" w:hanging="360"/>
      </w:pPr>
      <w:rPr>
        <w:rFonts w:ascii="Courier New" w:hAnsi="Courier New" w:hint="default"/>
      </w:rPr>
    </w:lvl>
    <w:lvl w:ilvl="2" w:tplc="454E357A">
      <w:start w:val="1"/>
      <w:numFmt w:val="bullet"/>
      <w:lvlText w:val=""/>
      <w:lvlJc w:val="left"/>
      <w:pPr>
        <w:ind w:left="2160" w:hanging="360"/>
      </w:pPr>
      <w:rPr>
        <w:rFonts w:ascii="Wingdings" w:hAnsi="Wingdings" w:hint="default"/>
      </w:rPr>
    </w:lvl>
    <w:lvl w:ilvl="3" w:tplc="EDBA808E">
      <w:start w:val="1"/>
      <w:numFmt w:val="bullet"/>
      <w:lvlText w:val=""/>
      <w:lvlJc w:val="left"/>
      <w:pPr>
        <w:ind w:left="2880" w:hanging="360"/>
      </w:pPr>
      <w:rPr>
        <w:rFonts w:ascii="Symbol" w:hAnsi="Symbol" w:hint="default"/>
      </w:rPr>
    </w:lvl>
    <w:lvl w:ilvl="4" w:tplc="279E5298">
      <w:start w:val="1"/>
      <w:numFmt w:val="bullet"/>
      <w:lvlText w:val="o"/>
      <w:lvlJc w:val="left"/>
      <w:pPr>
        <w:ind w:left="3600" w:hanging="360"/>
      </w:pPr>
      <w:rPr>
        <w:rFonts w:ascii="Courier New" w:hAnsi="Courier New" w:hint="default"/>
      </w:rPr>
    </w:lvl>
    <w:lvl w:ilvl="5" w:tplc="20A01964">
      <w:start w:val="1"/>
      <w:numFmt w:val="bullet"/>
      <w:lvlText w:val=""/>
      <w:lvlJc w:val="left"/>
      <w:pPr>
        <w:ind w:left="4320" w:hanging="360"/>
      </w:pPr>
      <w:rPr>
        <w:rFonts w:ascii="Wingdings" w:hAnsi="Wingdings" w:hint="default"/>
      </w:rPr>
    </w:lvl>
    <w:lvl w:ilvl="6" w:tplc="63646F72">
      <w:start w:val="1"/>
      <w:numFmt w:val="bullet"/>
      <w:lvlText w:val=""/>
      <w:lvlJc w:val="left"/>
      <w:pPr>
        <w:ind w:left="5040" w:hanging="360"/>
      </w:pPr>
      <w:rPr>
        <w:rFonts w:ascii="Symbol" w:hAnsi="Symbol" w:hint="default"/>
      </w:rPr>
    </w:lvl>
    <w:lvl w:ilvl="7" w:tplc="D440509E">
      <w:start w:val="1"/>
      <w:numFmt w:val="bullet"/>
      <w:lvlText w:val="o"/>
      <w:lvlJc w:val="left"/>
      <w:pPr>
        <w:ind w:left="5760" w:hanging="360"/>
      </w:pPr>
      <w:rPr>
        <w:rFonts w:ascii="Courier New" w:hAnsi="Courier New" w:hint="default"/>
      </w:rPr>
    </w:lvl>
    <w:lvl w:ilvl="8" w:tplc="48345874">
      <w:start w:val="1"/>
      <w:numFmt w:val="bullet"/>
      <w:lvlText w:val=""/>
      <w:lvlJc w:val="left"/>
      <w:pPr>
        <w:ind w:left="6480" w:hanging="360"/>
      </w:pPr>
      <w:rPr>
        <w:rFonts w:ascii="Wingdings" w:hAnsi="Wingdings" w:hint="default"/>
      </w:rPr>
    </w:lvl>
  </w:abstractNum>
  <w:abstractNum w:abstractNumId="21" w15:restartNumberingAfterBreak="0">
    <w:nsid w:val="5D7F1FF9"/>
    <w:multiLevelType w:val="hybridMultilevel"/>
    <w:tmpl w:val="A9B293F0"/>
    <w:lvl w:ilvl="0" w:tplc="E166C626">
      <w:start w:val="1"/>
      <w:numFmt w:val="decimal"/>
      <w:lvlText w:val="%1."/>
      <w:lvlJc w:val="left"/>
      <w:pPr>
        <w:ind w:left="720" w:hanging="360"/>
      </w:pPr>
    </w:lvl>
    <w:lvl w:ilvl="1" w:tplc="43FA512E">
      <w:start w:val="1"/>
      <w:numFmt w:val="lowerLetter"/>
      <w:lvlText w:val="%2."/>
      <w:lvlJc w:val="left"/>
      <w:pPr>
        <w:ind w:left="1440" w:hanging="360"/>
      </w:pPr>
    </w:lvl>
    <w:lvl w:ilvl="2" w:tplc="A0E29866">
      <w:start w:val="1"/>
      <w:numFmt w:val="lowerRoman"/>
      <w:lvlText w:val="%3."/>
      <w:lvlJc w:val="right"/>
      <w:pPr>
        <w:ind w:left="2160" w:hanging="180"/>
      </w:pPr>
    </w:lvl>
    <w:lvl w:ilvl="3" w:tplc="21C86168">
      <w:start w:val="1"/>
      <w:numFmt w:val="decimal"/>
      <w:lvlText w:val="%4."/>
      <w:lvlJc w:val="left"/>
      <w:pPr>
        <w:ind w:left="2880" w:hanging="360"/>
      </w:pPr>
    </w:lvl>
    <w:lvl w:ilvl="4" w:tplc="30EC249E">
      <w:start w:val="1"/>
      <w:numFmt w:val="lowerLetter"/>
      <w:lvlText w:val="%5."/>
      <w:lvlJc w:val="left"/>
      <w:pPr>
        <w:ind w:left="3600" w:hanging="360"/>
      </w:pPr>
    </w:lvl>
    <w:lvl w:ilvl="5" w:tplc="1624C13C">
      <w:start w:val="1"/>
      <w:numFmt w:val="lowerRoman"/>
      <w:lvlText w:val="%6."/>
      <w:lvlJc w:val="right"/>
      <w:pPr>
        <w:ind w:left="4320" w:hanging="180"/>
      </w:pPr>
    </w:lvl>
    <w:lvl w:ilvl="6" w:tplc="B914EE06">
      <w:start w:val="1"/>
      <w:numFmt w:val="decimal"/>
      <w:lvlText w:val="%7."/>
      <w:lvlJc w:val="left"/>
      <w:pPr>
        <w:ind w:left="5040" w:hanging="360"/>
      </w:pPr>
    </w:lvl>
    <w:lvl w:ilvl="7" w:tplc="F2729D30">
      <w:start w:val="1"/>
      <w:numFmt w:val="lowerLetter"/>
      <w:lvlText w:val="%8."/>
      <w:lvlJc w:val="left"/>
      <w:pPr>
        <w:ind w:left="5760" w:hanging="360"/>
      </w:pPr>
    </w:lvl>
    <w:lvl w:ilvl="8" w:tplc="E3F6DBB0">
      <w:start w:val="1"/>
      <w:numFmt w:val="lowerRoman"/>
      <w:lvlText w:val="%9."/>
      <w:lvlJc w:val="right"/>
      <w:pPr>
        <w:ind w:left="6480" w:hanging="180"/>
      </w:pPr>
    </w:lvl>
  </w:abstractNum>
  <w:abstractNum w:abstractNumId="22" w15:restartNumberingAfterBreak="0">
    <w:nsid w:val="66F503B0"/>
    <w:multiLevelType w:val="hybridMultilevel"/>
    <w:tmpl w:val="375C229C"/>
    <w:lvl w:ilvl="0" w:tplc="186AE4DE">
      <w:start w:val="1"/>
      <w:numFmt w:val="bullet"/>
      <w:lvlText w:val=""/>
      <w:lvlJc w:val="left"/>
      <w:pPr>
        <w:ind w:left="720" w:hanging="360"/>
      </w:pPr>
      <w:rPr>
        <w:rFonts w:ascii="Symbol" w:hAnsi="Symbol" w:hint="default"/>
      </w:rPr>
    </w:lvl>
    <w:lvl w:ilvl="1" w:tplc="AB5456F8">
      <w:start w:val="1"/>
      <w:numFmt w:val="bullet"/>
      <w:lvlText w:val="o"/>
      <w:lvlJc w:val="left"/>
      <w:pPr>
        <w:ind w:left="1440" w:hanging="360"/>
      </w:pPr>
      <w:rPr>
        <w:rFonts w:ascii="Courier New" w:hAnsi="Courier New" w:hint="default"/>
      </w:rPr>
    </w:lvl>
    <w:lvl w:ilvl="2" w:tplc="D05622CC">
      <w:start w:val="1"/>
      <w:numFmt w:val="bullet"/>
      <w:lvlText w:val=""/>
      <w:lvlJc w:val="left"/>
      <w:pPr>
        <w:ind w:left="2160" w:hanging="360"/>
      </w:pPr>
      <w:rPr>
        <w:rFonts w:ascii="Wingdings" w:hAnsi="Wingdings" w:hint="default"/>
      </w:rPr>
    </w:lvl>
    <w:lvl w:ilvl="3" w:tplc="741E34D6">
      <w:start w:val="1"/>
      <w:numFmt w:val="bullet"/>
      <w:lvlText w:val=""/>
      <w:lvlJc w:val="left"/>
      <w:pPr>
        <w:ind w:left="2880" w:hanging="360"/>
      </w:pPr>
      <w:rPr>
        <w:rFonts w:ascii="Symbol" w:hAnsi="Symbol" w:hint="default"/>
      </w:rPr>
    </w:lvl>
    <w:lvl w:ilvl="4" w:tplc="58E00E1A">
      <w:start w:val="1"/>
      <w:numFmt w:val="bullet"/>
      <w:lvlText w:val="o"/>
      <w:lvlJc w:val="left"/>
      <w:pPr>
        <w:ind w:left="3600" w:hanging="360"/>
      </w:pPr>
      <w:rPr>
        <w:rFonts w:ascii="Courier New" w:hAnsi="Courier New" w:hint="default"/>
      </w:rPr>
    </w:lvl>
    <w:lvl w:ilvl="5" w:tplc="4B069E3C">
      <w:start w:val="1"/>
      <w:numFmt w:val="bullet"/>
      <w:lvlText w:val=""/>
      <w:lvlJc w:val="left"/>
      <w:pPr>
        <w:ind w:left="4320" w:hanging="360"/>
      </w:pPr>
      <w:rPr>
        <w:rFonts w:ascii="Wingdings" w:hAnsi="Wingdings" w:hint="default"/>
      </w:rPr>
    </w:lvl>
    <w:lvl w:ilvl="6" w:tplc="0DD02BF6">
      <w:start w:val="1"/>
      <w:numFmt w:val="bullet"/>
      <w:lvlText w:val=""/>
      <w:lvlJc w:val="left"/>
      <w:pPr>
        <w:ind w:left="5040" w:hanging="360"/>
      </w:pPr>
      <w:rPr>
        <w:rFonts w:ascii="Symbol" w:hAnsi="Symbol" w:hint="default"/>
      </w:rPr>
    </w:lvl>
    <w:lvl w:ilvl="7" w:tplc="C61E1B3A">
      <w:start w:val="1"/>
      <w:numFmt w:val="bullet"/>
      <w:lvlText w:val="o"/>
      <w:lvlJc w:val="left"/>
      <w:pPr>
        <w:ind w:left="5760" w:hanging="360"/>
      </w:pPr>
      <w:rPr>
        <w:rFonts w:ascii="Courier New" w:hAnsi="Courier New" w:hint="default"/>
      </w:rPr>
    </w:lvl>
    <w:lvl w:ilvl="8" w:tplc="D53E33DC">
      <w:start w:val="1"/>
      <w:numFmt w:val="bullet"/>
      <w:lvlText w:val=""/>
      <w:lvlJc w:val="left"/>
      <w:pPr>
        <w:ind w:left="6480" w:hanging="360"/>
      </w:pPr>
      <w:rPr>
        <w:rFonts w:ascii="Wingdings" w:hAnsi="Wingdings" w:hint="default"/>
      </w:rPr>
    </w:lvl>
  </w:abstractNum>
  <w:abstractNum w:abstractNumId="23" w15:restartNumberingAfterBreak="0">
    <w:nsid w:val="68820A0A"/>
    <w:multiLevelType w:val="hybridMultilevel"/>
    <w:tmpl w:val="FFFFFFFF"/>
    <w:lvl w:ilvl="0" w:tplc="FFFFFFFF">
      <w:start w:val="1"/>
      <w:numFmt w:val="bullet"/>
      <w:lvlText w:val=""/>
      <w:lvlJc w:val="left"/>
      <w:pPr>
        <w:ind w:left="720" w:hanging="360"/>
      </w:pPr>
      <w:rPr>
        <w:rFonts w:ascii="Symbol" w:hAnsi="Symbol" w:hint="default"/>
      </w:rPr>
    </w:lvl>
    <w:lvl w:ilvl="1" w:tplc="4768D510">
      <w:start w:val="1"/>
      <w:numFmt w:val="bullet"/>
      <w:lvlText w:val="o"/>
      <w:lvlJc w:val="left"/>
      <w:pPr>
        <w:ind w:left="1440" w:hanging="360"/>
      </w:pPr>
      <w:rPr>
        <w:rFonts w:ascii="Courier New" w:hAnsi="Courier New" w:hint="default"/>
      </w:rPr>
    </w:lvl>
    <w:lvl w:ilvl="2" w:tplc="55F630EA">
      <w:start w:val="1"/>
      <w:numFmt w:val="bullet"/>
      <w:lvlText w:val=""/>
      <w:lvlJc w:val="left"/>
      <w:pPr>
        <w:ind w:left="2160" w:hanging="360"/>
      </w:pPr>
      <w:rPr>
        <w:rFonts w:ascii="Wingdings" w:hAnsi="Wingdings" w:hint="default"/>
      </w:rPr>
    </w:lvl>
    <w:lvl w:ilvl="3" w:tplc="F8F689E0">
      <w:start w:val="1"/>
      <w:numFmt w:val="bullet"/>
      <w:lvlText w:val=""/>
      <w:lvlJc w:val="left"/>
      <w:pPr>
        <w:ind w:left="2880" w:hanging="360"/>
      </w:pPr>
      <w:rPr>
        <w:rFonts w:ascii="Symbol" w:hAnsi="Symbol" w:hint="default"/>
      </w:rPr>
    </w:lvl>
    <w:lvl w:ilvl="4" w:tplc="F216CDE0">
      <w:start w:val="1"/>
      <w:numFmt w:val="bullet"/>
      <w:lvlText w:val="o"/>
      <w:lvlJc w:val="left"/>
      <w:pPr>
        <w:ind w:left="3600" w:hanging="360"/>
      </w:pPr>
      <w:rPr>
        <w:rFonts w:ascii="Courier New" w:hAnsi="Courier New" w:hint="default"/>
      </w:rPr>
    </w:lvl>
    <w:lvl w:ilvl="5" w:tplc="96408500">
      <w:start w:val="1"/>
      <w:numFmt w:val="bullet"/>
      <w:lvlText w:val=""/>
      <w:lvlJc w:val="left"/>
      <w:pPr>
        <w:ind w:left="4320" w:hanging="360"/>
      </w:pPr>
      <w:rPr>
        <w:rFonts w:ascii="Wingdings" w:hAnsi="Wingdings" w:hint="default"/>
      </w:rPr>
    </w:lvl>
    <w:lvl w:ilvl="6" w:tplc="DC821F86">
      <w:start w:val="1"/>
      <w:numFmt w:val="bullet"/>
      <w:lvlText w:val=""/>
      <w:lvlJc w:val="left"/>
      <w:pPr>
        <w:ind w:left="5040" w:hanging="360"/>
      </w:pPr>
      <w:rPr>
        <w:rFonts w:ascii="Symbol" w:hAnsi="Symbol" w:hint="default"/>
      </w:rPr>
    </w:lvl>
    <w:lvl w:ilvl="7" w:tplc="A8E028F4">
      <w:start w:val="1"/>
      <w:numFmt w:val="bullet"/>
      <w:lvlText w:val="o"/>
      <w:lvlJc w:val="left"/>
      <w:pPr>
        <w:ind w:left="5760" w:hanging="360"/>
      </w:pPr>
      <w:rPr>
        <w:rFonts w:ascii="Courier New" w:hAnsi="Courier New" w:hint="default"/>
      </w:rPr>
    </w:lvl>
    <w:lvl w:ilvl="8" w:tplc="8FD09D84">
      <w:start w:val="1"/>
      <w:numFmt w:val="bullet"/>
      <w:lvlText w:val=""/>
      <w:lvlJc w:val="left"/>
      <w:pPr>
        <w:ind w:left="6480" w:hanging="360"/>
      </w:pPr>
      <w:rPr>
        <w:rFonts w:ascii="Wingdings" w:hAnsi="Wingdings" w:hint="default"/>
      </w:rPr>
    </w:lvl>
  </w:abstractNum>
  <w:abstractNum w:abstractNumId="24" w15:restartNumberingAfterBreak="0">
    <w:nsid w:val="71B3212A"/>
    <w:multiLevelType w:val="hybridMultilevel"/>
    <w:tmpl w:val="DB062DAC"/>
    <w:lvl w:ilvl="0" w:tplc="99143292">
      <w:start w:val="1"/>
      <w:numFmt w:val="bullet"/>
      <w:lvlText w:val="●"/>
      <w:lvlJc w:val="left"/>
      <w:pPr>
        <w:ind w:left="720" w:hanging="360"/>
      </w:pPr>
      <w:rPr>
        <w:rFonts w:ascii="Arial" w:hAnsi="Arial" w:hint="default"/>
      </w:rPr>
    </w:lvl>
    <w:lvl w:ilvl="1" w:tplc="5F7479A0">
      <w:start w:val="1"/>
      <w:numFmt w:val="bullet"/>
      <w:lvlText w:val="o"/>
      <w:lvlJc w:val="left"/>
      <w:pPr>
        <w:ind w:left="1440" w:hanging="360"/>
      </w:pPr>
      <w:rPr>
        <w:rFonts w:ascii="Courier New" w:hAnsi="Courier New" w:hint="default"/>
      </w:rPr>
    </w:lvl>
    <w:lvl w:ilvl="2" w:tplc="8EEC6BDE">
      <w:start w:val="1"/>
      <w:numFmt w:val="bullet"/>
      <w:lvlText w:val=""/>
      <w:lvlJc w:val="left"/>
      <w:pPr>
        <w:ind w:left="2160" w:hanging="360"/>
      </w:pPr>
      <w:rPr>
        <w:rFonts w:ascii="Wingdings" w:hAnsi="Wingdings" w:hint="default"/>
      </w:rPr>
    </w:lvl>
    <w:lvl w:ilvl="3" w:tplc="8A98946E">
      <w:start w:val="1"/>
      <w:numFmt w:val="bullet"/>
      <w:lvlText w:val=""/>
      <w:lvlJc w:val="left"/>
      <w:pPr>
        <w:ind w:left="2880" w:hanging="360"/>
      </w:pPr>
      <w:rPr>
        <w:rFonts w:ascii="Symbol" w:hAnsi="Symbol" w:hint="default"/>
      </w:rPr>
    </w:lvl>
    <w:lvl w:ilvl="4" w:tplc="DA384480">
      <w:start w:val="1"/>
      <w:numFmt w:val="bullet"/>
      <w:lvlText w:val="o"/>
      <w:lvlJc w:val="left"/>
      <w:pPr>
        <w:ind w:left="3600" w:hanging="360"/>
      </w:pPr>
      <w:rPr>
        <w:rFonts w:ascii="Courier New" w:hAnsi="Courier New" w:hint="default"/>
      </w:rPr>
    </w:lvl>
    <w:lvl w:ilvl="5" w:tplc="4AA297F0">
      <w:start w:val="1"/>
      <w:numFmt w:val="bullet"/>
      <w:lvlText w:val=""/>
      <w:lvlJc w:val="left"/>
      <w:pPr>
        <w:ind w:left="4320" w:hanging="360"/>
      </w:pPr>
      <w:rPr>
        <w:rFonts w:ascii="Wingdings" w:hAnsi="Wingdings" w:hint="default"/>
      </w:rPr>
    </w:lvl>
    <w:lvl w:ilvl="6" w:tplc="7FBA69DC">
      <w:start w:val="1"/>
      <w:numFmt w:val="bullet"/>
      <w:lvlText w:val=""/>
      <w:lvlJc w:val="left"/>
      <w:pPr>
        <w:ind w:left="5040" w:hanging="360"/>
      </w:pPr>
      <w:rPr>
        <w:rFonts w:ascii="Symbol" w:hAnsi="Symbol" w:hint="default"/>
      </w:rPr>
    </w:lvl>
    <w:lvl w:ilvl="7" w:tplc="8BC814E6">
      <w:start w:val="1"/>
      <w:numFmt w:val="bullet"/>
      <w:lvlText w:val="o"/>
      <w:lvlJc w:val="left"/>
      <w:pPr>
        <w:ind w:left="5760" w:hanging="360"/>
      </w:pPr>
      <w:rPr>
        <w:rFonts w:ascii="Courier New" w:hAnsi="Courier New" w:hint="default"/>
      </w:rPr>
    </w:lvl>
    <w:lvl w:ilvl="8" w:tplc="3982B570">
      <w:start w:val="1"/>
      <w:numFmt w:val="bullet"/>
      <w:lvlText w:val=""/>
      <w:lvlJc w:val="left"/>
      <w:pPr>
        <w:ind w:left="6480" w:hanging="360"/>
      </w:pPr>
      <w:rPr>
        <w:rFonts w:ascii="Wingdings" w:hAnsi="Wingdings" w:hint="default"/>
      </w:rPr>
    </w:lvl>
  </w:abstractNum>
  <w:abstractNum w:abstractNumId="25"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0"/>
  </w:num>
  <w:num w:numId="2">
    <w:abstractNumId w:val="22"/>
  </w:num>
  <w:num w:numId="3">
    <w:abstractNumId w:val="24"/>
  </w:num>
  <w:num w:numId="4">
    <w:abstractNumId w:val="6"/>
  </w:num>
  <w:num w:numId="5">
    <w:abstractNumId w:val="1"/>
  </w:num>
  <w:num w:numId="6">
    <w:abstractNumId w:val="5"/>
  </w:num>
  <w:num w:numId="7">
    <w:abstractNumId w:val="18"/>
  </w:num>
  <w:num w:numId="8">
    <w:abstractNumId w:val="21"/>
  </w:num>
  <w:num w:numId="9">
    <w:abstractNumId w:val="16"/>
  </w:num>
  <w:num w:numId="10">
    <w:abstractNumId w:val="8"/>
  </w:num>
  <w:num w:numId="11">
    <w:abstractNumId w:val="23"/>
  </w:num>
  <w:num w:numId="12">
    <w:abstractNumId w:val="7"/>
  </w:num>
  <w:num w:numId="13">
    <w:abstractNumId w:val="17"/>
  </w:num>
  <w:num w:numId="14">
    <w:abstractNumId w:val="12"/>
  </w:num>
  <w:num w:numId="15">
    <w:abstractNumId w:val="2"/>
  </w:num>
  <w:num w:numId="16">
    <w:abstractNumId w:val="13"/>
  </w:num>
  <w:num w:numId="17">
    <w:abstractNumId w:val="26"/>
  </w:num>
  <w:num w:numId="18">
    <w:abstractNumId w:val="0"/>
  </w:num>
  <w:num w:numId="19">
    <w:abstractNumId w:val="14"/>
  </w:num>
  <w:num w:numId="20">
    <w:abstractNumId w:val="19"/>
  </w:num>
  <w:num w:numId="21">
    <w:abstractNumId w:val="15"/>
  </w:num>
  <w:num w:numId="22">
    <w:abstractNumId w:val="28"/>
  </w:num>
  <w:num w:numId="23">
    <w:abstractNumId w:val="27"/>
  </w:num>
  <w:num w:numId="24">
    <w:abstractNumId w:val="9"/>
  </w:num>
  <w:num w:numId="25">
    <w:abstractNumId w:val="25"/>
  </w:num>
  <w:num w:numId="26">
    <w:abstractNumId w:val="10"/>
  </w:num>
  <w:num w:numId="27">
    <w:abstractNumId w:val="11"/>
  </w:num>
  <w:num w:numId="28">
    <w:abstractNumId w:val="4"/>
  </w:num>
  <w:num w:numId="29">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1DB1"/>
    <w:rsid w:val="00032600"/>
    <w:rsid w:val="00032C17"/>
    <w:rsid w:val="00032ECE"/>
    <w:rsid w:val="00042AD8"/>
    <w:rsid w:val="00044342"/>
    <w:rsid w:val="0004508F"/>
    <w:rsid w:val="00046B0B"/>
    <w:rsid w:val="000478C4"/>
    <w:rsid w:val="00053F9D"/>
    <w:rsid w:val="0005734D"/>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46E79"/>
    <w:rsid w:val="00174421"/>
    <w:rsid w:val="00176808"/>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209A1"/>
    <w:rsid w:val="002310F7"/>
    <w:rsid w:val="002349F8"/>
    <w:rsid w:val="00235399"/>
    <w:rsid w:val="00235EC7"/>
    <w:rsid w:val="00237E13"/>
    <w:rsid w:val="00240221"/>
    <w:rsid w:val="00241E09"/>
    <w:rsid w:val="00252E66"/>
    <w:rsid w:val="00254F5A"/>
    <w:rsid w:val="00255B2D"/>
    <w:rsid w:val="00256B19"/>
    <w:rsid w:val="0025BF9F"/>
    <w:rsid w:val="002607E8"/>
    <w:rsid w:val="0026400A"/>
    <w:rsid w:val="002640C3"/>
    <w:rsid w:val="00265AFB"/>
    <w:rsid w:val="00267C08"/>
    <w:rsid w:val="00271007"/>
    <w:rsid w:val="0027275B"/>
    <w:rsid w:val="002761E1"/>
    <w:rsid w:val="00276CE3"/>
    <w:rsid w:val="00283B32"/>
    <w:rsid w:val="00290D8C"/>
    <w:rsid w:val="00297431"/>
    <w:rsid w:val="002A01B1"/>
    <w:rsid w:val="002A1D54"/>
    <w:rsid w:val="002A39F0"/>
    <w:rsid w:val="002A431F"/>
    <w:rsid w:val="002A6828"/>
    <w:rsid w:val="002A6DEF"/>
    <w:rsid w:val="002B0090"/>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1A0A"/>
    <w:rsid w:val="0030529F"/>
    <w:rsid w:val="00305CF1"/>
    <w:rsid w:val="00307030"/>
    <w:rsid w:val="00318D57"/>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461F"/>
    <w:rsid w:val="00466F5C"/>
    <w:rsid w:val="004676B5"/>
    <w:rsid w:val="00467BB2"/>
    <w:rsid w:val="00473E00"/>
    <w:rsid w:val="00484E46"/>
    <w:rsid w:val="0048791A"/>
    <w:rsid w:val="004924EC"/>
    <w:rsid w:val="00492CCF"/>
    <w:rsid w:val="004A1131"/>
    <w:rsid w:val="004A63F2"/>
    <w:rsid w:val="004A6DDA"/>
    <w:rsid w:val="004B3855"/>
    <w:rsid w:val="004B58E5"/>
    <w:rsid w:val="004B7857"/>
    <w:rsid w:val="004B7D70"/>
    <w:rsid w:val="004C264A"/>
    <w:rsid w:val="004E119D"/>
    <w:rsid w:val="004E2F1E"/>
    <w:rsid w:val="004E3CAA"/>
    <w:rsid w:val="004E3E0C"/>
    <w:rsid w:val="004F18AD"/>
    <w:rsid w:val="004F5C31"/>
    <w:rsid w:val="004F69EC"/>
    <w:rsid w:val="00506676"/>
    <w:rsid w:val="005219E9"/>
    <w:rsid w:val="00522115"/>
    <w:rsid w:val="005308E7"/>
    <w:rsid w:val="00531794"/>
    <w:rsid w:val="005328BF"/>
    <w:rsid w:val="00533153"/>
    <w:rsid w:val="00536C8F"/>
    <w:rsid w:val="00537B00"/>
    <w:rsid w:val="0054447B"/>
    <w:rsid w:val="00550D69"/>
    <w:rsid w:val="0055170D"/>
    <w:rsid w:val="00555A5D"/>
    <w:rsid w:val="00565521"/>
    <w:rsid w:val="0057151D"/>
    <w:rsid w:val="00571ADB"/>
    <w:rsid w:val="00577658"/>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CCEF0"/>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5697B"/>
    <w:rsid w:val="00760AB9"/>
    <w:rsid w:val="007617EF"/>
    <w:rsid w:val="00774BD8"/>
    <w:rsid w:val="0078635C"/>
    <w:rsid w:val="00787314"/>
    <w:rsid w:val="00787F34"/>
    <w:rsid w:val="00794073"/>
    <w:rsid w:val="00794982"/>
    <w:rsid w:val="007A38CE"/>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649B8"/>
    <w:rsid w:val="008652D9"/>
    <w:rsid w:val="00872EE7"/>
    <w:rsid w:val="008746B1"/>
    <w:rsid w:val="00881E02"/>
    <w:rsid w:val="008A6F52"/>
    <w:rsid w:val="008B34EF"/>
    <w:rsid w:val="008C07BD"/>
    <w:rsid w:val="008C1A6F"/>
    <w:rsid w:val="008C33C8"/>
    <w:rsid w:val="008C7855"/>
    <w:rsid w:val="008D27FB"/>
    <w:rsid w:val="008D4FD2"/>
    <w:rsid w:val="008D5E4F"/>
    <w:rsid w:val="008E0A7A"/>
    <w:rsid w:val="008E5ECA"/>
    <w:rsid w:val="008E6561"/>
    <w:rsid w:val="008F0887"/>
    <w:rsid w:val="008F3CDD"/>
    <w:rsid w:val="008F4A7C"/>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5AE2"/>
    <w:rsid w:val="00A47AAD"/>
    <w:rsid w:val="00A50B61"/>
    <w:rsid w:val="00A54D33"/>
    <w:rsid w:val="00A621C0"/>
    <w:rsid w:val="00A77AC7"/>
    <w:rsid w:val="00A7A0A7"/>
    <w:rsid w:val="00A83970"/>
    <w:rsid w:val="00A860F4"/>
    <w:rsid w:val="00A87EF2"/>
    <w:rsid w:val="00A91B48"/>
    <w:rsid w:val="00A926CD"/>
    <w:rsid w:val="00A935C5"/>
    <w:rsid w:val="00AA3639"/>
    <w:rsid w:val="00AA446A"/>
    <w:rsid w:val="00AA5036"/>
    <w:rsid w:val="00AA5FDE"/>
    <w:rsid w:val="00AA661A"/>
    <w:rsid w:val="00AB2A7F"/>
    <w:rsid w:val="00AB3B1E"/>
    <w:rsid w:val="00AB72DF"/>
    <w:rsid w:val="00AC4A76"/>
    <w:rsid w:val="00AD044C"/>
    <w:rsid w:val="00AD1B75"/>
    <w:rsid w:val="00AD248C"/>
    <w:rsid w:val="00AD3E79"/>
    <w:rsid w:val="00AE2C4F"/>
    <w:rsid w:val="00AE3985"/>
    <w:rsid w:val="00AE4CDC"/>
    <w:rsid w:val="00AE506E"/>
    <w:rsid w:val="00AF2C7E"/>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3EC9"/>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0DA5"/>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52ED"/>
    <w:rsid w:val="00CA6F5A"/>
    <w:rsid w:val="00CA7DF2"/>
    <w:rsid w:val="00CB05C5"/>
    <w:rsid w:val="00CB4AAA"/>
    <w:rsid w:val="00CC13CD"/>
    <w:rsid w:val="00CD0240"/>
    <w:rsid w:val="00CD1CA1"/>
    <w:rsid w:val="00CD632A"/>
    <w:rsid w:val="00CE33F8"/>
    <w:rsid w:val="00CE5219"/>
    <w:rsid w:val="00CE6942"/>
    <w:rsid w:val="00CF0EB9"/>
    <w:rsid w:val="00CF1A66"/>
    <w:rsid w:val="00CF230D"/>
    <w:rsid w:val="00CF4811"/>
    <w:rsid w:val="00CF639E"/>
    <w:rsid w:val="00CF6F08"/>
    <w:rsid w:val="00D002E3"/>
    <w:rsid w:val="00D04754"/>
    <w:rsid w:val="00D24014"/>
    <w:rsid w:val="00D30EBD"/>
    <w:rsid w:val="00D31C7C"/>
    <w:rsid w:val="00D32995"/>
    <w:rsid w:val="00D35A04"/>
    <w:rsid w:val="00D36D5D"/>
    <w:rsid w:val="00D40823"/>
    <w:rsid w:val="00D42785"/>
    <w:rsid w:val="00D42988"/>
    <w:rsid w:val="00D43BE9"/>
    <w:rsid w:val="00D47D44"/>
    <w:rsid w:val="00D49B40"/>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B5"/>
    <w:rsid w:val="00DD59E3"/>
    <w:rsid w:val="00DD72F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715B"/>
    <w:rsid w:val="00E8381A"/>
    <w:rsid w:val="00E83F3F"/>
    <w:rsid w:val="00E87014"/>
    <w:rsid w:val="00E870FE"/>
    <w:rsid w:val="00E87DAA"/>
    <w:rsid w:val="00E92DFE"/>
    <w:rsid w:val="00E92FE2"/>
    <w:rsid w:val="00E95758"/>
    <w:rsid w:val="00EA4042"/>
    <w:rsid w:val="00EB170A"/>
    <w:rsid w:val="00EB1882"/>
    <w:rsid w:val="00EC03CF"/>
    <w:rsid w:val="00EC069C"/>
    <w:rsid w:val="00EC1DE8"/>
    <w:rsid w:val="00EC3DE8"/>
    <w:rsid w:val="00EC7CD4"/>
    <w:rsid w:val="00ED03B2"/>
    <w:rsid w:val="00ED47F2"/>
    <w:rsid w:val="00ED62D1"/>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61F7"/>
    <w:rsid w:val="00F57043"/>
    <w:rsid w:val="00F61771"/>
    <w:rsid w:val="00F63493"/>
    <w:rsid w:val="00F6391F"/>
    <w:rsid w:val="00F64A8A"/>
    <w:rsid w:val="00F64EB0"/>
    <w:rsid w:val="00F67056"/>
    <w:rsid w:val="00F77180"/>
    <w:rsid w:val="00F8269E"/>
    <w:rsid w:val="00F84887"/>
    <w:rsid w:val="00F9126D"/>
    <w:rsid w:val="00F918D9"/>
    <w:rsid w:val="00F933DA"/>
    <w:rsid w:val="00F93B5D"/>
    <w:rsid w:val="00FA0714"/>
    <w:rsid w:val="00FA642D"/>
    <w:rsid w:val="00FA76C6"/>
    <w:rsid w:val="00FC03AA"/>
    <w:rsid w:val="00FC7C0A"/>
    <w:rsid w:val="00FD24FD"/>
    <w:rsid w:val="00FE5E86"/>
    <w:rsid w:val="00FE74BC"/>
    <w:rsid w:val="00FF12A5"/>
    <w:rsid w:val="00FF1D7D"/>
    <w:rsid w:val="016EA3E0"/>
    <w:rsid w:val="0176E1A7"/>
    <w:rsid w:val="018FAB4C"/>
    <w:rsid w:val="01E3B5AB"/>
    <w:rsid w:val="0200E6FF"/>
    <w:rsid w:val="02238F7E"/>
    <w:rsid w:val="022C0D89"/>
    <w:rsid w:val="02571DC8"/>
    <w:rsid w:val="0266BA0D"/>
    <w:rsid w:val="02777397"/>
    <w:rsid w:val="027C6AA0"/>
    <w:rsid w:val="02E1EA0F"/>
    <w:rsid w:val="0315BF0D"/>
    <w:rsid w:val="03178447"/>
    <w:rsid w:val="032B7BAD"/>
    <w:rsid w:val="03692E19"/>
    <w:rsid w:val="036A10B9"/>
    <w:rsid w:val="03792D40"/>
    <w:rsid w:val="03BE2990"/>
    <w:rsid w:val="03C41F44"/>
    <w:rsid w:val="03C98593"/>
    <w:rsid w:val="03F4E604"/>
    <w:rsid w:val="0407A85A"/>
    <w:rsid w:val="04171A06"/>
    <w:rsid w:val="0440AE23"/>
    <w:rsid w:val="0469E450"/>
    <w:rsid w:val="04B73B62"/>
    <w:rsid w:val="04ECC07F"/>
    <w:rsid w:val="053006B6"/>
    <w:rsid w:val="0538EE3D"/>
    <w:rsid w:val="056175F0"/>
    <w:rsid w:val="057D9C33"/>
    <w:rsid w:val="059D934B"/>
    <w:rsid w:val="05B1B3D6"/>
    <w:rsid w:val="05B1E6E7"/>
    <w:rsid w:val="05B74AC0"/>
    <w:rsid w:val="061E6EF1"/>
    <w:rsid w:val="0659B0D0"/>
    <w:rsid w:val="0681533C"/>
    <w:rsid w:val="06A80D4D"/>
    <w:rsid w:val="06FCD77F"/>
    <w:rsid w:val="070FC6B0"/>
    <w:rsid w:val="0717D820"/>
    <w:rsid w:val="0754C3AD"/>
    <w:rsid w:val="075647EE"/>
    <w:rsid w:val="07910D3C"/>
    <w:rsid w:val="07AEAAB7"/>
    <w:rsid w:val="07B35F84"/>
    <w:rsid w:val="07C03341"/>
    <w:rsid w:val="07FEECD0"/>
    <w:rsid w:val="0841472A"/>
    <w:rsid w:val="084B9ECB"/>
    <w:rsid w:val="084F9B21"/>
    <w:rsid w:val="08A34DBC"/>
    <w:rsid w:val="08ADDF24"/>
    <w:rsid w:val="08B51ACC"/>
    <w:rsid w:val="08B63C59"/>
    <w:rsid w:val="08B6868D"/>
    <w:rsid w:val="091B0DFC"/>
    <w:rsid w:val="0931BFC8"/>
    <w:rsid w:val="09528D58"/>
    <w:rsid w:val="097814B2"/>
    <w:rsid w:val="09956AF4"/>
    <w:rsid w:val="09C43EAA"/>
    <w:rsid w:val="09CC6AE0"/>
    <w:rsid w:val="0A4EC3B8"/>
    <w:rsid w:val="0A620664"/>
    <w:rsid w:val="0AA2CB7B"/>
    <w:rsid w:val="0B2BE491"/>
    <w:rsid w:val="0B88BB90"/>
    <w:rsid w:val="0B9F483A"/>
    <w:rsid w:val="0BA57DF3"/>
    <w:rsid w:val="0BB9C772"/>
    <w:rsid w:val="0BC14A3D"/>
    <w:rsid w:val="0BE61029"/>
    <w:rsid w:val="0C05A424"/>
    <w:rsid w:val="0C2D6207"/>
    <w:rsid w:val="0CAFC9F7"/>
    <w:rsid w:val="0CBE4DDA"/>
    <w:rsid w:val="0CDEFE6F"/>
    <w:rsid w:val="0CE48CC6"/>
    <w:rsid w:val="0CE4A443"/>
    <w:rsid w:val="0D26FD74"/>
    <w:rsid w:val="0D38FEFB"/>
    <w:rsid w:val="0D480AA6"/>
    <w:rsid w:val="0D4A0125"/>
    <w:rsid w:val="0D5FB068"/>
    <w:rsid w:val="0D6D83F4"/>
    <w:rsid w:val="0D81883A"/>
    <w:rsid w:val="0D8258E7"/>
    <w:rsid w:val="0DAE5A31"/>
    <w:rsid w:val="0DBE45E1"/>
    <w:rsid w:val="0DC4B03E"/>
    <w:rsid w:val="0E169D01"/>
    <w:rsid w:val="0E18DB5A"/>
    <w:rsid w:val="0E3AF27D"/>
    <w:rsid w:val="0E49A21A"/>
    <w:rsid w:val="0E715949"/>
    <w:rsid w:val="0E7239BD"/>
    <w:rsid w:val="0E756568"/>
    <w:rsid w:val="0E8BD332"/>
    <w:rsid w:val="0EB923FE"/>
    <w:rsid w:val="0EEB19AE"/>
    <w:rsid w:val="0EEB886A"/>
    <w:rsid w:val="0EFB80C9"/>
    <w:rsid w:val="0F3407AD"/>
    <w:rsid w:val="0F4FA601"/>
    <w:rsid w:val="0F719D6F"/>
    <w:rsid w:val="0F71C68E"/>
    <w:rsid w:val="0FBD67FE"/>
    <w:rsid w:val="0FE2E43E"/>
    <w:rsid w:val="0FF30715"/>
    <w:rsid w:val="0FFD849B"/>
    <w:rsid w:val="100E0A1E"/>
    <w:rsid w:val="1051525F"/>
    <w:rsid w:val="10800E50"/>
    <w:rsid w:val="10C7E519"/>
    <w:rsid w:val="10CC4940"/>
    <w:rsid w:val="11357B89"/>
    <w:rsid w:val="115EE7B9"/>
    <w:rsid w:val="119AC747"/>
    <w:rsid w:val="11A8FA0B"/>
    <w:rsid w:val="11BA19E4"/>
    <w:rsid w:val="11BBB997"/>
    <w:rsid w:val="11BF33E1"/>
    <w:rsid w:val="11EDE991"/>
    <w:rsid w:val="11FA6E97"/>
    <w:rsid w:val="1206366E"/>
    <w:rsid w:val="12069EA6"/>
    <w:rsid w:val="12215341"/>
    <w:rsid w:val="1234C050"/>
    <w:rsid w:val="126EEC4A"/>
    <w:rsid w:val="1294B503"/>
    <w:rsid w:val="12982464"/>
    <w:rsid w:val="129A6999"/>
    <w:rsid w:val="12B4E93C"/>
    <w:rsid w:val="12B68A79"/>
    <w:rsid w:val="12CC2B3E"/>
    <w:rsid w:val="12DADDDC"/>
    <w:rsid w:val="133732D3"/>
    <w:rsid w:val="13670C26"/>
    <w:rsid w:val="139330A4"/>
    <w:rsid w:val="139634B7"/>
    <w:rsid w:val="13963EF8"/>
    <w:rsid w:val="1399B2CD"/>
    <w:rsid w:val="13A21E1D"/>
    <w:rsid w:val="13A26F93"/>
    <w:rsid w:val="142D4D7C"/>
    <w:rsid w:val="144EE28F"/>
    <w:rsid w:val="14663DAD"/>
    <w:rsid w:val="146F6970"/>
    <w:rsid w:val="14A2DD37"/>
    <w:rsid w:val="14AE7A90"/>
    <w:rsid w:val="14B24DC4"/>
    <w:rsid w:val="14B735E9"/>
    <w:rsid w:val="14D49735"/>
    <w:rsid w:val="14F81EED"/>
    <w:rsid w:val="14FA0F31"/>
    <w:rsid w:val="14FEDD83"/>
    <w:rsid w:val="15027EF6"/>
    <w:rsid w:val="15375F38"/>
    <w:rsid w:val="153DEE7E"/>
    <w:rsid w:val="155AC9EE"/>
    <w:rsid w:val="1579768D"/>
    <w:rsid w:val="15960422"/>
    <w:rsid w:val="1599A552"/>
    <w:rsid w:val="15F74BB2"/>
    <w:rsid w:val="16050397"/>
    <w:rsid w:val="161D4708"/>
    <w:rsid w:val="1657A333"/>
    <w:rsid w:val="16678D05"/>
    <w:rsid w:val="1667B53E"/>
    <w:rsid w:val="1693EF4E"/>
    <w:rsid w:val="16B54D74"/>
    <w:rsid w:val="172B36AA"/>
    <w:rsid w:val="173A32BD"/>
    <w:rsid w:val="176364BC"/>
    <w:rsid w:val="1770B349"/>
    <w:rsid w:val="177C1D8C"/>
    <w:rsid w:val="177DD06D"/>
    <w:rsid w:val="17814E83"/>
    <w:rsid w:val="17D5BDD4"/>
    <w:rsid w:val="17D8BDC4"/>
    <w:rsid w:val="18242BF5"/>
    <w:rsid w:val="18367E45"/>
    <w:rsid w:val="1865196B"/>
    <w:rsid w:val="189F30CC"/>
    <w:rsid w:val="18A4CBDE"/>
    <w:rsid w:val="18B8A484"/>
    <w:rsid w:val="18CB0035"/>
    <w:rsid w:val="18CB3E96"/>
    <w:rsid w:val="1912F711"/>
    <w:rsid w:val="192C1F6E"/>
    <w:rsid w:val="193B6516"/>
    <w:rsid w:val="193DFB6A"/>
    <w:rsid w:val="1949DD35"/>
    <w:rsid w:val="1992A9F1"/>
    <w:rsid w:val="19A466E1"/>
    <w:rsid w:val="19C3AA91"/>
    <w:rsid w:val="19CD8054"/>
    <w:rsid w:val="19DF0C48"/>
    <w:rsid w:val="1A05807C"/>
    <w:rsid w:val="1A249920"/>
    <w:rsid w:val="1A4D129B"/>
    <w:rsid w:val="1AAEC772"/>
    <w:rsid w:val="1B0866EB"/>
    <w:rsid w:val="1B3AFE28"/>
    <w:rsid w:val="1B98A4A1"/>
    <w:rsid w:val="1B996357"/>
    <w:rsid w:val="1BBF7962"/>
    <w:rsid w:val="1BE0E08C"/>
    <w:rsid w:val="1C042179"/>
    <w:rsid w:val="1C098C69"/>
    <w:rsid w:val="1C128AB5"/>
    <w:rsid w:val="1C13FA8F"/>
    <w:rsid w:val="1C1D59DD"/>
    <w:rsid w:val="1C48B6FB"/>
    <w:rsid w:val="1C5D5A5C"/>
    <w:rsid w:val="1C902E34"/>
    <w:rsid w:val="1CA4374C"/>
    <w:rsid w:val="1CBF2421"/>
    <w:rsid w:val="1CC680BD"/>
    <w:rsid w:val="1CDD79EE"/>
    <w:rsid w:val="1CF39A38"/>
    <w:rsid w:val="1D052116"/>
    <w:rsid w:val="1D3E14AF"/>
    <w:rsid w:val="1D55F474"/>
    <w:rsid w:val="1D634384"/>
    <w:rsid w:val="1D6576CA"/>
    <w:rsid w:val="1D80E93D"/>
    <w:rsid w:val="1D9EAFB9"/>
    <w:rsid w:val="1DFA43E4"/>
    <w:rsid w:val="1DFDA199"/>
    <w:rsid w:val="1E4232BC"/>
    <w:rsid w:val="1E439F15"/>
    <w:rsid w:val="1E5719A8"/>
    <w:rsid w:val="1E636474"/>
    <w:rsid w:val="1EBE4B25"/>
    <w:rsid w:val="1ED8F19F"/>
    <w:rsid w:val="1F0184F6"/>
    <w:rsid w:val="1F4B9B51"/>
    <w:rsid w:val="1F4E747A"/>
    <w:rsid w:val="1F7A43E7"/>
    <w:rsid w:val="1F96CABA"/>
    <w:rsid w:val="1FD7D3DA"/>
    <w:rsid w:val="1FFBF253"/>
    <w:rsid w:val="1FFCAD9C"/>
    <w:rsid w:val="2023E06A"/>
    <w:rsid w:val="20361B8B"/>
    <w:rsid w:val="205C23E5"/>
    <w:rsid w:val="206098D9"/>
    <w:rsid w:val="20BE6A3F"/>
    <w:rsid w:val="210AC887"/>
    <w:rsid w:val="21161448"/>
    <w:rsid w:val="212C6AC4"/>
    <w:rsid w:val="2143E6FD"/>
    <w:rsid w:val="216566FA"/>
    <w:rsid w:val="217622F3"/>
    <w:rsid w:val="21870DD0"/>
    <w:rsid w:val="21CA980C"/>
    <w:rsid w:val="21D1EBEC"/>
    <w:rsid w:val="21FC7D03"/>
    <w:rsid w:val="2207E625"/>
    <w:rsid w:val="2242C289"/>
    <w:rsid w:val="22548DC2"/>
    <w:rsid w:val="2275AAAB"/>
    <w:rsid w:val="2294C860"/>
    <w:rsid w:val="229EF625"/>
    <w:rsid w:val="22B7F445"/>
    <w:rsid w:val="22D8E7D0"/>
    <w:rsid w:val="22DD320E"/>
    <w:rsid w:val="22FC4577"/>
    <w:rsid w:val="23045554"/>
    <w:rsid w:val="23166D05"/>
    <w:rsid w:val="23758F2C"/>
    <w:rsid w:val="23791592"/>
    <w:rsid w:val="237A9F9F"/>
    <w:rsid w:val="23964222"/>
    <w:rsid w:val="23AC62C2"/>
    <w:rsid w:val="23BB8763"/>
    <w:rsid w:val="23C27853"/>
    <w:rsid w:val="23CE05AD"/>
    <w:rsid w:val="2403E24D"/>
    <w:rsid w:val="240DF13D"/>
    <w:rsid w:val="2413B0FB"/>
    <w:rsid w:val="248567C5"/>
    <w:rsid w:val="248D9E4D"/>
    <w:rsid w:val="24977979"/>
    <w:rsid w:val="249AB4AC"/>
    <w:rsid w:val="24AF4931"/>
    <w:rsid w:val="24B5A1A2"/>
    <w:rsid w:val="250C969E"/>
    <w:rsid w:val="25182EB0"/>
    <w:rsid w:val="25251C64"/>
    <w:rsid w:val="2531647A"/>
    <w:rsid w:val="25321283"/>
    <w:rsid w:val="2574A8F9"/>
    <w:rsid w:val="2578DB3E"/>
    <w:rsid w:val="25D0B9D0"/>
    <w:rsid w:val="25DCD109"/>
    <w:rsid w:val="25E02395"/>
    <w:rsid w:val="25E104C1"/>
    <w:rsid w:val="25E9E535"/>
    <w:rsid w:val="2636326F"/>
    <w:rsid w:val="2659DBD9"/>
    <w:rsid w:val="2697F18F"/>
    <w:rsid w:val="26A0D9AC"/>
    <w:rsid w:val="26A73CC1"/>
    <w:rsid w:val="26AB5156"/>
    <w:rsid w:val="26BCBE38"/>
    <w:rsid w:val="26C7DD5E"/>
    <w:rsid w:val="26D8FF3E"/>
    <w:rsid w:val="26E391F8"/>
    <w:rsid w:val="26E6E3D4"/>
    <w:rsid w:val="26F2FAC3"/>
    <w:rsid w:val="2703A80D"/>
    <w:rsid w:val="270B7B63"/>
    <w:rsid w:val="27121350"/>
    <w:rsid w:val="272AC486"/>
    <w:rsid w:val="273010F2"/>
    <w:rsid w:val="27460882"/>
    <w:rsid w:val="274B1383"/>
    <w:rsid w:val="27517584"/>
    <w:rsid w:val="276788D5"/>
    <w:rsid w:val="27723F88"/>
    <w:rsid w:val="278B5B82"/>
    <w:rsid w:val="27B2ACB5"/>
    <w:rsid w:val="27D158FE"/>
    <w:rsid w:val="280E6D77"/>
    <w:rsid w:val="28183477"/>
    <w:rsid w:val="284263B1"/>
    <w:rsid w:val="284EB0EC"/>
    <w:rsid w:val="2858ED34"/>
    <w:rsid w:val="288005CC"/>
    <w:rsid w:val="28B4FADD"/>
    <w:rsid w:val="28B58CE1"/>
    <w:rsid w:val="28C2FAF7"/>
    <w:rsid w:val="28C97C24"/>
    <w:rsid w:val="28DCA6D8"/>
    <w:rsid w:val="2902911E"/>
    <w:rsid w:val="290BA0CB"/>
    <w:rsid w:val="292207D7"/>
    <w:rsid w:val="29249049"/>
    <w:rsid w:val="294CFDC4"/>
    <w:rsid w:val="29515B99"/>
    <w:rsid w:val="295A6E7B"/>
    <w:rsid w:val="2982BA54"/>
    <w:rsid w:val="29B40F70"/>
    <w:rsid w:val="29DD97D1"/>
    <w:rsid w:val="29F026BB"/>
    <w:rsid w:val="2A2F38F7"/>
    <w:rsid w:val="2A3834E5"/>
    <w:rsid w:val="2A444136"/>
    <w:rsid w:val="2A70E09F"/>
    <w:rsid w:val="2A7D32C1"/>
    <w:rsid w:val="2A8192BB"/>
    <w:rsid w:val="2A963B7E"/>
    <w:rsid w:val="2A98246B"/>
    <w:rsid w:val="2AC30D06"/>
    <w:rsid w:val="2ACCD8C2"/>
    <w:rsid w:val="2AFA08FC"/>
    <w:rsid w:val="2B06BAFD"/>
    <w:rsid w:val="2B673932"/>
    <w:rsid w:val="2B977626"/>
    <w:rsid w:val="2BA9ADA5"/>
    <w:rsid w:val="2BE763D4"/>
    <w:rsid w:val="2C2AF49E"/>
    <w:rsid w:val="2C320BDF"/>
    <w:rsid w:val="2C4EDB09"/>
    <w:rsid w:val="2C5BE87C"/>
    <w:rsid w:val="2C643A7C"/>
    <w:rsid w:val="2C66FE0F"/>
    <w:rsid w:val="2CE262E1"/>
    <w:rsid w:val="2CEAB92B"/>
    <w:rsid w:val="2CFE51D8"/>
    <w:rsid w:val="2D078709"/>
    <w:rsid w:val="2D09BE02"/>
    <w:rsid w:val="2D290D54"/>
    <w:rsid w:val="2D2FC50A"/>
    <w:rsid w:val="2D3B5633"/>
    <w:rsid w:val="2D562558"/>
    <w:rsid w:val="2D5A0177"/>
    <w:rsid w:val="2D5A0C9C"/>
    <w:rsid w:val="2D619CFA"/>
    <w:rsid w:val="2D894605"/>
    <w:rsid w:val="2DE7ACC9"/>
    <w:rsid w:val="2E4B7C70"/>
    <w:rsid w:val="2E7E3342"/>
    <w:rsid w:val="2EA668C1"/>
    <w:rsid w:val="2EAF0201"/>
    <w:rsid w:val="2EB1BEFE"/>
    <w:rsid w:val="2ECB956B"/>
    <w:rsid w:val="2EEFDC19"/>
    <w:rsid w:val="2EF97B21"/>
    <w:rsid w:val="2F002215"/>
    <w:rsid w:val="2F5DCE9F"/>
    <w:rsid w:val="2F89F899"/>
    <w:rsid w:val="2FAEE2B8"/>
    <w:rsid w:val="2FB451C2"/>
    <w:rsid w:val="2FC3D882"/>
    <w:rsid w:val="2FE1878F"/>
    <w:rsid w:val="3018E641"/>
    <w:rsid w:val="303145F8"/>
    <w:rsid w:val="304FAB14"/>
    <w:rsid w:val="3051A0DC"/>
    <w:rsid w:val="3068D371"/>
    <w:rsid w:val="30727A27"/>
    <w:rsid w:val="3073A190"/>
    <w:rsid w:val="3079D652"/>
    <w:rsid w:val="308526C3"/>
    <w:rsid w:val="308BB482"/>
    <w:rsid w:val="309A42AB"/>
    <w:rsid w:val="309CAEA4"/>
    <w:rsid w:val="30AF11B1"/>
    <w:rsid w:val="30AFF592"/>
    <w:rsid w:val="30B0D125"/>
    <w:rsid w:val="30B8F596"/>
    <w:rsid w:val="30DBEEAF"/>
    <w:rsid w:val="310E02E4"/>
    <w:rsid w:val="311060D8"/>
    <w:rsid w:val="3110F360"/>
    <w:rsid w:val="3133AC4E"/>
    <w:rsid w:val="3144B24A"/>
    <w:rsid w:val="31658060"/>
    <w:rsid w:val="316A0EEE"/>
    <w:rsid w:val="316A4C93"/>
    <w:rsid w:val="317569F3"/>
    <w:rsid w:val="318D9FFC"/>
    <w:rsid w:val="31D06D9D"/>
    <w:rsid w:val="31F4589E"/>
    <w:rsid w:val="3203362D"/>
    <w:rsid w:val="325897FF"/>
    <w:rsid w:val="325C01D4"/>
    <w:rsid w:val="326866CF"/>
    <w:rsid w:val="327CF955"/>
    <w:rsid w:val="32889782"/>
    <w:rsid w:val="32A14D63"/>
    <w:rsid w:val="32B908EB"/>
    <w:rsid w:val="32C08E97"/>
    <w:rsid w:val="32C28A36"/>
    <w:rsid w:val="32DA16AA"/>
    <w:rsid w:val="3315C4D7"/>
    <w:rsid w:val="3316531C"/>
    <w:rsid w:val="3327BA04"/>
    <w:rsid w:val="3349B6DF"/>
    <w:rsid w:val="334E59D6"/>
    <w:rsid w:val="3364215D"/>
    <w:rsid w:val="3399EADA"/>
    <w:rsid w:val="33D7EB47"/>
    <w:rsid w:val="33F09658"/>
    <w:rsid w:val="34114300"/>
    <w:rsid w:val="34B95169"/>
    <w:rsid w:val="34D055E1"/>
    <w:rsid w:val="34FEAF9D"/>
    <w:rsid w:val="350D0410"/>
    <w:rsid w:val="3544A8F4"/>
    <w:rsid w:val="357CC515"/>
    <w:rsid w:val="3595B5AE"/>
    <w:rsid w:val="36038DC7"/>
    <w:rsid w:val="36205368"/>
    <w:rsid w:val="3629EC1D"/>
    <w:rsid w:val="362B80CC"/>
    <w:rsid w:val="362E4DEB"/>
    <w:rsid w:val="3679AB1B"/>
    <w:rsid w:val="368029AC"/>
    <w:rsid w:val="36841EF6"/>
    <w:rsid w:val="36852697"/>
    <w:rsid w:val="3685FA98"/>
    <w:rsid w:val="368F3BE9"/>
    <w:rsid w:val="3698E9C9"/>
    <w:rsid w:val="369F5B74"/>
    <w:rsid w:val="36A9A369"/>
    <w:rsid w:val="36AA2B5B"/>
    <w:rsid w:val="36E0E67E"/>
    <w:rsid w:val="36F1FE7D"/>
    <w:rsid w:val="3724083A"/>
    <w:rsid w:val="378B3ADE"/>
    <w:rsid w:val="378F2D8B"/>
    <w:rsid w:val="37B1D061"/>
    <w:rsid w:val="37BF557B"/>
    <w:rsid w:val="37C7512D"/>
    <w:rsid w:val="37DB7152"/>
    <w:rsid w:val="37E089BB"/>
    <w:rsid w:val="37E6C23B"/>
    <w:rsid w:val="37EEB0F1"/>
    <w:rsid w:val="3804FB43"/>
    <w:rsid w:val="380B49C9"/>
    <w:rsid w:val="382335EA"/>
    <w:rsid w:val="38251588"/>
    <w:rsid w:val="3836505F"/>
    <w:rsid w:val="38556BB7"/>
    <w:rsid w:val="387277B1"/>
    <w:rsid w:val="388830AD"/>
    <w:rsid w:val="388E7F71"/>
    <w:rsid w:val="3895B0D1"/>
    <w:rsid w:val="38BBE30A"/>
    <w:rsid w:val="38D9D362"/>
    <w:rsid w:val="38FCC5D3"/>
    <w:rsid w:val="38FF2BD7"/>
    <w:rsid w:val="390F7F47"/>
    <w:rsid w:val="3917CCC7"/>
    <w:rsid w:val="391F8456"/>
    <w:rsid w:val="392F316C"/>
    <w:rsid w:val="3936269A"/>
    <w:rsid w:val="394C5A9B"/>
    <w:rsid w:val="3963218E"/>
    <w:rsid w:val="397A69D8"/>
    <w:rsid w:val="39CB038E"/>
    <w:rsid w:val="39DC79E0"/>
    <w:rsid w:val="39F615F8"/>
    <w:rsid w:val="39FFA05F"/>
    <w:rsid w:val="3A04BC9D"/>
    <w:rsid w:val="3A19D93B"/>
    <w:rsid w:val="3A5C07B1"/>
    <w:rsid w:val="3A69A898"/>
    <w:rsid w:val="3A8C74D4"/>
    <w:rsid w:val="3A913022"/>
    <w:rsid w:val="3AC2DBA0"/>
    <w:rsid w:val="3AC5A552"/>
    <w:rsid w:val="3AC6CE4D"/>
    <w:rsid w:val="3ACC0449"/>
    <w:rsid w:val="3AD6F717"/>
    <w:rsid w:val="3B0C62A6"/>
    <w:rsid w:val="3B2A1FFB"/>
    <w:rsid w:val="3B2E0591"/>
    <w:rsid w:val="3B3ACC68"/>
    <w:rsid w:val="3B5B75D5"/>
    <w:rsid w:val="3B64BD1D"/>
    <w:rsid w:val="3B68F301"/>
    <w:rsid w:val="3B6F3342"/>
    <w:rsid w:val="3B9554A7"/>
    <w:rsid w:val="3C0114C2"/>
    <w:rsid w:val="3C6FCC63"/>
    <w:rsid w:val="3C83A482"/>
    <w:rsid w:val="3D0F5B2B"/>
    <w:rsid w:val="3D28FB29"/>
    <w:rsid w:val="3D44189D"/>
    <w:rsid w:val="3D7436A8"/>
    <w:rsid w:val="3D81361C"/>
    <w:rsid w:val="3D8EB5E0"/>
    <w:rsid w:val="3DFD4614"/>
    <w:rsid w:val="3E0B5ACB"/>
    <w:rsid w:val="3E15802A"/>
    <w:rsid w:val="3E20836A"/>
    <w:rsid w:val="3E53DA8F"/>
    <w:rsid w:val="3E8DB116"/>
    <w:rsid w:val="3E92E4C1"/>
    <w:rsid w:val="3E9A1A5B"/>
    <w:rsid w:val="3EB80A19"/>
    <w:rsid w:val="3EBBC6CC"/>
    <w:rsid w:val="3EBD2AC6"/>
    <w:rsid w:val="3EBE9AA0"/>
    <w:rsid w:val="3EE02531"/>
    <w:rsid w:val="3EE7A274"/>
    <w:rsid w:val="3EF26257"/>
    <w:rsid w:val="3F3A83AC"/>
    <w:rsid w:val="3F3A8C6A"/>
    <w:rsid w:val="3F3DD41C"/>
    <w:rsid w:val="3F6059B2"/>
    <w:rsid w:val="3F9A96F7"/>
    <w:rsid w:val="3FE51910"/>
    <w:rsid w:val="3FEA5F33"/>
    <w:rsid w:val="3FFB9BA2"/>
    <w:rsid w:val="4032C1D5"/>
    <w:rsid w:val="4036F1B3"/>
    <w:rsid w:val="404EEE0F"/>
    <w:rsid w:val="40572E23"/>
    <w:rsid w:val="4091FFDA"/>
    <w:rsid w:val="40C6395F"/>
    <w:rsid w:val="40DEE1EC"/>
    <w:rsid w:val="410688BC"/>
    <w:rsid w:val="41754FBA"/>
    <w:rsid w:val="4185ACAC"/>
    <w:rsid w:val="41BCEDA2"/>
    <w:rsid w:val="41D37C97"/>
    <w:rsid w:val="41F0718F"/>
    <w:rsid w:val="420FBFCD"/>
    <w:rsid w:val="429E48D0"/>
    <w:rsid w:val="42B24F00"/>
    <w:rsid w:val="4332E3BE"/>
    <w:rsid w:val="433B7097"/>
    <w:rsid w:val="43611CCA"/>
    <w:rsid w:val="4367C82F"/>
    <w:rsid w:val="43BD4218"/>
    <w:rsid w:val="43D2D0DA"/>
    <w:rsid w:val="43F5AB8A"/>
    <w:rsid w:val="441A5AFA"/>
    <w:rsid w:val="444C8D99"/>
    <w:rsid w:val="44705FD6"/>
    <w:rsid w:val="44710AB1"/>
    <w:rsid w:val="4472D743"/>
    <w:rsid w:val="4481AD28"/>
    <w:rsid w:val="448BFFA0"/>
    <w:rsid w:val="44A20A15"/>
    <w:rsid w:val="44B344EC"/>
    <w:rsid w:val="44DA4B16"/>
    <w:rsid w:val="44E154B8"/>
    <w:rsid w:val="44E2E650"/>
    <w:rsid w:val="4514B3C7"/>
    <w:rsid w:val="4514BCA4"/>
    <w:rsid w:val="4514D367"/>
    <w:rsid w:val="455AADAC"/>
    <w:rsid w:val="45770C8B"/>
    <w:rsid w:val="45872C96"/>
    <w:rsid w:val="45AC0807"/>
    <w:rsid w:val="45BB69C8"/>
    <w:rsid w:val="45DD99AF"/>
    <w:rsid w:val="4627D001"/>
    <w:rsid w:val="463C9F10"/>
    <w:rsid w:val="464F154D"/>
    <w:rsid w:val="46670EBA"/>
    <w:rsid w:val="467AC191"/>
    <w:rsid w:val="469F68F1"/>
    <w:rsid w:val="46B3E425"/>
    <w:rsid w:val="46DCFDE8"/>
    <w:rsid w:val="46E0DB66"/>
    <w:rsid w:val="46EE56E1"/>
    <w:rsid w:val="46FD43E7"/>
    <w:rsid w:val="47286DE1"/>
    <w:rsid w:val="4729454A"/>
    <w:rsid w:val="472A0178"/>
    <w:rsid w:val="475B22CA"/>
    <w:rsid w:val="47672DC6"/>
    <w:rsid w:val="47748F35"/>
    <w:rsid w:val="4786A4B8"/>
    <w:rsid w:val="47B0FF6B"/>
    <w:rsid w:val="47E2537A"/>
    <w:rsid w:val="47E3660C"/>
    <w:rsid w:val="47EF02FB"/>
    <w:rsid w:val="4818F57A"/>
    <w:rsid w:val="481B668B"/>
    <w:rsid w:val="482DE8C7"/>
    <w:rsid w:val="484F21D7"/>
    <w:rsid w:val="4864D6E3"/>
    <w:rsid w:val="48E7D08F"/>
    <w:rsid w:val="48F6F32B"/>
    <w:rsid w:val="48FE47BB"/>
    <w:rsid w:val="491414B4"/>
    <w:rsid w:val="4919166A"/>
    <w:rsid w:val="49633611"/>
    <w:rsid w:val="49F73B89"/>
    <w:rsid w:val="4A460DE4"/>
    <w:rsid w:val="4AA30C59"/>
    <w:rsid w:val="4AAE59BA"/>
    <w:rsid w:val="4AB030C0"/>
    <w:rsid w:val="4B0388B8"/>
    <w:rsid w:val="4B5C2AEB"/>
    <w:rsid w:val="4B67CE7C"/>
    <w:rsid w:val="4B6AEC8E"/>
    <w:rsid w:val="4B6E9AB8"/>
    <w:rsid w:val="4B965B91"/>
    <w:rsid w:val="4BD3BAEC"/>
    <w:rsid w:val="4BE4D6FE"/>
    <w:rsid w:val="4C2A0EA1"/>
    <w:rsid w:val="4C2D5A65"/>
    <w:rsid w:val="4C303870"/>
    <w:rsid w:val="4C4C025F"/>
    <w:rsid w:val="4C62C365"/>
    <w:rsid w:val="4C6E5ADE"/>
    <w:rsid w:val="4C74B556"/>
    <w:rsid w:val="4C9FAB43"/>
    <w:rsid w:val="4CB00C38"/>
    <w:rsid w:val="4CC0CE87"/>
    <w:rsid w:val="4CCC47A3"/>
    <w:rsid w:val="4CF40FCD"/>
    <w:rsid w:val="4D039EDD"/>
    <w:rsid w:val="4D384EA4"/>
    <w:rsid w:val="4D71A24F"/>
    <w:rsid w:val="4D7DED06"/>
    <w:rsid w:val="4DA2306E"/>
    <w:rsid w:val="4DB80A0B"/>
    <w:rsid w:val="4DBF5AAA"/>
    <w:rsid w:val="4DCA644E"/>
    <w:rsid w:val="4DE03CC1"/>
    <w:rsid w:val="4DFE6DAC"/>
    <w:rsid w:val="4E0C1F65"/>
    <w:rsid w:val="4E25E851"/>
    <w:rsid w:val="4E36A734"/>
    <w:rsid w:val="4E440A24"/>
    <w:rsid w:val="4E4A5B29"/>
    <w:rsid w:val="4E7E840B"/>
    <w:rsid w:val="4ED4BE6A"/>
    <w:rsid w:val="4EE2DCDA"/>
    <w:rsid w:val="4EECE894"/>
    <w:rsid w:val="4F1AC7B2"/>
    <w:rsid w:val="4F50F20F"/>
    <w:rsid w:val="4F5E70D0"/>
    <w:rsid w:val="4F715F62"/>
    <w:rsid w:val="4F85156C"/>
    <w:rsid w:val="4FA35A14"/>
    <w:rsid w:val="4FBFD521"/>
    <w:rsid w:val="4FE82A6F"/>
    <w:rsid w:val="4FE83091"/>
    <w:rsid w:val="4FFDF6E2"/>
    <w:rsid w:val="5007C06D"/>
    <w:rsid w:val="5045FF30"/>
    <w:rsid w:val="50799A0D"/>
    <w:rsid w:val="509D6053"/>
    <w:rsid w:val="50BD0C27"/>
    <w:rsid w:val="50BD1860"/>
    <w:rsid w:val="50E8FBD0"/>
    <w:rsid w:val="50F98CE1"/>
    <w:rsid w:val="5103600B"/>
    <w:rsid w:val="5113B598"/>
    <w:rsid w:val="5117DD83"/>
    <w:rsid w:val="511D9B3E"/>
    <w:rsid w:val="51465C9F"/>
    <w:rsid w:val="5152F826"/>
    <w:rsid w:val="515DFB0F"/>
    <w:rsid w:val="5187FC78"/>
    <w:rsid w:val="518C719D"/>
    <w:rsid w:val="519EB5A2"/>
    <w:rsid w:val="51BC495B"/>
    <w:rsid w:val="51E8C8A9"/>
    <w:rsid w:val="51F08E36"/>
    <w:rsid w:val="5223C52C"/>
    <w:rsid w:val="522A1D0D"/>
    <w:rsid w:val="524E17CE"/>
    <w:rsid w:val="525B27B3"/>
    <w:rsid w:val="5277934B"/>
    <w:rsid w:val="528892D1"/>
    <w:rsid w:val="52F4139E"/>
    <w:rsid w:val="530B22A7"/>
    <w:rsid w:val="5336BF63"/>
    <w:rsid w:val="533A8603"/>
    <w:rsid w:val="53594842"/>
    <w:rsid w:val="5384990A"/>
    <w:rsid w:val="538F0730"/>
    <w:rsid w:val="53946679"/>
    <w:rsid w:val="5396F4B6"/>
    <w:rsid w:val="53A00A9F"/>
    <w:rsid w:val="53A01276"/>
    <w:rsid w:val="53D80D32"/>
    <w:rsid w:val="54037EA4"/>
    <w:rsid w:val="540B9395"/>
    <w:rsid w:val="5412DEF2"/>
    <w:rsid w:val="54828CBA"/>
    <w:rsid w:val="548BA99D"/>
    <w:rsid w:val="5493396E"/>
    <w:rsid w:val="54A6F308"/>
    <w:rsid w:val="54CAA23E"/>
    <w:rsid w:val="54DC4FA9"/>
    <w:rsid w:val="5501464C"/>
    <w:rsid w:val="5512EC09"/>
    <w:rsid w:val="55369175"/>
    <w:rsid w:val="553DB192"/>
    <w:rsid w:val="55698024"/>
    <w:rsid w:val="55711B3C"/>
    <w:rsid w:val="557775EB"/>
    <w:rsid w:val="5586C136"/>
    <w:rsid w:val="55969295"/>
    <w:rsid w:val="55BE3864"/>
    <w:rsid w:val="55E255FA"/>
    <w:rsid w:val="55F2E4A5"/>
    <w:rsid w:val="55F935D4"/>
    <w:rsid w:val="561492C5"/>
    <w:rsid w:val="56A27246"/>
    <w:rsid w:val="56CDAB07"/>
    <w:rsid w:val="570C867D"/>
    <w:rsid w:val="5731B6BE"/>
    <w:rsid w:val="5733BE0D"/>
    <w:rsid w:val="573C3FBB"/>
    <w:rsid w:val="573C8207"/>
    <w:rsid w:val="578E47B3"/>
    <w:rsid w:val="57A6D26F"/>
    <w:rsid w:val="57C09BCF"/>
    <w:rsid w:val="57F53EA7"/>
    <w:rsid w:val="57FB2FFC"/>
    <w:rsid w:val="5852AF44"/>
    <w:rsid w:val="5861030A"/>
    <w:rsid w:val="588277F9"/>
    <w:rsid w:val="58946D47"/>
    <w:rsid w:val="58B50AFA"/>
    <w:rsid w:val="58E2A5AA"/>
    <w:rsid w:val="590BB130"/>
    <w:rsid w:val="591611D7"/>
    <w:rsid w:val="591B0046"/>
    <w:rsid w:val="591C4488"/>
    <w:rsid w:val="592BF7B2"/>
    <w:rsid w:val="596258A5"/>
    <w:rsid w:val="59736301"/>
    <w:rsid w:val="598DC3AF"/>
    <w:rsid w:val="59A58E0F"/>
    <w:rsid w:val="59B9C1FF"/>
    <w:rsid w:val="59DA1308"/>
    <w:rsid w:val="59DE2BC5"/>
    <w:rsid w:val="59F861B9"/>
    <w:rsid w:val="5A101DCB"/>
    <w:rsid w:val="5A2551D4"/>
    <w:rsid w:val="5A2680D9"/>
    <w:rsid w:val="5A278498"/>
    <w:rsid w:val="5A3967FA"/>
    <w:rsid w:val="5A83D73F"/>
    <w:rsid w:val="5AC3C857"/>
    <w:rsid w:val="5AD847A4"/>
    <w:rsid w:val="5B0ED148"/>
    <w:rsid w:val="5B19A08B"/>
    <w:rsid w:val="5B20993F"/>
    <w:rsid w:val="5B2C6F8B"/>
    <w:rsid w:val="5B2CDF69"/>
    <w:rsid w:val="5B511964"/>
    <w:rsid w:val="5B54C1AD"/>
    <w:rsid w:val="5B83BED2"/>
    <w:rsid w:val="5B9C7BEB"/>
    <w:rsid w:val="5BA2069B"/>
    <w:rsid w:val="5C0209F9"/>
    <w:rsid w:val="5C1CBC23"/>
    <w:rsid w:val="5C28D056"/>
    <w:rsid w:val="5C3E3607"/>
    <w:rsid w:val="5C53F9CD"/>
    <w:rsid w:val="5CA580D5"/>
    <w:rsid w:val="5CB44F65"/>
    <w:rsid w:val="5CD70C6F"/>
    <w:rsid w:val="5D3C2947"/>
    <w:rsid w:val="5D485A14"/>
    <w:rsid w:val="5D4F6DE1"/>
    <w:rsid w:val="5D658E2B"/>
    <w:rsid w:val="5DEDA9B7"/>
    <w:rsid w:val="5E25994B"/>
    <w:rsid w:val="5E283C8F"/>
    <w:rsid w:val="5E88F826"/>
    <w:rsid w:val="5EA56253"/>
    <w:rsid w:val="5ED116FB"/>
    <w:rsid w:val="5EDD45ED"/>
    <w:rsid w:val="5EF866B7"/>
    <w:rsid w:val="5EFAF5BB"/>
    <w:rsid w:val="5F18E2AC"/>
    <w:rsid w:val="5F3000E4"/>
    <w:rsid w:val="5F3D74DB"/>
    <w:rsid w:val="5F504AFF"/>
    <w:rsid w:val="5F65557F"/>
    <w:rsid w:val="5F7A86F6"/>
    <w:rsid w:val="5F91D1F2"/>
    <w:rsid w:val="5F99E18C"/>
    <w:rsid w:val="5FAF21BB"/>
    <w:rsid w:val="5FB57421"/>
    <w:rsid w:val="5FC40CF0"/>
    <w:rsid w:val="5FC57CCA"/>
    <w:rsid w:val="5FD76088"/>
    <w:rsid w:val="5FEF842E"/>
    <w:rsid w:val="5FF0B5F9"/>
    <w:rsid w:val="60032F06"/>
    <w:rsid w:val="600641E1"/>
    <w:rsid w:val="600EAD31"/>
    <w:rsid w:val="6010032A"/>
    <w:rsid w:val="6062C557"/>
    <w:rsid w:val="606511C8"/>
    <w:rsid w:val="607577BE"/>
    <w:rsid w:val="6090C915"/>
    <w:rsid w:val="6096C61C"/>
    <w:rsid w:val="609A0298"/>
    <w:rsid w:val="60D9453C"/>
    <w:rsid w:val="60F612D4"/>
    <w:rsid w:val="6103A4C2"/>
    <w:rsid w:val="610A9A15"/>
    <w:rsid w:val="6115CB6B"/>
    <w:rsid w:val="61276AF0"/>
    <w:rsid w:val="613EE215"/>
    <w:rsid w:val="61418EF4"/>
    <w:rsid w:val="61537932"/>
    <w:rsid w:val="6188E9E5"/>
    <w:rsid w:val="61C23FB2"/>
    <w:rsid w:val="61D9907B"/>
    <w:rsid w:val="61EEAE24"/>
    <w:rsid w:val="61F81FC2"/>
    <w:rsid w:val="62020C15"/>
    <w:rsid w:val="6253AA50"/>
    <w:rsid w:val="6258C295"/>
    <w:rsid w:val="625A7886"/>
    <w:rsid w:val="62603581"/>
    <w:rsid w:val="626EA33E"/>
    <w:rsid w:val="6271D5BF"/>
    <w:rsid w:val="62BCE6BB"/>
    <w:rsid w:val="62E29171"/>
    <w:rsid w:val="631A42A5"/>
    <w:rsid w:val="6333BAD0"/>
    <w:rsid w:val="63341029"/>
    <w:rsid w:val="634C4122"/>
    <w:rsid w:val="63609114"/>
    <w:rsid w:val="638F8558"/>
    <w:rsid w:val="63AFC4D3"/>
    <w:rsid w:val="63B5F57D"/>
    <w:rsid w:val="63C88388"/>
    <w:rsid w:val="63CEA3BE"/>
    <w:rsid w:val="63E76DA0"/>
    <w:rsid w:val="63F9890D"/>
    <w:rsid w:val="641FD6C2"/>
    <w:rsid w:val="64245600"/>
    <w:rsid w:val="6436C05C"/>
    <w:rsid w:val="6466B3A7"/>
    <w:rsid w:val="64716EAA"/>
    <w:rsid w:val="649778A4"/>
    <w:rsid w:val="64C3FA08"/>
    <w:rsid w:val="64C7072B"/>
    <w:rsid w:val="64E9A767"/>
    <w:rsid w:val="64EFFE55"/>
    <w:rsid w:val="65152192"/>
    <w:rsid w:val="652A6432"/>
    <w:rsid w:val="654944EF"/>
    <w:rsid w:val="655A1E8F"/>
    <w:rsid w:val="655EFD1B"/>
    <w:rsid w:val="6564264F"/>
    <w:rsid w:val="65A97681"/>
    <w:rsid w:val="660366ED"/>
    <w:rsid w:val="66248864"/>
    <w:rsid w:val="66737E5E"/>
    <w:rsid w:val="6698B1A7"/>
    <w:rsid w:val="66A8BA86"/>
    <w:rsid w:val="66F5EEF0"/>
    <w:rsid w:val="67271167"/>
    <w:rsid w:val="67307018"/>
    <w:rsid w:val="675538C1"/>
    <w:rsid w:val="675BACF8"/>
    <w:rsid w:val="6762E525"/>
    <w:rsid w:val="676C707E"/>
    <w:rsid w:val="67B42A6B"/>
    <w:rsid w:val="67C6028D"/>
    <w:rsid w:val="67F4AD53"/>
    <w:rsid w:val="68045D76"/>
    <w:rsid w:val="680B84D5"/>
    <w:rsid w:val="681ED3EA"/>
    <w:rsid w:val="6826DF5C"/>
    <w:rsid w:val="6832763A"/>
    <w:rsid w:val="686593FB"/>
    <w:rsid w:val="68719CE8"/>
    <w:rsid w:val="68724DC1"/>
    <w:rsid w:val="6877DD67"/>
    <w:rsid w:val="68795BCE"/>
    <w:rsid w:val="689A5A2C"/>
    <w:rsid w:val="68ACBBA8"/>
    <w:rsid w:val="68F44288"/>
    <w:rsid w:val="691090F6"/>
    <w:rsid w:val="692248B5"/>
    <w:rsid w:val="692B1126"/>
    <w:rsid w:val="6967B716"/>
    <w:rsid w:val="696F114D"/>
    <w:rsid w:val="69B19527"/>
    <w:rsid w:val="69B74E52"/>
    <w:rsid w:val="69C3A17F"/>
    <w:rsid w:val="69C66FD6"/>
    <w:rsid w:val="69E56EBB"/>
    <w:rsid w:val="6A0E04CC"/>
    <w:rsid w:val="6A21B94D"/>
    <w:rsid w:val="6A241F51"/>
    <w:rsid w:val="6A6A2D91"/>
    <w:rsid w:val="6AADD049"/>
    <w:rsid w:val="6ACFF388"/>
    <w:rsid w:val="6B06BA28"/>
    <w:rsid w:val="6B172EE0"/>
    <w:rsid w:val="6B3500F9"/>
    <w:rsid w:val="6B399AA6"/>
    <w:rsid w:val="6B85B5F0"/>
    <w:rsid w:val="6B95EC6D"/>
    <w:rsid w:val="6B9BD2BB"/>
    <w:rsid w:val="6BB40039"/>
    <w:rsid w:val="6BBCE397"/>
    <w:rsid w:val="6BC283FF"/>
    <w:rsid w:val="6BCB7BC8"/>
    <w:rsid w:val="6BD1AED0"/>
    <w:rsid w:val="6BE7CF1A"/>
    <w:rsid w:val="6C1E0E03"/>
    <w:rsid w:val="6C361337"/>
    <w:rsid w:val="6C79BC3E"/>
    <w:rsid w:val="6C7FC3BC"/>
    <w:rsid w:val="6C993AF1"/>
    <w:rsid w:val="6CD8AE1E"/>
    <w:rsid w:val="6CDA4677"/>
    <w:rsid w:val="6D233A73"/>
    <w:rsid w:val="6D343C8F"/>
    <w:rsid w:val="6D5BC013"/>
    <w:rsid w:val="6DBBDF91"/>
    <w:rsid w:val="6DBD86AB"/>
    <w:rsid w:val="6DC6F4FC"/>
    <w:rsid w:val="6DF08E3E"/>
    <w:rsid w:val="6E01760B"/>
    <w:rsid w:val="6E3F2A79"/>
    <w:rsid w:val="6E6BCD7C"/>
    <w:rsid w:val="6E83B34E"/>
    <w:rsid w:val="6E9C7E26"/>
    <w:rsid w:val="6E9F14DB"/>
    <w:rsid w:val="6EAEAA86"/>
    <w:rsid w:val="6EC94B1B"/>
    <w:rsid w:val="6F02A42D"/>
    <w:rsid w:val="6F07785C"/>
    <w:rsid w:val="6F35013E"/>
    <w:rsid w:val="6F6242E4"/>
    <w:rsid w:val="6F68F6E2"/>
    <w:rsid w:val="6F83012D"/>
    <w:rsid w:val="6F8625CD"/>
    <w:rsid w:val="6F944427"/>
    <w:rsid w:val="6F9A7557"/>
    <w:rsid w:val="6FC3E2E7"/>
    <w:rsid w:val="70145EA6"/>
    <w:rsid w:val="70294E57"/>
    <w:rsid w:val="702D07D4"/>
    <w:rsid w:val="70431387"/>
    <w:rsid w:val="7069A7D4"/>
    <w:rsid w:val="707A3878"/>
    <w:rsid w:val="70854D2C"/>
    <w:rsid w:val="7097279E"/>
    <w:rsid w:val="70A1F1EE"/>
    <w:rsid w:val="70BB8C44"/>
    <w:rsid w:val="7104C743"/>
    <w:rsid w:val="710AB78A"/>
    <w:rsid w:val="7116BE32"/>
    <w:rsid w:val="714011B2"/>
    <w:rsid w:val="7154E986"/>
    <w:rsid w:val="7197B992"/>
    <w:rsid w:val="71BA323D"/>
    <w:rsid w:val="71C8D835"/>
    <w:rsid w:val="71CA039C"/>
    <w:rsid w:val="71E21E8E"/>
    <w:rsid w:val="71E2E534"/>
    <w:rsid w:val="721520B1"/>
    <w:rsid w:val="7217A2DA"/>
    <w:rsid w:val="7232F7FF"/>
    <w:rsid w:val="7260D633"/>
    <w:rsid w:val="7261CA8B"/>
    <w:rsid w:val="72980570"/>
    <w:rsid w:val="72E3BEB6"/>
    <w:rsid w:val="72F1918E"/>
    <w:rsid w:val="73252514"/>
    <w:rsid w:val="733C7D3A"/>
    <w:rsid w:val="735EF1C7"/>
    <w:rsid w:val="73702C89"/>
    <w:rsid w:val="737285FE"/>
    <w:rsid w:val="73A0197C"/>
    <w:rsid w:val="73D168DF"/>
    <w:rsid w:val="73EC6C12"/>
    <w:rsid w:val="73F2E100"/>
    <w:rsid w:val="73FBFA5C"/>
    <w:rsid w:val="740D56FE"/>
    <w:rsid w:val="74293E5C"/>
    <w:rsid w:val="747A70FD"/>
    <w:rsid w:val="7484CE23"/>
    <w:rsid w:val="7495BB8A"/>
    <w:rsid w:val="7514F193"/>
    <w:rsid w:val="752ABB19"/>
    <w:rsid w:val="7541DB54"/>
    <w:rsid w:val="7592946F"/>
    <w:rsid w:val="75C6FD8F"/>
    <w:rsid w:val="75D83866"/>
    <w:rsid w:val="76174C1E"/>
    <w:rsid w:val="762AF7A4"/>
    <w:rsid w:val="763C9099"/>
    <w:rsid w:val="7648BDE0"/>
    <w:rsid w:val="765A94EB"/>
    <w:rsid w:val="765E45FC"/>
    <w:rsid w:val="767FA126"/>
    <w:rsid w:val="7687C1CE"/>
    <w:rsid w:val="7689281D"/>
    <w:rsid w:val="76C0FE48"/>
    <w:rsid w:val="76C83875"/>
    <w:rsid w:val="76CE6C26"/>
    <w:rsid w:val="76E0B3FA"/>
    <w:rsid w:val="76EEC091"/>
    <w:rsid w:val="76FD1865"/>
    <w:rsid w:val="772074BF"/>
    <w:rsid w:val="7722711E"/>
    <w:rsid w:val="7741EDF0"/>
    <w:rsid w:val="7749A593"/>
    <w:rsid w:val="775304B3"/>
    <w:rsid w:val="77592419"/>
    <w:rsid w:val="77901DB4"/>
    <w:rsid w:val="77CC34E9"/>
    <w:rsid w:val="77CC797A"/>
    <w:rsid w:val="7845F721"/>
    <w:rsid w:val="78A6C0F4"/>
    <w:rsid w:val="78AE2815"/>
    <w:rsid w:val="78C247FC"/>
    <w:rsid w:val="78D58DEF"/>
    <w:rsid w:val="78D685F3"/>
    <w:rsid w:val="78FE9410"/>
    <w:rsid w:val="790783DD"/>
    <w:rsid w:val="790990DE"/>
    <w:rsid w:val="791F0EA9"/>
    <w:rsid w:val="792D090C"/>
    <w:rsid w:val="792E552A"/>
    <w:rsid w:val="795144B9"/>
    <w:rsid w:val="79598167"/>
    <w:rsid w:val="79B79B71"/>
    <w:rsid w:val="79CFA677"/>
    <w:rsid w:val="79DD0307"/>
    <w:rsid w:val="79E1C782"/>
    <w:rsid w:val="7A0A0DAF"/>
    <w:rsid w:val="7A37A8A8"/>
    <w:rsid w:val="7A3CF68E"/>
    <w:rsid w:val="7A712BD0"/>
    <w:rsid w:val="7AAEDA23"/>
    <w:rsid w:val="7AC6D0B6"/>
    <w:rsid w:val="7AD58A75"/>
    <w:rsid w:val="7B0D1864"/>
    <w:rsid w:val="7B0D7472"/>
    <w:rsid w:val="7B6E107F"/>
    <w:rsid w:val="7B74B70C"/>
    <w:rsid w:val="7B86441F"/>
    <w:rsid w:val="7B96C040"/>
    <w:rsid w:val="7B9A7035"/>
    <w:rsid w:val="7BA2E051"/>
    <w:rsid w:val="7BC7FFD3"/>
    <w:rsid w:val="7BD52578"/>
    <w:rsid w:val="7BE675E9"/>
    <w:rsid w:val="7C070C41"/>
    <w:rsid w:val="7C291A4C"/>
    <w:rsid w:val="7C4B8078"/>
    <w:rsid w:val="7C5557B7"/>
    <w:rsid w:val="7C607449"/>
    <w:rsid w:val="7CA74472"/>
    <w:rsid w:val="7CC1A71B"/>
    <w:rsid w:val="7CF2904B"/>
    <w:rsid w:val="7D093DB8"/>
    <w:rsid w:val="7D0E3B55"/>
    <w:rsid w:val="7D3C038D"/>
    <w:rsid w:val="7D55E127"/>
    <w:rsid w:val="7D58A650"/>
    <w:rsid w:val="7D9A0F4C"/>
    <w:rsid w:val="7DD97ECF"/>
    <w:rsid w:val="7E19E487"/>
    <w:rsid w:val="7E327957"/>
    <w:rsid w:val="7E34073A"/>
    <w:rsid w:val="7E422ABF"/>
    <w:rsid w:val="7E6E45CA"/>
    <w:rsid w:val="7E80CE57"/>
    <w:rsid w:val="7E85E248"/>
    <w:rsid w:val="7E9A0399"/>
    <w:rsid w:val="7EACAA0A"/>
    <w:rsid w:val="7ED1F355"/>
    <w:rsid w:val="7EDA1528"/>
    <w:rsid w:val="7EEF9BD6"/>
    <w:rsid w:val="7F078D20"/>
    <w:rsid w:val="7F0CC63A"/>
    <w:rsid w:val="7F0CF810"/>
    <w:rsid w:val="7F2CC2D3"/>
    <w:rsid w:val="7F5F8BF3"/>
    <w:rsid w:val="7F6E73A0"/>
    <w:rsid w:val="7F817699"/>
    <w:rsid w:val="7F94021B"/>
    <w:rsid w:val="7FB9211A"/>
    <w:rsid w:val="7FC780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sam.gov/"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about-us-office-of-the-procurement-executive/" TargetMode="External"/><Relationship Id="rId21" Type="http://schemas.openxmlformats.org/officeDocument/2006/relationships/hyperlink" Target="https://eportal.nspa.nato.int/AC135Public/Docs/US%20Instructions%20for%20NSPA%20NCAGE.pdf" TargetMode="External"/><Relationship Id="rId34" Type="http://schemas.openxmlformats.org/officeDocument/2006/relationships/hyperlink" Target="https://afsitsm.service-now.com/ilms/home" TargetMode="External"/><Relationship Id="rId42" Type="http://schemas.openxmlformats.org/officeDocument/2006/relationships/hyperlink" Target="https://www.ecfr.gov/cgi-bin/text-idx?SID=81a5f41de81c46a9844617d93a9db081&amp;mc=true&amp;node=pt2.1.175&amp;rgn=div5" TargetMode="External"/><Relationship Id="rId47" Type="http://schemas.openxmlformats.org/officeDocument/2006/relationships/hyperlink" Target="https://www.ecfr.gov/cgi-bin/retrieveECFR?gp=&amp;SID=027fb85899500d580fc71df69d11573a&amp;mc=true&amp;n=pt2.1.200&amp;r=PART&amp;ty=HTML%20-%20ap2.1.200_1521.i" TargetMode="External"/><Relationship Id="rId50" Type="http://schemas.openxmlformats.org/officeDocument/2006/relationships/hyperlink" Target="https://afsitsm.service-now.com/ilms/home" TargetMode="External"/><Relationship Id="rId55" Type="http://schemas.openxmlformats.org/officeDocument/2006/relationships/hyperlink" Target="mailto:kfaulhaber@usaid.gov" TargetMode="External"/><Relationship Id="rId63" Type="http://schemas.openxmlformats.org/officeDocument/2006/relationships/hyperlink" Target="mailto:kfaulhaber@usaid.gov" TargetMode="External"/><Relationship Id="rId68" Type="http://schemas.openxmlformats.org/officeDocument/2006/relationships/footer" Target="footer2.xml"/><Relationship Id="rId7" Type="http://schemas.openxmlformats.org/officeDocument/2006/relationships/styles" Target="styles.xml"/><Relationship Id="rId71"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www.sam.gov/SAM/" TargetMode="External"/><Relationship Id="rId29" Type="http://schemas.openxmlformats.org/officeDocument/2006/relationships/hyperlink" Target="https://www.govinfo.gov/content/pkg/USCODE-2017-title22/html/USCODE-2017-title22-chap32-subchapIII-partI-sec2378d.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rants.gov/"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ecfr.gov/cgi-bin/text-idx?SID=81a5f41de81c46a9844617d93a9db081&amp;mc=true&amp;node=pt2.1.25&amp;rgn=div5" TargetMode="External"/><Relationship Id="rId45" Type="http://schemas.openxmlformats.org/officeDocument/2006/relationships/hyperlink" Target="https://www.ecfr.gov/cgi-bin/text-idx?SID=81a5f41de81c46a9844617d93a9db081&amp;mc=true&amp;tpl=/ecfrbrowse/Title02/2chapterVI.tpl" TargetMode="External"/><Relationship Id="rId53" Type="http://schemas.openxmlformats.org/officeDocument/2006/relationships/hyperlink" Target="mailto:kfaulhaber@usaid.gov" TargetMode="External"/><Relationship Id="rId58" Type="http://schemas.openxmlformats.org/officeDocument/2006/relationships/hyperlink" Target="mailto:kfaulhaber@usaid.gov" TargetMode="External"/><Relationship Id="rId66"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mygrants.service-now.com/grants/portal_login.do" TargetMode="External"/><Relationship Id="rId23" Type="http://schemas.openxmlformats.org/officeDocument/2006/relationships/hyperlink" Target="http://www.sam.gov/" TargetMode="External"/><Relationship Id="rId28" Type="http://schemas.openxmlformats.org/officeDocument/2006/relationships/hyperlink" Target="https://www.state.gov/foreign-terrorist-organizations/." TargetMode="External"/><Relationship Id="rId36" Type="http://schemas.openxmlformats.org/officeDocument/2006/relationships/hyperlink" Target="mailto:support@grants.gov" TargetMode="External"/><Relationship Id="rId49" Type="http://schemas.openxmlformats.org/officeDocument/2006/relationships/hyperlink" Target="mailto:HallEE@state.gov" TargetMode="External"/><Relationship Id="rId57" Type="http://schemas.openxmlformats.org/officeDocument/2006/relationships/hyperlink" Target="mailto:kfaulhaber@usaid.gov" TargetMode="External"/><Relationship Id="rId61" Type="http://schemas.openxmlformats.org/officeDocument/2006/relationships/hyperlink" Target="mailto:kfaulhaber@usaid.gov" TargetMode="External"/><Relationship Id="rId10" Type="http://schemas.openxmlformats.org/officeDocument/2006/relationships/footnotes" Target="footnotes.xml"/><Relationship Id="rId19" Type="http://schemas.openxmlformats.org/officeDocument/2006/relationships/hyperlink" Target="http://fedgov.dnb.com/webform"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https://www.ecfr.gov/cgi-bin/text-idx?SID=81a5f41de81c46a9844617d93a9db081&amp;mc=true&amp;node=pt2.1.183&amp;rgn=div5" TargetMode="External"/><Relationship Id="rId52" Type="http://schemas.openxmlformats.org/officeDocument/2006/relationships/hyperlink" Target="https://www.opm.gov/policy-data-oversight/pay-leave/federal-holidays/" TargetMode="External"/><Relationship Id="rId60" Type="http://schemas.openxmlformats.org/officeDocument/2006/relationships/hyperlink" Target="mailto:kfaulhaber@usaid.gov" TargetMode="External"/><Relationship Id="rId65" Type="http://schemas.openxmlformats.org/officeDocument/2006/relationships/hyperlink" Target="http://www.ghgprotocol.org/policy-and-action-standard"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2" Type="http://schemas.openxmlformats.org/officeDocument/2006/relationships/hyperlink" Target="mailto:NCAGE@dlis.dla.mil"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www.ecfr.gov/cgi-bin/text-idx?SID=81a5f41de81c46a9844617d93a9db081&amp;mc=true&amp;node=pt2.1.182&amp;rgn=div5" TargetMode="External"/><Relationship Id="rId48" Type="http://schemas.openxmlformats.org/officeDocument/2006/relationships/hyperlink" Target="mailto:KandyDD@state.gov" TargetMode="External"/><Relationship Id="rId56" Type="http://schemas.openxmlformats.org/officeDocument/2006/relationships/hyperlink" Target="mailto:kfaulhaber@usaid.gov" TargetMode="External"/><Relationship Id="rId64" Type="http://schemas.openxmlformats.org/officeDocument/2006/relationships/hyperlink" Target="mailto:kfaulhaber@usaid.gov" TargetMode="External"/><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mailto:support@grants.gov" TargetMode="External"/><Relationship Id="rId3" Type="http://schemas.openxmlformats.org/officeDocument/2006/relationships/customXml" Target="../customXml/item3.xml"/><Relationship Id="rId12" Type="http://schemas.openxmlformats.org/officeDocument/2006/relationships/hyperlink" Target="https://sam.gov" TargetMode="External"/><Relationship Id="rId17" Type="http://schemas.openxmlformats.org/officeDocument/2006/relationships/hyperlink" Target="https://www.sam.gov/"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https://www.ecfr.gov/cgi-bin/text-idx?SID=81a5f41de81c46a9844617d93a9db081&amp;mc=true&amp;node=pt2.1.200&amp;rgn=div5" TargetMode="External"/><Relationship Id="rId59" Type="http://schemas.openxmlformats.org/officeDocument/2006/relationships/hyperlink" Target="mailto:kfaulhaber@usaid.gov" TargetMode="External"/><Relationship Id="rId67" Type="http://schemas.openxmlformats.org/officeDocument/2006/relationships/footer" Target="footer1.xml"/><Relationship Id="rId20" Type="http://schemas.openxmlformats.org/officeDocument/2006/relationships/hyperlink" Target="https://eportal.nspa.nato.int/AC135Public/scage/CageList.aspx" TargetMode="External"/><Relationship Id="rId41" Type="http://schemas.openxmlformats.org/officeDocument/2006/relationships/hyperlink" Target="https://www.ecfr.gov/cgi-bin/text-idx?SID=81a5f41de81c46a9844617d93a9db081&amp;mc=true&amp;node=pt2.1.170&amp;rgn=div5" TargetMode="External"/><Relationship Id="rId54" Type="http://schemas.openxmlformats.org/officeDocument/2006/relationships/hyperlink" Target="mailto:kfaulhaber@usaid.gov" TargetMode="External"/><Relationship Id="rId62" Type="http://schemas.openxmlformats.org/officeDocument/2006/relationships/hyperlink" Target="mailto:kfaulhaber@usaid.gov" TargetMode="External"/><Relationship Id="rId7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A861E30-9A7D-4735-9374-E29ABFEBC303}">
    <t:Anchor>
      <t:Comment id="1936552253"/>
    </t:Anchor>
    <t:History>
      <t:Event id="{913DE593-4021-4DBB-A698-A323FD603388}" time="2022-03-04T22:11:46.929Z">
        <t:Attribution userId="S::gallantmd@state.gov::df6b3b0b-bed4-4e4d-b2c8-1e037cd2f907" userProvider="AD" userName="Gallant, Melissa D"/>
        <t:Anchor>
          <t:Comment id="1936552253"/>
        </t:Anchor>
        <t:Create/>
      </t:Event>
      <t:Event id="{2F82B027-1B74-4177-B174-E9B2EBB52F30}" time="2022-03-04T22:11:46.929Z">
        <t:Attribution userId="S::gallantmd@state.gov::df6b3b0b-bed4-4e4d-b2c8-1e037cd2f907" userProvider="AD" userName="Gallant, Melissa D"/>
        <t:Anchor>
          <t:Comment id="1936552253"/>
        </t:Anchor>
        <t:Assign userId="S::KandyDD@state.gov::7f5cddbb-fa17-4e79-affd-172af046f697" userProvider="AD" userName="Kandy, Daniel D"/>
      </t:Event>
      <t:Event id="{A02D93D2-003C-42A6-AE06-AF69CA28688A}" time="2022-03-04T22:11:46.929Z">
        <t:Attribution userId="S::gallantmd@state.gov::df6b3b0b-bed4-4e4d-b2c8-1e037cd2f907" userProvider="AD" userName="Gallant, Melissa D"/>
        <t:Anchor>
          <t:Comment id="1936552253"/>
        </t:Anchor>
        <t:SetTitle title="@Kandy, Daniel D how is this different from bullet #3 above? Would it make sense to combine?"/>
      </t:Event>
    </t:History>
  </t:Task>
  <t:Task id="{F7D14CCA-59AD-40A5-94E6-6F7BF2E8E532}">
    <t:Anchor>
      <t:Comment id="1633757192"/>
    </t:Anchor>
    <t:History>
      <t:Event id="{53A9A60A-B6A7-4AB5-BA75-075756DDA68E}" time="2022-03-22T16:35:28.435Z">
        <t:Attribution userId="S::grosmanjl@state.gov::e8b14a90-4976-4ad6-905a-e97fc62bca7e" userProvider="AD" userName="Grosman, Jennifer L"/>
        <t:Anchor>
          <t:Comment id="1332476259"/>
        </t:Anchor>
        <t:Create/>
      </t:Event>
      <t:Event id="{A6DB3A97-2F25-4BE0-8B3E-392529C51B92}" time="2022-03-22T16:35:28.435Z">
        <t:Attribution userId="S::grosmanjl@state.gov::e8b14a90-4976-4ad6-905a-e97fc62bca7e" userProvider="AD" userName="Grosman, Jennifer L"/>
        <t:Anchor>
          <t:Comment id="1332476259"/>
        </t:Anchor>
        <t:Assign userId="S::HallEE@state.gov::df598841-9d1e-45b5-8d35-0430fde38ef1" userProvider="AD" userName="Hall, Emily E"/>
      </t:Event>
      <t:Event id="{BDE2CF64-25DA-4439-AB04-6DD94C838FE6}" time="2022-03-22T16:35:28.435Z">
        <t:Attribution userId="S::grosmanjl@state.gov::e8b14a90-4976-4ad6-905a-e97fc62bca7e" userProvider="AD" userName="Grosman, Jennifer L"/>
        <t:Anchor>
          <t:Comment id="1332476259"/>
        </t:Anchor>
        <t:SetTitle title="@Hall, Emily E is it possible to include the PMP as a separate docume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c15240b-8e34-4c8d-9d23-714e089c20f4"/>
    <ds:schemaRef ds:uri="fe8160cf-c721-4d0d-b534-4ec383ad3864"/>
  </ds:schemaRefs>
</ds:datastoreItem>
</file>

<file path=customXml/itemProps3.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4.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34</Pages>
  <Words>14211</Words>
  <Characters>81009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95030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Hall, Emily E</cp:lastModifiedBy>
  <cp:revision>7</cp:revision>
  <cp:lastPrinted>2018-11-19T16:01:00Z</cp:lastPrinted>
  <dcterms:created xsi:type="dcterms:W3CDTF">2022-03-29T14:30:00Z</dcterms:created>
  <dcterms:modified xsi:type="dcterms:W3CDTF">2022-04-05T13:01:00Z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0x0101009392B19AB24F2B46B66F0941967D5877</vt:lpwstr>
  </property>
  <property fmtid="{D5CDD505-2E9C-101B-9397-08002B2CF9AE}" pid="3" name="_dlc_DocIdItemGuid">
    <vt:lpwstr>4fc4da1a-2aca-4abd-9927-cbc6d2b8d510</vt:lpwstr>
  </property>
  <property fmtid="{D5CDD505-2E9C-101B-9397-08002B2CF9AE}" pid="4" name="MSIP_Label_64935d9c-5008-41b6-b673-5260c05a41c9_Enabled">
    <vt:lpwstr>true</vt:lpwstr>
  </property>
  <property fmtid="{D5CDD505-2E9C-101B-9397-08002B2CF9AE}" pid="5" name="MSIP_Label_64935d9c-5008-41b6-b673-5260c05a41c9_SetDate">
    <vt:lpwstr>2022-03-30T18:10:46Z</vt:lpwstr>
  </property>
  <property fmtid="{D5CDD505-2E9C-101B-9397-08002B2CF9AE}" pid="6" name="MSIP_Label_64935d9c-5008-41b6-b673-5260c05a41c9_Method">
    <vt:lpwstr>Privileged</vt:lpwstr>
  </property>
  <property fmtid="{D5CDD505-2E9C-101B-9397-08002B2CF9AE}" pid="7" name="MSIP_Label_64935d9c-5008-41b6-b673-5260c05a41c9_Name">
    <vt:lpwstr>64935d9c-5008-41b6-b673-5260c05a41c9</vt:lpwstr>
  </property>
  <property fmtid="{D5CDD505-2E9C-101B-9397-08002B2CF9AE}" pid="8" name="MSIP_Label_64935d9c-5008-41b6-b673-5260c05a41c9_SiteId">
    <vt:lpwstr>66cf5074-5afe-48d1-a691-a12b2121f44b</vt:lpwstr>
  </property>
  <property fmtid="{D5CDD505-2E9C-101B-9397-08002B2CF9AE}" pid="9" name="MSIP_Label_64935d9c-5008-41b6-b673-5260c05a41c9_ActionId">
    <vt:lpwstr>ce973c8b-0bca-4f76-b444-715bca3f7e95</vt:lpwstr>
  </property>
  <property fmtid="{D5CDD505-2E9C-101B-9397-08002B2CF9AE}" pid="10" name="MSIP_Label_64935d9c-5008-41b6-b673-5260c05a41c9_ContentBits">
    <vt:lpwstr>2</vt:lpwstr>
  </property>
</Properties>
</file>