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9 -->
  <w:body>
    <w:p w14:paraId="4B554F3E" w14:textId="77777777">
      <w:pPr>
        <w:pStyle w:val="div"/>
        <w:jc w:val="center"/>
        <w:rPr>
          <w:color w:val="auto"/>
          <w:szCs w:val="24"/>
        </w:rPr>
      </w:pPr>
      <w:r>
        <w:rPr>
          <w:b/>
          <w:bCs/>
          <w:color w:val="auto"/>
          <w:sz w:val="27"/>
          <w:szCs w:val="27"/>
        </w:rPr>
        <w:t>Bureau of Ocean Energy Management</w:t>
      </w:r>
      <w:r>
        <w:rPr>
          <w:b/>
          <w:bCs/>
          <w:color w:val="auto"/>
          <w:sz w:val="27"/>
          <w:szCs w:val="27"/>
        </w:rPr>
        <w:br/>
      </w:r>
      <w:r>
        <w:rPr>
          <w:b/>
          <w:bCs/>
          <w:color w:val="auto"/>
          <w:sz w:val="27"/>
          <w:szCs w:val="27"/>
        </w:rPr>
        <w:br/>
      </w:r>
      <w:r>
        <w:rPr>
          <w:rFonts w:ascii="Times" w:eastAsia="Times" w:hAnsi="Times" w:cs="Times"/>
          <w:b w:val="0"/>
          <w:bCs w:val="0"/>
          <w:color w:val="auto"/>
        </w:rPr>
        <w:t xml:space="preserve">BOEM - Acquisition Policy and Financial Assistance </w:t>
      </w:r>
      <w:r>
        <w:rPr>
          <w:rFonts w:ascii="Times" w:eastAsia="Times" w:hAnsi="Times" w:cs="Times"/>
          <w:b w:val="0"/>
          <w:bCs w:val="0"/>
          <w:color w:val="auto"/>
        </w:rPr>
        <w:br/>
      </w:r>
      <w:r>
        <w:rPr>
          <w:rFonts w:ascii="Times" w:eastAsia="Times" w:hAnsi="Times" w:cs="Times"/>
          <w:b w:val="0"/>
          <w:bCs w:val="0"/>
          <w:color w:val="auto"/>
        </w:rPr>
        <w:br/>
      </w:r>
      <w:r>
        <w:rPr>
          <w:rFonts w:ascii="Times" w:eastAsia="Times" w:hAnsi="Times" w:cs="Times"/>
          <w:b w:val="0"/>
          <w:bCs w:val="0"/>
          <w:color w:val="auto"/>
        </w:rPr>
        <w:t>2023</w:t>
      </w:r>
      <w:r>
        <w:rPr>
          <w:rFonts w:ascii="Times" w:eastAsia="Times" w:hAnsi="Times" w:cs="Times"/>
          <w:b w:val="0"/>
          <w:bCs w:val="0"/>
          <w:color w:val="auto"/>
        </w:rPr>
        <w:br/>
      </w:r>
      <w:r>
        <w:rPr>
          <w:rFonts w:ascii="Times" w:eastAsia="Times" w:hAnsi="Times" w:cs="Times"/>
          <w:b w:val="0"/>
          <w:bCs w:val="0"/>
          <w:color w:val="auto"/>
        </w:rPr>
        <w:t>M23AS00350</w:t>
      </w:r>
      <w:r>
        <w:rPr>
          <w:rFonts w:ascii="Times" w:eastAsia="Times" w:hAnsi="Times" w:cs="Times"/>
          <w:b w:val="0"/>
          <w:bCs w:val="0"/>
          <w:color w:val="auto"/>
        </w:rPr>
        <w:br/>
      </w:r>
      <w:r>
        <w:rPr>
          <w:rFonts w:ascii="Times" w:eastAsia="Times" w:hAnsi="Times" w:cs="Times"/>
          <w:b w:val="0"/>
          <w:bCs w:val="0"/>
          <w:color w:val="auto"/>
        </w:rPr>
        <w:t>06/26/2023</w:t>
      </w:r>
    </w:p>
    <w:p w:rsidR="007C1BCB" w:rsidRPr="00470374" w:rsidP="00470374">
      <w:pPr>
        <w:sectPr w:rsidSect="00F5197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Pr>
    </w:p>
    <w:p w:rsidP="00470374">
      <w:pPr>
        <w:pStyle w:val="MainHeading"/>
        <w:keepLines w:val="0"/>
        <w:spacing w:before="200" w:after="80"/>
        <w:ind w:left="0"/>
        <w:jc w:val="left"/>
        <w:rPr>
          <w:rFonts w:ascii="Times New Roman" w:eastAsia="Times New Roman" w:hAnsi="Times New Roman" w:cs="Times New Roman"/>
          <w:b/>
          <w:color w:val="000000"/>
          <w:sz w:val="32"/>
        </w:rPr>
      </w:pPr>
      <w:r>
        <w:rPr>
          <w:rFonts w:ascii="Times New Roman" w:eastAsia="Times New Roman" w:hAnsi="Times New Roman" w:cs="Times New Roman"/>
          <w:b/>
          <w:color w:val="000000"/>
          <w:sz w:val="32"/>
        </w:rPr>
        <w:t>Table of Contents</w:t>
      </w:r>
    </w:p>
    <w:p>
      <w:pPr>
        <w:pStyle w:val="TOC1"/>
        <w:tabs>
          <w:tab w:val="right" w:leader="dot" w:pos="9350"/>
        </w:tabs>
        <w:rPr>
          <w:rFonts w:asciiTheme="minorHAnsi" w:hAnsiTheme="minorHAnsi"/>
          <w:noProof/>
          <w:sz w:val="22"/>
        </w:rPr>
      </w:pPr>
      <w:r>
        <w:rPr>
          <w:rFonts w:ascii="Times New Roman" w:eastAsia="Times New Roman" w:hAnsi="Times New Roman" w:cs="Times New Roman"/>
          <w:b/>
          <w:color w:val="000000"/>
          <w:sz w:val="32"/>
        </w:rPr>
        <w:fldChar w:fldCharType="begin"/>
      </w:r>
      <w:r>
        <w:rPr>
          <w:rFonts w:ascii="Times New Roman" w:eastAsia="Times New Roman" w:hAnsi="Times New Roman" w:cs="Times New Roman"/>
          <w:b/>
          <w:color w:val="000000"/>
          <w:sz w:val="32"/>
        </w:rPr>
        <w:instrText>TOC \o "1-2" \h \z \u</w:instrText>
      </w:r>
      <w:r>
        <w:rPr>
          <w:rFonts w:ascii="Times New Roman" w:eastAsia="Times New Roman" w:hAnsi="Times New Roman" w:cs="Times New Roman"/>
          <w:b/>
          <w:color w:val="000000"/>
          <w:sz w:val="32"/>
        </w:rPr>
        <w:fldChar w:fldCharType="separate"/>
      </w:r>
      <w:hyperlink w:anchor="_Toc256000000" w:history="1">
        <w:r>
          <w:rPr>
            <w:rStyle w:val="Hyperlink"/>
            <w:kern w:val="0"/>
            <w:shd w:val="clear" w:color="auto" w:fill="auto"/>
          </w:rPr>
          <w:t>A. Program Description</w:t>
        </w:r>
        <w:r>
          <w:tab/>
        </w:r>
        <w:r>
          <w:fldChar w:fldCharType="begin"/>
        </w:r>
        <w:r>
          <w:instrText xml:space="preserve"> PAGEREF _Toc256000000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01" w:history="1">
        <w:r>
          <w:rPr>
            <w:rStyle w:val="Hyperlink"/>
            <w:shd w:val="clear" w:color="auto" w:fill="auto"/>
          </w:rPr>
          <w:t>A1. Authority</w:t>
        </w:r>
        <w:r>
          <w:tab/>
        </w:r>
        <w:r>
          <w:fldChar w:fldCharType="begin"/>
        </w:r>
        <w:r>
          <w:instrText xml:space="preserve"> PAGEREF _Toc256000001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02" w:history="1">
        <w:r>
          <w:rPr>
            <w:rStyle w:val="Hyperlink"/>
            <w:shd w:val="clear" w:color="auto" w:fill="auto"/>
          </w:rPr>
          <w:t>A2. Background, Purpose and Program Requirements</w:t>
        </w:r>
        <w:r>
          <w:tab/>
        </w:r>
        <w:r>
          <w:fldChar w:fldCharType="begin"/>
        </w:r>
        <w:r>
          <w:instrText xml:space="preserve"> PAGEREF _Toc256000002 \h </w:instrText>
        </w:r>
        <w:r>
          <w:fldChar w:fldCharType="separate"/>
        </w:r>
        <w:r>
          <w:t>2</w:t>
        </w:r>
        <w:r>
          <w:fldChar w:fldCharType="end"/>
        </w:r>
      </w:hyperlink>
    </w:p>
    <w:p>
      <w:pPr>
        <w:pStyle w:val="TOC2"/>
        <w:tabs>
          <w:tab w:val="right" w:leader="dot" w:pos="9350"/>
        </w:tabs>
        <w:rPr>
          <w:rFonts w:asciiTheme="minorHAnsi" w:hAnsiTheme="minorHAnsi"/>
          <w:noProof/>
          <w:sz w:val="22"/>
        </w:rPr>
      </w:pPr>
      <w:hyperlink w:anchor="_Toc256000003" w:history="1">
        <w:r>
          <w:rPr>
            <w:rStyle w:val="Hyperlink"/>
            <w:shd w:val="clear" w:color="auto" w:fill="auto"/>
          </w:rPr>
          <w:t>A3. Technical Assistance and Information for Prospective Applicants</w:t>
        </w:r>
        <w:r>
          <w:tab/>
        </w:r>
        <w:r>
          <w:fldChar w:fldCharType="begin"/>
        </w:r>
        <w:r>
          <w:instrText xml:space="preserve"> PAGEREF _Toc256000003 \h </w:instrText>
        </w:r>
        <w:r>
          <w:fldChar w:fldCharType="separate"/>
        </w:r>
        <w:r>
          <w:t>3</w:t>
        </w:r>
        <w:r>
          <w:fldChar w:fldCharType="end"/>
        </w:r>
      </w:hyperlink>
    </w:p>
    <w:p>
      <w:pPr>
        <w:pStyle w:val="TOC1"/>
        <w:tabs>
          <w:tab w:val="right" w:leader="dot" w:pos="9350"/>
        </w:tabs>
        <w:rPr>
          <w:rFonts w:asciiTheme="minorHAnsi" w:hAnsiTheme="minorHAnsi"/>
          <w:noProof/>
          <w:sz w:val="22"/>
        </w:rPr>
      </w:pPr>
      <w:hyperlink w:anchor="_Toc256000004" w:history="1">
        <w:r>
          <w:rPr>
            <w:rStyle w:val="Hyperlink"/>
            <w:kern w:val="0"/>
            <w:shd w:val="clear" w:color="auto" w:fill="auto"/>
          </w:rPr>
          <w:t>B. Federal Award Information</w:t>
        </w:r>
        <w:r>
          <w:tab/>
        </w:r>
        <w:r>
          <w:fldChar w:fldCharType="begin"/>
        </w:r>
        <w:r>
          <w:instrText xml:space="preserve"> PAGEREF _Toc256000004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05" w:history="1">
        <w:r>
          <w:rPr>
            <w:rStyle w:val="Hyperlink"/>
            <w:shd w:val="clear" w:color="auto" w:fill="auto"/>
          </w:rPr>
          <w:t>B1. Total Funding</w:t>
        </w:r>
        <w:r>
          <w:tab/>
        </w:r>
        <w:r>
          <w:fldChar w:fldCharType="begin"/>
        </w:r>
        <w:r>
          <w:instrText xml:space="preserve"> PAGEREF _Toc256000005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06" w:history="1">
        <w:r>
          <w:rPr>
            <w:rStyle w:val="Hyperlink"/>
            <w:shd w:val="clear" w:color="auto" w:fill="auto"/>
          </w:rPr>
          <w:t>B2. Expected Award Amount</w:t>
        </w:r>
        <w:r>
          <w:tab/>
        </w:r>
        <w:r>
          <w:fldChar w:fldCharType="begin"/>
        </w:r>
        <w:r>
          <w:instrText xml:space="preserve"> PAGEREF _Toc256000006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07" w:history="1">
        <w:r>
          <w:rPr>
            <w:rStyle w:val="Hyperlink"/>
            <w:shd w:val="clear" w:color="auto" w:fill="auto"/>
          </w:rPr>
          <w:t>B3. Anticipated Dates</w:t>
        </w:r>
        <w:r>
          <w:tab/>
        </w:r>
        <w:r>
          <w:fldChar w:fldCharType="begin"/>
        </w:r>
        <w:r>
          <w:instrText xml:space="preserve"> PAGEREF _Toc256000007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08" w:history="1">
        <w:r>
          <w:rPr>
            <w:rStyle w:val="Hyperlink"/>
            <w:shd w:val="clear" w:color="auto" w:fill="auto"/>
          </w:rPr>
          <w:t>B4. Period of Performance</w:t>
        </w:r>
        <w:r>
          <w:tab/>
        </w:r>
        <w:r>
          <w:fldChar w:fldCharType="begin"/>
        </w:r>
        <w:r>
          <w:instrText xml:space="preserve"> PAGEREF _Toc256000008 \h </w:instrText>
        </w:r>
        <w:r>
          <w:fldChar w:fldCharType="separate"/>
        </w:r>
        <w:r>
          <w:t>3</w:t>
        </w:r>
        <w:r>
          <w:fldChar w:fldCharType="end"/>
        </w:r>
      </w:hyperlink>
    </w:p>
    <w:p>
      <w:pPr>
        <w:pStyle w:val="TOC2"/>
        <w:tabs>
          <w:tab w:val="right" w:leader="dot" w:pos="9350"/>
        </w:tabs>
        <w:rPr>
          <w:rFonts w:asciiTheme="minorHAnsi" w:hAnsiTheme="minorHAnsi"/>
          <w:noProof/>
          <w:sz w:val="22"/>
        </w:rPr>
      </w:pPr>
      <w:hyperlink w:anchor="_Toc256000009" w:history="1">
        <w:r>
          <w:rPr>
            <w:rStyle w:val="Hyperlink"/>
            <w:shd w:val="clear" w:color="auto" w:fill="auto"/>
          </w:rPr>
          <w:t>B5. Numbers of Awards</w:t>
        </w:r>
        <w:r>
          <w:tab/>
        </w:r>
        <w:r>
          <w:fldChar w:fldCharType="begin"/>
        </w:r>
        <w:r>
          <w:instrText xml:space="preserve"> PAGEREF _Toc256000009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10" w:history="1">
        <w:r>
          <w:rPr>
            <w:rStyle w:val="Hyperlink"/>
            <w:shd w:val="clear" w:color="auto" w:fill="auto"/>
          </w:rPr>
          <w:t>B6. Type of Award</w:t>
        </w:r>
        <w:r>
          <w:tab/>
        </w:r>
        <w:r>
          <w:fldChar w:fldCharType="begin"/>
        </w:r>
        <w:r>
          <w:instrText xml:space="preserve"> PAGEREF _Toc256000010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11" w:history="1">
        <w:r>
          <w:rPr>
            <w:rStyle w:val="Hyperlink"/>
            <w:shd w:val="clear" w:color="auto" w:fill="auto"/>
          </w:rPr>
          <w:t>B7. Other Federal Information</w:t>
        </w:r>
        <w:r>
          <w:tab/>
        </w:r>
        <w:r>
          <w:fldChar w:fldCharType="begin"/>
        </w:r>
        <w:r>
          <w:instrText xml:space="preserve"> PAGEREF _Toc256000011 \h </w:instrText>
        </w:r>
        <w:r>
          <w:fldChar w:fldCharType="separate"/>
        </w:r>
        <w:r>
          <w:t>4</w:t>
        </w:r>
        <w:r>
          <w:fldChar w:fldCharType="end"/>
        </w:r>
      </w:hyperlink>
    </w:p>
    <w:p>
      <w:pPr>
        <w:pStyle w:val="TOC1"/>
        <w:tabs>
          <w:tab w:val="right" w:leader="dot" w:pos="9350"/>
        </w:tabs>
        <w:rPr>
          <w:rFonts w:asciiTheme="minorHAnsi" w:hAnsiTheme="minorHAnsi"/>
          <w:noProof/>
          <w:sz w:val="22"/>
        </w:rPr>
      </w:pPr>
      <w:hyperlink w:anchor="_Toc256000012" w:history="1">
        <w:r>
          <w:rPr>
            <w:rStyle w:val="Hyperlink"/>
            <w:kern w:val="0"/>
            <w:shd w:val="clear" w:color="auto" w:fill="auto"/>
          </w:rPr>
          <w:t>C. Eligibility Information</w:t>
        </w:r>
        <w:r>
          <w:tab/>
        </w:r>
        <w:r>
          <w:fldChar w:fldCharType="begin"/>
        </w:r>
        <w:r>
          <w:instrText xml:space="preserve"> PAGEREF _Toc256000012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13" w:history="1">
        <w:r>
          <w:rPr>
            <w:rStyle w:val="Hyperlink"/>
            <w:shd w:val="clear" w:color="auto" w:fill="auto"/>
          </w:rPr>
          <w:t>C1. Eligible Applicants</w:t>
        </w:r>
        <w:r>
          <w:tab/>
        </w:r>
        <w:r>
          <w:fldChar w:fldCharType="begin"/>
        </w:r>
        <w:r>
          <w:instrText xml:space="preserve"> PAGEREF _Toc256000013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14" w:history="1">
        <w:r>
          <w:rPr>
            <w:rStyle w:val="Hyperlink"/>
            <w:shd w:val="clear" w:color="auto" w:fill="auto"/>
          </w:rPr>
          <w:t>C2. Cost Sharing or Matching</w:t>
        </w:r>
        <w:r>
          <w:tab/>
        </w:r>
        <w:r>
          <w:fldChar w:fldCharType="begin"/>
        </w:r>
        <w:r>
          <w:instrText xml:space="preserve"> PAGEREF _Toc256000014 \h </w:instrText>
        </w:r>
        <w:r>
          <w:fldChar w:fldCharType="separate"/>
        </w:r>
        <w:r>
          <w:t>4</w:t>
        </w:r>
        <w:r>
          <w:fldChar w:fldCharType="end"/>
        </w:r>
      </w:hyperlink>
    </w:p>
    <w:p>
      <w:pPr>
        <w:pStyle w:val="TOC2"/>
        <w:tabs>
          <w:tab w:val="right" w:leader="dot" w:pos="9350"/>
        </w:tabs>
        <w:rPr>
          <w:rFonts w:asciiTheme="minorHAnsi" w:hAnsiTheme="minorHAnsi"/>
          <w:noProof/>
          <w:sz w:val="22"/>
        </w:rPr>
      </w:pPr>
      <w:hyperlink w:anchor="_Toc256000015" w:history="1">
        <w:r>
          <w:rPr>
            <w:rStyle w:val="Hyperlink"/>
            <w:shd w:val="clear" w:color="auto" w:fill="auto"/>
          </w:rPr>
          <w:t>C3. Other</w:t>
        </w:r>
        <w:r>
          <w:tab/>
        </w:r>
        <w:r>
          <w:fldChar w:fldCharType="begin"/>
        </w:r>
        <w:r>
          <w:instrText xml:space="preserve"> PAGEREF _Toc256000015 \h </w:instrText>
        </w:r>
        <w:r>
          <w:fldChar w:fldCharType="separate"/>
        </w:r>
        <w:r>
          <w:t>4</w:t>
        </w:r>
        <w:r>
          <w:fldChar w:fldCharType="end"/>
        </w:r>
      </w:hyperlink>
    </w:p>
    <w:p>
      <w:pPr>
        <w:pStyle w:val="TOC1"/>
        <w:tabs>
          <w:tab w:val="right" w:leader="dot" w:pos="9350"/>
        </w:tabs>
        <w:rPr>
          <w:rFonts w:asciiTheme="minorHAnsi" w:hAnsiTheme="minorHAnsi"/>
          <w:noProof/>
          <w:sz w:val="22"/>
        </w:rPr>
      </w:pPr>
      <w:hyperlink w:anchor="_Toc256000016" w:history="1">
        <w:r>
          <w:rPr>
            <w:rStyle w:val="Hyperlink"/>
            <w:kern w:val="0"/>
            <w:shd w:val="clear" w:color="auto" w:fill="auto"/>
          </w:rPr>
          <w:t>D. Application and Submission Information</w:t>
        </w:r>
        <w:r>
          <w:tab/>
        </w:r>
        <w:r>
          <w:fldChar w:fldCharType="begin"/>
        </w:r>
        <w:r>
          <w:instrText xml:space="preserve"> PAGEREF _Toc256000016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17" w:history="1">
        <w:r>
          <w:rPr>
            <w:rStyle w:val="Hyperlink"/>
            <w:shd w:val="clear" w:color="auto" w:fill="auto"/>
          </w:rPr>
          <w:t>D1. Address to Request Application Package</w:t>
        </w:r>
        <w:r>
          <w:tab/>
        </w:r>
        <w:r>
          <w:fldChar w:fldCharType="begin"/>
        </w:r>
        <w:r>
          <w:instrText xml:space="preserve"> PAGEREF _Toc256000017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18" w:history="1">
        <w:r>
          <w:rPr>
            <w:rStyle w:val="Hyperlink"/>
            <w:shd w:val="clear" w:color="auto" w:fill="auto"/>
          </w:rPr>
          <w:t>D2. Content and Form of Application Submission</w:t>
        </w:r>
        <w:r>
          <w:tab/>
        </w:r>
        <w:r>
          <w:fldChar w:fldCharType="begin"/>
        </w:r>
        <w:r>
          <w:instrText xml:space="preserve"> PAGEREF _Toc256000018 \h </w:instrText>
        </w:r>
        <w:r>
          <w:fldChar w:fldCharType="separate"/>
        </w:r>
        <w:r>
          <w:t>5</w:t>
        </w:r>
        <w:r>
          <w:fldChar w:fldCharType="end"/>
        </w:r>
      </w:hyperlink>
    </w:p>
    <w:p>
      <w:pPr>
        <w:pStyle w:val="TOC2"/>
        <w:tabs>
          <w:tab w:val="right" w:leader="dot" w:pos="9350"/>
        </w:tabs>
        <w:rPr>
          <w:rFonts w:asciiTheme="minorHAnsi" w:hAnsiTheme="minorHAnsi"/>
          <w:noProof/>
          <w:sz w:val="22"/>
        </w:rPr>
      </w:pPr>
      <w:hyperlink w:anchor="_Toc256000019" w:history="1">
        <w:r>
          <w:rPr>
            <w:rStyle w:val="Hyperlink"/>
            <w:shd w:val="clear" w:color="auto" w:fill="auto"/>
          </w:rPr>
          <w:t>D3. Unique Entity Identifier and System for Award Management (SAM)</w:t>
        </w:r>
        <w:r>
          <w:tab/>
        </w:r>
        <w:r>
          <w:fldChar w:fldCharType="begin"/>
        </w:r>
        <w:r>
          <w:instrText xml:space="preserve"> PAGEREF _Toc256000019 \h </w:instrText>
        </w:r>
        <w:r>
          <w:fldChar w:fldCharType="separate"/>
        </w:r>
        <w:r>
          <w:t>10</w:t>
        </w:r>
        <w:r>
          <w:fldChar w:fldCharType="end"/>
        </w:r>
      </w:hyperlink>
    </w:p>
    <w:p>
      <w:pPr>
        <w:pStyle w:val="TOC2"/>
        <w:tabs>
          <w:tab w:val="right" w:leader="dot" w:pos="9350"/>
        </w:tabs>
        <w:rPr>
          <w:rFonts w:asciiTheme="minorHAnsi" w:hAnsiTheme="minorHAnsi"/>
          <w:noProof/>
          <w:sz w:val="22"/>
        </w:rPr>
      </w:pPr>
      <w:hyperlink w:anchor="_Toc256000020" w:history="1">
        <w:r>
          <w:rPr>
            <w:rStyle w:val="Hyperlink"/>
            <w:shd w:val="clear" w:color="auto" w:fill="auto"/>
          </w:rPr>
          <w:t>D4. Submission Dates and Times</w:t>
        </w:r>
        <w:r>
          <w:tab/>
        </w:r>
        <w:r>
          <w:fldChar w:fldCharType="begin"/>
        </w:r>
        <w:r>
          <w:instrText xml:space="preserve"> PAGEREF _Toc256000020 \h </w:instrText>
        </w:r>
        <w:r>
          <w:fldChar w:fldCharType="separate"/>
        </w:r>
        <w:r>
          <w:t>11</w:t>
        </w:r>
        <w:r>
          <w:fldChar w:fldCharType="end"/>
        </w:r>
      </w:hyperlink>
    </w:p>
    <w:p>
      <w:pPr>
        <w:pStyle w:val="TOC2"/>
        <w:tabs>
          <w:tab w:val="right" w:leader="dot" w:pos="9350"/>
        </w:tabs>
        <w:rPr>
          <w:rFonts w:asciiTheme="minorHAnsi" w:hAnsiTheme="minorHAnsi"/>
          <w:noProof/>
          <w:sz w:val="22"/>
        </w:rPr>
      </w:pPr>
      <w:hyperlink w:anchor="_Toc256000021" w:history="1">
        <w:r>
          <w:rPr>
            <w:rStyle w:val="Hyperlink"/>
            <w:shd w:val="clear" w:color="auto" w:fill="auto"/>
          </w:rPr>
          <w:t>D5. Intergovernmental Review</w:t>
        </w:r>
        <w:r>
          <w:tab/>
        </w:r>
        <w:r>
          <w:fldChar w:fldCharType="begin"/>
        </w:r>
        <w:r>
          <w:instrText xml:space="preserve"> PAGEREF _Toc256000021 \h </w:instrText>
        </w:r>
        <w:r>
          <w:fldChar w:fldCharType="separate"/>
        </w:r>
        <w:r>
          <w:t>11</w:t>
        </w:r>
        <w:r>
          <w:fldChar w:fldCharType="end"/>
        </w:r>
      </w:hyperlink>
    </w:p>
    <w:p>
      <w:pPr>
        <w:pStyle w:val="TOC2"/>
        <w:tabs>
          <w:tab w:val="right" w:leader="dot" w:pos="9350"/>
        </w:tabs>
        <w:rPr>
          <w:rFonts w:asciiTheme="minorHAnsi" w:hAnsiTheme="minorHAnsi"/>
          <w:noProof/>
          <w:sz w:val="22"/>
        </w:rPr>
      </w:pPr>
      <w:hyperlink w:anchor="_Toc256000022" w:history="1">
        <w:r>
          <w:rPr>
            <w:rStyle w:val="Hyperlink"/>
            <w:shd w:val="clear" w:color="auto" w:fill="auto"/>
          </w:rPr>
          <w:t>D6. Funding Restrictions</w:t>
        </w:r>
        <w:r>
          <w:tab/>
        </w:r>
        <w:r>
          <w:fldChar w:fldCharType="begin"/>
        </w:r>
        <w:r>
          <w:instrText xml:space="preserve"> PAGEREF _Toc256000022 \h </w:instrText>
        </w:r>
        <w:r>
          <w:fldChar w:fldCharType="separate"/>
        </w:r>
        <w:r>
          <w:t>11</w:t>
        </w:r>
        <w:r>
          <w:fldChar w:fldCharType="end"/>
        </w:r>
      </w:hyperlink>
    </w:p>
    <w:p>
      <w:pPr>
        <w:pStyle w:val="TOC2"/>
        <w:tabs>
          <w:tab w:val="right" w:leader="dot" w:pos="9350"/>
        </w:tabs>
        <w:rPr>
          <w:rFonts w:asciiTheme="minorHAnsi" w:hAnsiTheme="minorHAnsi"/>
          <w:noProof/>
          <w:sz w:val="22"/>
        </w:rPr>
      </w:pPr>
      <w:hyperlink w:anchor="_Toc256000023" w:history="1">
        <w:r>
          <w:rPr>
            <w:rStyle w:val="Hyperlink"/>
            <w:shd w:val="clear" w:color="auto" w:fill="auto"/>
          </w:rPr>
          <w:t>D7. Other Submission Requirements</w:t>
        </w:r>
        <w:r>
          <w:tab/>
        </w:r>
        <w:r>
          <w:fldChar w:fldCharType="begin"/>
        </w:r>
        <w:r>
          <w:instrText xml:space="preserve"> PAGEREF _Toc256000023 \h </w:instrText>
        </w:r>
        <w:r>
          <w:fldChar w:fldCharType="separate"/>
        </w:r>
        <w:r>
          <w:t>13</w:t>
        </w:r>
        <w:r>
          <w:fldChar w:fldCharType="end"/>
        </w:r>
      </w:hyperlink>
    </w:p>
    <w:p>
      <w:pPr>
        <w:pStyle w:val="TOC2"/>
        <w:tabs>
          <w:tab w:val="right" w:leader="dot" w:pos="9350"/>
        </w:tabs>
        <w:rPr>
          <w:rFonts w:asciiTheme="minorHAnsi" w:hAnsiTheme="minorHAnsi"/>
          <w:noProof/>
          <w:sz w:val="22"/>
        </w:rPr>
      </w:pPr>
      <w:hyperlink w:anchor="_Toc256000024" w:history="1">
        <w:r>
          <w:rPr>
            <w:rStyle w:val="Hyperlink"/>
            <w:shd w:val="clear" w:color="auto" w:fill="auto"/>
          </w:rPr>
          <w:t>D8. Application Checklist</w:t>
        </w:r>
        <w:r>
          <w:tab/>
        </w:r>
        <w:r>
          <w:fldChar w:fldCharType="begin"/>
        </w:r>
        <w:r>
          <w:instrText xml:space="preserve"> PAGEREF _Toc256000024 \h </w:instrText>
        </w:r>
        <w:r>
          <w:fldChar w:fldCharType="separate"/>
        </w:r>
        <w:r>
          <w:t>14</w:t>
        </w:r>
        <w:r>
          <w:fldChar w:fldCharType="end"/>
        </w:r>
      </w:hyperlink>
    </w:p>
    <w:p>
      <w:pPr>
        <w:pStyle w:val="TOC1"/>
        <w:tabs>
          <w:tab w:val="right" w:leader="dot" w:pos="9350"/>
        </w:tabs>
        <w:rPr>
          <w:rFonts w:asciiTheme="minorHAnsi" w:hAnsiTheme="minorHAnsi"/>
          <w:noProof/>
          <w:sz w:val="22"/>
        </w:rPr>
      </w:pPr>
      <w:hyperlink w:anchor="_Toc256000025" w:history="1">
        <w:r>
          <w:rPr>
            <w:rStyle w:val="Hyperlink"/>
            <w:kern w:val="0"/>
            <w:shd w:val="clear" w:color="auto" w:fill="auto"/>
          </w:rPr>
          <w:t>E. Application Review Information</w:t>
        </w:r>
        <w:r>
          <w:tab/>
        </w:r>
        <w:r>
          <w:fldChar w:fldCharType="begin"/>
        </w:r>
        <w:r>
          <w:instrText xml:space="preserve"> PAGEREF _Toc256000025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26" w:history="1">
        <w:r>
          <w:rPr>
            <w:rStyle w:val="Hyperlink"/>
            <w:shd w:val="clear" w:color="auto" w:fill="auto"/>
          </w:rPr>
          <w:t>E1. Criteria</w:t>
        </w:r>
        <w:r>
          <w:tab/>
        </w:r>
        <w:r>
          <w:fldChar w:fldCharType="begin"/>
        </w:r>
        <w:r>
          <w:instrText xml:space="preserve"> PAGEREF _Toc256000026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27" w:history="1">
        <w:r>
          <w:rPr>
            <w:rStyle w:val="Hyperlink"/>
            <w:shd w:val="clear" w:color="auto" w:fill="auto"/>
          </w:rPr>
          <w:t>E2. Review and Selection Process</w:t>
        </w:r>
        <w:r>
          <w:tab/>
        </w:r>
        <w:r>
          <w:fldChar w:fldCharType="begin"/>
        </w:r>
        <w:r>
          <w:instrText xml:space="preserve"> PAGEREF _Toc256000027 \h </w:instrText>
        </w:r>
        <w:r>
          <w:fldChar w:fldCharType="separate"/>
        </w:r>
        <w:r>
          <w:t>15</w:t>
        </w:r>
        <w:r>
          <w:fldChar w:fldCharType="end"/>
        </w:r>
      </w:hyperlink>
    </w:p>
    <w:p>
      <w:pPr>
        <w:pStyle w:val="TOC2"/>
        <w:tabs>
          <w:tab w:val="right" w:leader="dot" w:pos="9350"/>
        </w:tabs>
        <w:rPr>
          <w:rFonts w:asciiTheme="minorHAnsi" w:hAnsiTheme="minorHAnsi"/>
          <w:noProof/>
          <w:sz w:val="22"/>
        </w:rPr>
      </w:pPr>
      <w:hyperlink w:anchor="_Toc256000028" w:history="1">
        <w:r>
          <w:rPr>
            <w:rStyle w:val="Hyperlink"/>
            <w:shd w:val="clear" w:color="auto" w:fill="auto"/>
          </w:rPr>
          <w:t>E3. CFR - Regulatory Information</w:t>
        </w:r>
        <w:r>
          <w:tab/>
        </w:r>
        <w:r>
          <w:fldChar w:fldCharType="begin"/>
        </w:r>
        <w:r>
          <w:instrText xml:space="preserve"> PAGEREF _Toc256000028 \h </w:instrText>
        </w:r>
        <w:r>
          <w:fldChar w:fldCharType="separate"/>
        </w:r>
        <w:r>
          <w:t>16</w:t>
        </w:r>
        <w:r>
          <w:fldChar w:fldCharType="end"/>
        </w:r>
      </w:hyperlink>
    </w:p>
    <w:p>
      <w:pPr>
        <w:pStyle w:val="TOC2"/>
        <w:tabs>
          <w:tab w:val="right" w:leader="dot" w:pos="9350"/>
        </w:tabs>
        <w:rPr>
          <w:rFonts w:asciiTheme="minorHAnsi" w:hAnsiTheme="minorHAnsi"/>
          <w:noProof/>
          <w:sz w:val="22"/>
        </w:rPr>
      </w:pPr>
      <w:hyperlink w:anchor="_Toc256000029" w:history="1">
        <w:r>
          <w:rPr>
            <w:rStyle w:val="Hyperlink"/>
            <w:shd w:val="clear" w:color="auto" w:fill="auto"/>
          </w:rPr>
          <w:t>E4. Anticipated Announcement and Federal Award Dates</w:t>
        </w:r>
        <w:r>
          <w:tab/>
        </w:r>
        <w:r>
          <w:fldChar w:fldCharType="begin"/>
        </w:r>
        <w:r>
          <w:instrText xml:space="preserve"> PAGEREF _Toc256000029 \h </w:instrText>
        </w:r>
        <w:r>
          <w:fldChar w:fldCharType="separate"/>
        </w:r>
        <w:r>
          <w:t>16</w:t>
        </w:r>
        <w:r>
          <w:fldChar w:fldCharType="end"/>
        </w:r>
      </w:hyperlink>
    </w:p>
    <w:p>
      <w:pPr>
        <w:pStyle w:val="TOC1"/>
        <w:tabs>
          <w:tab w:val="right" w:leader="dot" w:pos="9350"/>
        </w:tabs>
        <w:rPr>
          <w:rFonts w:asciiTheme="minorHAnsi" w:hAnsiTheme="minorHAnsi"/>
          <w:noProof/>
          <w:sz w:val="22"/>
        </w:rPr>
      </w:pPr>
      <w:hyperlink w:anchor="_Toc256000030" w:history="1">
        <w:r>
          <w:rPr>
            <w:rStyle w:val="Hyperlink"/>
            <w:kern w:val="0"/>
            <w:shd w:val="clear" w:color="auto" w:fill="auto"/>
          </w:rPr>
          <w:t>F. Federal Award Administration Information</w:t>
        </w:r>
        <w:r>
          <w:tab/>
        </w:r>
        <w:r>
          <w:fldChar w:fldCharType="begin"/>
        </w:r>
        <w:r>
          <w:instrText xml:space="preserve"> PAGEREF _Toc256000030 \h </w:instrText>
        </w:r>
        <w:r>
          <w:fldChar w:fldCharType="separate"/>
        </w:r>
        <w:r>
          <w:t>16</w:t>
        </w:r>
        <w:r>
          <w:fldChar w:fldCharType="end"/>
        </w:r>
      </w:hyperlink>
    </w:p>
    <w:p>
      <w:pPr>
        <w:pStyle w:val="TOC2"/>
        <w:tabs>
          <w:tab w:val="right" w:leader="dot" w:pos="9350"/>
        </w:tabs>
        <w:rPr>
          <w:rFonts w:asciiTheme="minorHAnsi" w:hAnsiTheme="minorHAnsi"/>
          <w:noProof/>
          <w:sz w:val="22"/>
        </w:rPr>
      </w:pPr>
      <w:hyperlink w:anchor="_Toc256000031" w:history="1">
        <w:r>
          <w:rPr>
            <w:rStyle w:val="Hyperlink"/>
            <w:shd w:val="clear" w:color="auto" w:fill="auto"/>
          </w:rPr>
          <w:t>F1. Federal Award Notices</w:t>
        </w:r>
        <w:r>
          <w:tab/>
        </w:r>
        <w:r>
          <w:fldChar w:fldCharType="begin"/>
        </w:r>
        <w:r>
          <w:instrText xml:space="preserve"> PAGEREF _Toc256000031 \h </w:instrText>
        </w:r>
        <w:r>
          <w:fldChar w:fldCharType="separate"/>
        </w:r>
        <w:r>
          <w:t>16</w:t>
        </w:r>
        <w:r>
          <w:fldChar w:fldCharType="end"/>
        </w:r>
      </w:hyperlink>
    </w:p>
    <w:p>
      <w:pPr>
        <w:pStyle w:val="TOC2"/>
        <w:tabs>
          <w:tab w:val="right" w:leader="dot" w:pos="9350"/>
        </w:tabs>
        <w:rPr>
          <w:rFonts w:asciiTheme="minorHAnsi" w:hAnsiTheme="minorHAnsi"/>
          <w:noProof/>
          <w:sz w:val="22"/>
        </w:rPr>
      </w:pPr>
      <w:hyperlink w:anchor="_Toc256000032" w:history="1">
        <w:r>
          <w:rPr>
            <w:rStyle w:val="Hyperlink"/>
            <w:shd w:val="clear" w:color="auto" w:fill="auto"/>
          </w:rPr>
          <w:t>F2. Administrative and National Policy Requirements</w:t>
        </w:r>
        <w:r>
          <w:tab/>
        </w:r>
        <w:r>
          <w:fldChar w:fldCharType="begin"/>
        </w:r>
        <w:r>
          <w:instrText xml:space="preserve"> PAGEREF _Toc256000032 \h </w:instrText>
        </w:r>
        <w:r>
          <w:fldChar w:fldCharType="separate"/>
        </w:r>
        <w:r>
          <w:t>17</w:t>
        </w:r>
        <w:r>
          <w:fldChar w:fldCharType="end"/>
        </w:r>
      </w:hyperlink>
    </w:p>
    <w:p>
      <w:pPr>
        <w:pStyle w:val="TOC2"/>
        <w:tabs>
          <w:tab w:val="right" w:leader="dot" w:pos="9350"/>
        </w:tabs>
        <w:rPr>
          <w:rFonts w:asciiTheme="minorHAnsi" w:hAnsiTheme="minorHAnsi"/>
          <w:noProof/>
          <w:sz w:val="22"/>
        </w:rPr>
      </w:pPr>
      <w:hyperlink w:anchor="_Toc256000033" w:history="1">
        <w:r>
          <w:rPr>
            <w:rStyle w:val="Hyperlink"/>
            <w:shd w:val="clear" w:color="auto" w:fill="auto"/>
          </w:rPr>
          <w:t>F3. Reporting</w:t>
        </w:r>
        <w:r>
          <w:tab/>
        </w:r>
        <w:r>
          <w:fldChar w:fldCharType="begin"/>
        </w:r>
        <w:r>
          <w:instrText xml:space="preserve"> PAGEREF _Toc256000033 \h </w:instrText>
        </w:r>
        <w:r>
          <w:fldChar w:fldCharType="separate"/>
        </w:r>
        <w:r>
          <w:t>18</w:t>
        </w:r>
        <w:r>
          <w:fldChar w:fldCharType="end"/>
        </w:r>
      </w:hyperlink>
    </w:p>
    <w:p>
      <w:pPr>
        <w:pStyle w:val="TOC1"/>
        <w:tabs>
          <w:tab w:val="right" w:leader="dot" w:pos="9350"/>
        </w:tabs>
        <w:rPr>
          <w:rFonts w:asciiTheme="minorHAnsi" w:hAnsiTheme="minorHAnsi"/>
          <w:noProof/>
          <w:sz w:val="22"/>
        </w:rPr>
      </w:pPr>
      <w:hyperlink w:anchor="_Toc256000034" w:history="1">
        <w:r>
          <w:rPr>
            <w:rStyle w:val="Hyperlink"/>
            <w:kern w:val="0"/>
            <w:shd w:val="clear" w:color="auto" w:fill="auto"/>
          </w:rPr>
          <w:t>G. Federal Awarding Agency Contact(s)</w:t>
        </w:r>
        <w:r>
          <w:tab/>
        </w:r>
        <w:r>
          <w:fldChar w:fldCharType="begin"/>
        </w:r>
        <w:r>
          <w:instrText xml:space="preserve"> PAGEREF _Toc256000034 \h </w:instrText>
        </w:r>
        <w:r>
          <w:fldChar w:fldCharType="separate"/>
        </w:r>
        <w:r>
          <w:t>21</w:t>
        </w:r>
        <w:r>
          <w:fldChar w:fldCharType="end"/>
        </w:r>
      </w:hyperlink>
    </w:p>
    <w:p>
      <w:pPr>
        <w:pStyle w:val="TOC2"/>
        <w:tabs>
          <w:tab w:val="right" w:leader="dot" w:pos="9350"/>
        </w:tabs>
        <w:rPr>
          <w:rFonts w:asciiTheme="minorHAnsi" w:hAnsiTheme="minorHAnsi"/>
          <w:noProof/>
          <w:sz w:val="22"/>
        </w:rPr>
      </w:pPr>
      <w:hyperlink w:anchor="_Toc256000035" w:history="1">
        <w:r>
          <w:rPr>
            <w:rStyle w:val="Hyperlink"/>
            <w:shd w:val="clear" w:color="auto" w:fill="auto"/>
          </w:rPr>
          <w:t>G2. Administrative/Budget Questions Program Office Contact</w:t>
        </w:r>
        <w:r>
          <w:tab/>
        </w:r>
        <w:r>
          <w:fldChar w:fldCharType="begin"/>
        </w:r>
        <w:r>
          <w:instrText xml:space="preserve"> PAGEREF _Toc256000035 \h </w:instrText>
        </w:r>
        <w:r>
          <w:fldChar w:fldCharType="separate"/>
        </w:r>
        <w:r>
          <w:t>22</w:t>
        </w:r>
        <w:r>
          <w:fldChar w:fldCharType="end"/>
        </w:r>
      </w:hyperlink>
    </w:p>
    <w:p>
      <w:pPr>
        <w:pStyle w:val="TOC2"/>
        <w:tabs>
          <w:tab w:val="right" w:leader="dot" w:pos="9350"/>
        </w:tabs>
        <w:rPr>
          <w:rFonts w:asciiTheme="minorHAnsi" w:hAnsiTheme="minorHAnsi"/>
          <w:noProof/>
          <w:sz w:val="22"/>
        </w:rPr>
      </w:pPr>
      <w:hyperlink w:anchor="_Toc256000036" w:history="1">
        <w:r>
          <w:rPr>
            <w:rStyle w:val="Hyperlink"/>
            <w:shd w:val="clear" w:color="auto" w:fill="auto"/>
          </w:rPr>
          <w:t>G3. Grants Staff Contact</w:t>
        </w:r>
        <w:r>
          <w:tab/>
        </w:r>
        <w:r>
          <w:fldChar w:fldCharType="begin"/>
        </w:r>
        <w:r>
          <w:instrText xml:space="preserve"> PAGEREF _Toc256000036 \h </w:instrText>
        </w:r>
        <w:r>
          <w:fldChar w:fldCharType="separate"/>
        </w:r>
        <w:r>
          <w:t>22</w:t>
        </w:r>
        <w:r>
          <w:fldChar w:fldCharType="end"/>
        </w:r>
      </w:hyperlink>
    </w:p>
    <w:p>
      <w:pPr>
        <w:pStyle w:val="TOC2"/>
        <w:tabs>
          <w:tab w:val="right" w:leader="dot" w:pos="9350"/>
        </w:tabs>
        <w:rPr>
          <w:rFonts w:asciiTheme="minorHAnsi" w:hAnsiTheme="minorHAnsi"/>
          <w:noProof/>
          <w:sz w:val="22"/>
        </w:rPr>
      </w:pPr>
      <w:hyperlink w:anchor="_Toc256000037" w:history="1">
        <w:r>
          <w:rPr>
            <w:rStyle w:val="Hyperlink"/>
            <w:shd w:val="clear" w:color="auto" w:fill="auto"/>
          </w:rPr>
          <w:t>G4. Technical Support</w:t>
        </w:r>
        <w:r>
          <w:tab/>
        </w:r>
        <w:r>
          <w:fldChar w:fldCharType="begin"/>
        </w:r>
        <w:r>
          <w:instrText xml:space="preserve"> PAGEREF _Toc256000037 \h </w:instrText>
        </w:r>
        <w:r>
          <w:fldChar w:fldCharType="separate"/>
        </w:r>
        <w:r>
          <w:t>22</w:t>
        </w:r>
        <w:r>
          <w:fldChar w:fldCharType="end"/>
        </w:r>
      </w:hyperlink>
    </w:p>
    <w:p>
      <w:pPr>
        <w:pStyle w:val="TOC1"/>
        <w:tabs>
          <w:tab w:val="right" w:leader="dot" w:pos="9350"/>
        </w:tabs>
        <w:rPr>
          <w:rFonts w:asciiTheme="minorHAnsi" w:hAnsiTheme="minorHAnsi"/>
          <w:noProof/>
          <w:sz w:val="22"/>
        </w:rPr>
      </w:pPr>
      <w:hyperlink w:anchor="_Toc256000038" w:history="1">
        <w:r>
          <w:rPr>
            <w:rStyle w:val="Hyperlink"/>
            <w:kern w:val="0"/>
            <w:shd w:val="clear" w:color="auto" w:fill="auto"/>
          </w:rPr>
          <w:t>H. Other Information</w:t>
        </w:r>
        <w:r>
          <w:tab/>
        </w:r>
        <w:r>
          <w:fldChar w:fldCharType="begin"/>
        </w:r>
        <w:r>
          <w:instrText xml:space="preserve"> PAGEREF _Toc256000038 \h </w:instrText>
        </w:r>
        <w:r>
          <w:fldChar w:fldCharType="separate"/>
        </w:r>
        <w:r>
          <w:t>22</w:t>
        </w:r>
        <w:r>
          <w:fldChar w:fldCharType="end"/>
        </w:r>
      </w:hyperlink>
    </w:p>
    <w:p w:rsidP="00470374">
      <w:pPr>
        <w:pStyle w:val="MainHeading"/>
        <w:keepLines w:val="0"/>
        <w:spacing w:before="200" w:after="80"/>
        <w:ind w:left="0"/>
        <w:jc w:val="left"/>
        <w:rPr>
          <w:rFonts w:ascii="Times New Roman" w:eastAsia="Times New Roman" w:hAnsi="Times New Roman" w:cs="Times New Roman"/>
          <w:b/>
          <w:color w:val="000000"/>
          <w:sz w:val="32"/>
        </w:rPr>
      </w:pPr>
      <w:r>
        <w:rPr>
          <w:rFonts w:ascii="Times New Roman" w:eastAsia="Times New Roman" w:hAnsi="Times New Roman" w:cs="Times New Roman"/>
          <w:b/>
          <w:color w:val="000000"/>
          <w:sz w:val="32"/>
        </w:rPr>
        <w:fldChar w:fldCharType="end"/>
      </w:r>
      <w:r>
        <w:rPr>
          <w:rFonts w:ascii="Times New Roman" w:eastAsia="Times New Roman" w:hAnsi="Times New Roman" w:cs="Times New Roman"/>
          <w:b/>
          <w:color w:val="000000"/>
          <w:sz w:val="32"/>
        </w:rPr>
        <w:br/>
      </w:r>
    </w:p>
    <w:p>
      <w:pPr>
        <w:pStyle w:val="h1Heading1"/>
        <w:widowControl/>
        <w:spacing w:before="0" w:after="161"/>
        <w:ind w:left="45" w:right="45"/>
        <w:outlineLvl w:val="9"/>
        <w:rPr>
          <w:b/>
          <w:bCs/>
          <w:szCs w:val="24"/>
        </w:rPr>
      </w:pPr>
      <w:bookmarkStart w:id="0" w:name="_Toc256000000"/>
      <w:r>
        <w:rPr>
          <w:color w:val="000000"/>
          <w:kern w:val="0"/>
          <w:shd w:val="clear" w:color="auto" w:fill="auto"/>
        </w:rPr>
        <w:t>A. Program Description</w:t>
      </w:r>
      <w:bookmarkEnd w:id="0"/>
    </w:p>
    <w:p w:rsidP="00470374">
      <w:pPr>
        <w:keepLines w:val="0"/>
        <w:spacing w:before="200" w:after="8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This section contains the full program description of the funding opportunity. It may be as long as needed to adequately communicate to potential applicants the areas in which funding may be provided. It describes the Bureau’s funding priorities or the technical or focus areas in which the Bureau intends to provide assistance. As appropriate, it may include any program history (e.g., whether this is a new program or a changed area of program emphasis). This section may communicate indicators of successful projects (e.g., if the program encourages collaborative efforts) and may include examples of projects that have been funded previously. This section also may include other information the Bureau deems necessary, and must at a minimum include citations for authorizing statutes and regulations for the funding opportunity.</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 w:name="_Toc256000001"/>
      <w:r>
        <w:rPr>
          <w:iCs w:val="0"/>
          <w:color w:val="000000"/>
          <w:shd w:val="clear" w:color="auto" w:fill="auto"/>
        </w:rPr>
        <w:t>A1. Authority</w:t>
      </w:r>
      <w:bookmarkEnd w:id="1"/>
    </w:p>
    <w:p w:rsidP="00470374">
      <w:pPr>
        <w:keepLines w:val="0"/>
        <w:spacing w:before="200" w:after="8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Please add the statutory and/or appropriations citation that provides the legal authority for the program and funding here.</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43 U.S.C. 1345(e) gives the Interior Secretary general authority to enter into cooperative agreements with affected States for purposes which are consistent with OCSLA. Such agreements may include, but need not be limited to, the sharing of information (in accordance with 43 U.S.C. 1352), the joint utilization of available expertise, the facilitating of permitting procedures, joint planning and review, and the formation of joint surveillance and monitoring arrangements to carry out applicable Federal and State laws, regulations, and stipulations relevant to Outer Continental Shelf operations both onshore and offshore.</w:t>
      </w:r>
      <w:r>
        <w:rPr>
          <w:rFonts w:ascii="Times New Roman" w:eastAsia="Times New Roman" w:hAnsi="Times New Roman" w:cs="Times New Roman"/>
          <w:b w:val="0"/>
          <w:i w:val="0"/>
          <w:strike w:val="0"/>
          <w:vanish w:val="0"/>
          <w:color w:val="000000"/>
          <w:sz w:val="24"/>
          <w:szCs w:val="24"/>
          <w:u w:val="none"/>
        </w:rPr>
        <w:t xml:space="preserve"> </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 w:name="_Toc256000002"/>
      <w:r>
        <w:rPr>
          <w:iCs w:val="0"/>
          <w:color w:val="000000"/>
          <w:shd w:val="clear" w:color="auto" w:fill="auto"/>
        </w:rPr>
        <w:t>A2. Background, Purpose and Program Requirements</w:t>
      </w:r>
      <w:bookmarkEnd w:id="2"/>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Please add any program specific text into the text field below. The program authorization or appropriation is often a good source of language for the purpose. Provide comprehensive, detailed background of project. Maximum of 5 pages. Describe program requirements in 8–10 pages, maximum of 25 pages.</w:t>
      </w:r>
    </w:p>
    <w:p w:rsidP="00470374">
      <w:pPr>
        <w:keepLines w:val="0"/>
        <w:spacing w:before="20" w:after="20"/>
        <w:ind w:left="0"/>
        <w:jc w:val="left"/>
        <w:rPr>
          <w:rFonts w:ascii="Times New Roman" w:eastAsia="Times New Roman" w:hAnsi="Times New Roman" w:cs="Times New Roman"/>
          <w:b w:val="0"/>
          <w:i w:val="0"/>
          <w:strike w:val="0"/>
          <w:vanish w:val="0"/>
          <w:color w:val="000000"/>
          <w:sz w:val="24"/>
          <w:u w:val="none"/>
        </w:rPr>
      </w:pPr>
      <w:r>
        <w:rPr>
          <w:rStyle w:val="CommentReference"/>
        </w:rPr>
        <w:commentReference w:id="3"/>
      </w:r>
      <w:r>
        <w:rPr>
          <w:rStyle w:val="CommentReference"/>
        </w:rPr>
        <w:commentReference w:id="4"/>
      </w:r>
      <w:r>
        <w:rPr>
          <w:rStyle w:val="CommentReference"/>
        </w:rPr>
        <w:commentReference w:id="5"/>
      </w:r>
      <w:r>
        <w:rPr>
          <w:rFonts w:ascii="Times New Roman" w:eastAsia="Times New Roman" w:hAnsi="Times New Roman" w:cs="Times New Roman"/>
          <w:color w:val="auto"/>
          <w:szCs w:val="24"/>
        </w:rPr>
        <w:t xml:space="preserve"> </w:t>
      </w:r>
    </w:p>
    <w:p w:rsidP="00470374">
      <w:pPr>
        <w:pStyle w:val="p"/>
        <w:keepLines w:val="0"/>
        <w:spacing w:before="0" w:after="140"/>
        <w:ind w:left="-5"/>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The Bureau of Ocean Energy Management (BOEM), a bureau of the Department of the Interior (DOI), is responsible for managing the exploration and development of energy and mineral resources on the Outer Continental Shelf (OCS). BOEM’s mission is to promote economic development and energy independence while ensuring protection of the environment.</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To ensure that the nation receives the best value for its resources, the Marine Minerals Program (MMP) actively seeks out and generates information to support decision-making both in the DOI and in coastal states and local governments. The MMP also has stewardship responsibilities over OCS marine minerals, whether critical, strategic, or economic.</w:t>
      </w:r>
    </w:p>
    <w:p w:rsidP="00470374">
      <w:pPr>
        <w:pStyle w:val="p"/>
        <w:keepLines w:val="0"/>
        <w:spacing w:before="0" w:after="140"/>
        <w:ind w:left="-5"/>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 xml:space="preserve">The Outer Continental Shelf Lands Act (OCSLA), Section 1331 encourages state participation in policy and planning decisions related to OCS resources. </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OCLSA Section 1336 authorizes leasing of minerals on the OCS. OCSLA Section 1345 authorizes the use of cooperative agreements with affected</w:t>
      </w:r>
      <w:r>
        <w:rPr>
          <w:rFonts w:ascii="Times New Roman" w:eastAsia="Times New Roman" w:hAnsi="Times New Roman" w:cs="Times New Roman"/>
          <w:b w:val="0"/>
          <w:i/>
          <w:iCs/>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States to meet the requirements of OCSLA, including sharing of information, joint utilization of available expertise, formation of joint monitoring arrangements to carry out applicable Federal and State laws, regulations, and stipulations relevant to outer continental shelf operations both onshore and offshore.</w:t>
      </w:r>
      <w:r>
        <w:rPr>
          <w:rFonts w:ascii="Times New Roman" w:eastAsia="Times New Roman" w:hAnsi="Times New Roman" w:cs="Times New Roman"/>
          <w:b w:val="0"/>
          <w:i w:val="0"/>
          <w:strike w:val="0"/>
          <w:vanish w:val="0"/>
          <w:color w:val="000000"/>
          <w:sz w:val="24"/>
          <w:szCs w:val="24"/>
          <w:u w:val="none"/>
        </w:rPr>
        <w:t xml:space="preserve"> </w:t>
      </w:r>
    </w:p>
    <w:p w:rsidP="00470374">
      <w:pPr>
        <w:pStyle w:val="p"/>
        <w:keepLines w:val="0"/>
        <w:spacing w:before="0" w:after="140"/>
        <w:ind w:left="-5"/>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Cooperative partnerships for marine minerals investigations have successfully been completed since 1994.</w:t>
      </w:r>
      <w:r>
        <w:rPr>
          <w:rFonts w:ascii="Times New Roman" w:eastAsia="Times New Roman" w:hAnsi="Times New Roman" w:cs="Times New Roman"/>
          <w:b w:val="0"/>
          <w:i w:val="0"/>
          <w:strike w:val="0"/>
          <w:vanish w:val="0"/>
          <w:color w:val="000000"/>
          <w:sz w:val="24"/>
          <w:szCs w:val="24"/>
          <w:u w:val="none"/>
        </w:rPr>
        <w:t xml:space="preserv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Catalog of Federal Domestic Assistance (CFDA) Number</w:t>
      </w:r>
    </w:p>
    <w:p w:rsidP="00470374">
      <w:pPr>
        <w:keepLines w:val="0"/>
        <w:spacing w:before="6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Insert program CFDA. Include multiple program numbers as applicable.</w:t>
      </w:r>
    </w:p>
    <w:p w:rsidP="00470374">
      <w:pPr>
        <w:pStyle w:val="div"/>
        <w:keepLines w:val="0"/>
        <w:spacing w:before="20" w:after="2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15.424</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Authorization Legislation</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43 U.S.C. 1345(e) gives the Interior Secretary general authority to enter into cooperative agreements with affected States for purposes which are consistent with OCSLA. Such agreements may include, but need not be limited to, the sharing of information (in accordance with 43 U.S.C. 1352), the joint utilization of available expertise, the facilitating of permitting procedures, joint planning and review, and the formation of joint surveillance and monitoring arrangements to carry out applicable Federal and State laws, regulations, and stipulations relevant to Outer Continental Shelf operations both onshore and offshore.</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6" w:name="_Toc256000003"/>
      <w:r>
        <w:rPr>
          <w:iCs w:val="0"/>
          <w:color w:val="000000"/>
          <w:shd w:val="clear" w:color="auto" w:fill="auto"/>
        </w:rPr>
        <w:t>A3. Technical Assistance and Information for Prospective Applicants</w:t>
      </w:r>
      <w:bookmarkEnd w:id="6"/>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Include information on pre-conference calls, evaluation contracts, technical assistance contracts, webinars, data contracts.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1Heading1"/>
        <w:widowControl/>
        <w:spacing w:before="161" w:after="161"/>
        <w:ind w:left="45" w:right="45"/>
        <w:outlineLvl w:val="9"/>
        <w:rPr>
          <w:b/>
          <w:bCs/>
          <w:szCs w:val="24"/>
        </w:rPr>
      </w:pPr>
      <w:bookmarkStart w:id="7" w:name="_Toc256000004"/>
      <w:r>
        <w:rPr>
          <w:color w:val="000000"/>
          <w:kern w:val="0"/>
          <w:shd w:val="clear" w:color="auto" w:fill="auto"/>
        </w:rPr>
        <w:t>B. Federal Award Information</w:t>
      </w:r>
      <w:bookmarkEnd w:id="7"/>
    </w:p>
    <w:p w:rsidP="00470374">
      <w:pPr>
        <w:keepLines w:val="0"/>
        <w:spacing w:before="120" w:after="6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This section provides sufficient information to help an applicant make an informed decision about whether to submit a proposal. Relevant information could include the total amount of funding that the Bureau expects to award through the Notice of Funding Opportunity; the anticipated number of Federal awards; the expected amounts of individual Federal awards (which may be a range); the amount of funding per Federal award, on average, experienced in previous years; and the anticipated start dates and periods of performance for new Federal awards. This section also should address whether applications for renewal or supplementation of existing projects are eligible to compete with applications for new Federal awards.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8" w:name="_Toc256000005"/>
      <w:r>
        <w:rPr>
          <w:iCs w:val="0"/>
          <w:color w:val="000000"/>
          <w:shd w:val="clear" w:color="auto" w:fill="auto"/>
        </w:rPr>
        <w:t>B1. Total Funding</w:t>
      </w:r>
      <w:bookmarkEnd w:id="8"/>
      <w:r>
        <w:rPr>
          <w:iCs w:val="0"/>
          <w:color w:val="000000"/>
          <w:shd w:val="clear" w:color="auto" w:fill="auto"/>
        </w:rPr>
        <w:t xml:space="preserv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Estimated Total Funding</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$600,000</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This section should specify the amount authorized for the entire program, not individual awards. Sample Text: 'The total amount of federal funds available is anticipated to be $32,000,000.'</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9" w:name="_Toc256000006"/>
      <w:r>
        <w:rPr>
          <w:iCs w:val="0"/>
          <w:color w:val="000000"/>
          <w:shd w:val="clear" w:color="auto" w:fill="auto"/>
        </w:rPr>
        <w:t>B2. Expected Award Amount</w:t>
      </w:r>
      <w:bookmarkEnd w:id="9"/>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Maximum Award Amount</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$600,000</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Minimum Award Amount</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$600,000</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If Minimum/Maximum Award Amounts do not apply, mark as 0$ and add a thorough explanation in the text field below.</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0" w:name="_Toc256000007"/>
      <w:r>
        <w:rPr>
          <w:iCs w:val="0"/>
          <w:color w:val="000000"/>
          <w:shd w:val="clear" w:color="auto" w:fill="auto"/>
        </w:rPr>
        <w:t>B3. Anticipated Dates</w:t>
      </w:r>
      <w:bookmarkEnd w:id="10"/>
      <w:r>
        <w:rPr>
          <w:iCs w:val="0"/>
          <w:color w:val="000000"/>
          <w:shd w:val="clear" w:color="auto" w:fill="auto"/>
        </w:rPr>
        <w:t xml:space="preserv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Award Start Date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September 01, 2023</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Provide award date and specify any rolling deadlines.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1" w:name="_Toc256000008"/>
      <w:r>
        <w:rPr>
          <w:iCs w:val="0"/>
          <w:color w:val="000000"/>
          <w:shd w:val="clear" w:color="auto" w:fill="auto"/>
        </w:rPr>
        <w:t>B4. Period of Performance</w:t>
      </w:r>
      <w:bookmarkEnd w:id="11"/>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As applicable, describe the anticipated periods of performance for awards issued through this funding opportunity</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Length of Project Periods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48-month project period with four 12-month budget periods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Length of Project Period Explanation of Other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Project Period l Expectation Duration in Months</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48</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For multi-year projects, outline multi-year project period and funding structure. (i.e. total amount of money allocated each year and how it will be provided.)</w:t>
      </w:r>
      <w:r>
        <w:rPr>
          <w:rFonts w:ascii="Times New Roman" w:eastAsia="Times New Roman" w:hAnsi="Times New Roman" w:cs="Times New Roman"/>
          <w:b w:val="0"/>
          <w:i w:val="0"/>
          <w:strike w:val="0"/>
          <w:vanish/>
          <w:color w:val="009745"/>
          <w:sz w:val="24"/>
          <w:u w:val="none"/>
        </w:rPr>
        <w:t xml:space="preserve"> </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2" w:name="_Toc256000009"/>
      <w:r>
        <w:rPr>
          <w:iCs w:val="0"/>
          <w:color w:val="000000"/>
          <w:shd w:val="clear" w:color="auto" w:fill="auto"/>
        </w:rPr>
        <w:t>B5. Numbers of Awards</w:t>
      </w:r>
      <w:bookmarkEnd w:id="12"/>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Enter number of awards the program anticipates making through this funding opportunity. If the program has established minimum and maximum values for the anticipated total number of awards, enter those values in the maximum and minimum fields below. If either of these values does not apply, enter “0” in the corresponding field(s) and then enter an alternate description of the anticipated number of awards in the following text field.</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Expected Number of Awards</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1</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3" w:name="_Toc256000010"/>
      <w:r>
        <w:rPr>
          <w:iCs w:val="0"/>
          <w:color w:val="000000"/>
          <w:shd w:val="clear" w:color="auto" w:fill="auto"/>
        </w:rPr>
        <w:t>B6. Type of Award</w:t>
      </w:r>
      <w:bookmarkEnd w:id="13"/>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Funding Instrument Type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CA - Cooperative Agreement</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The award will be a cooperative agreement. This involves substantial involvement by BOEM scientists in various aspects of study development and/or study conduct.</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4" w:name="_Toc256000011"/>
      <w:r>
        <w:rPr>
          <w:iCs w:val="0"/>
          <w:color w:val="000000"/>
          <w:shd w:val="clear" w:color="auto" w:fill="auto"/>
        </w:rPr>
        <w:t>B7. Other Federal Information</w:t>
      </w:r>
      <w:bookmarkEnd w:id="14"/>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Type of Competition</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Open to All Eligible Applicants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1Heading1"/>
        <w:widowControl/>
        <w:spacing w:before="161" w:after="161"/>
        <w:ind w:left="45" w:right="45"/>
        <w:outlineLvl w:val="9"/>
        <w:rPr>
          <w:b/>
          <w:bCs/>
          <w:szCs w:val="24"/>
        </w:rPr>
      </w:pPr>
      <w:bookmarkStart w:id="15" w:name="_Toc256000012"/>
      <w:r>
        <w:rPr>
          <w:color w:val="000000"/>
          <w:kern w:val="0"/>
          <w:shd w:val="clear" w:color="auto" w:fill="auto"/>
        </w:rPr>
        <w:t>C. Eligibility Information</w:t>
      </w:r>
      <w:bookmarkEnd w:id="15"/>
    </w:p>
    <w:p w:rsidP="00470374">
      <w:pPr>
        <w:keepLines w:val="0"/>
        <w:spacing w:before="120" w:after="6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This section addresses the considerations or factors that determine applicant or application eligibility. If there are no restrictions on eligibility, select “99 (Unrestricted) from the list of eligible applicants. If there are restrictions on eligibility, we must be clear about the specific types of recipients that are eligible, not just the types that are ineligible. Eligible recipients must also appear in the program’s SAM.gov Assistance Listing (CFDA) profile. The Notice of Funding Opportunity should make clear whether an applicant's failure to meet an eligibility criterion by the time of an application deadline will result in the Bureau returning the application without review or, even though an application may be reviewed, will preclude Bureau from making a Federal award. *PLEASE NOTE: Some entities are incorporated as non-profits but have not requested Internal Revenue Status (IRS) tax exemption status; programs with authorizing legislation that limits applicant eligibility to only those non-profits with a specific tax exemption status must make that restriction clear in this section and describe any related evidentiary documentation requirements].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6" w:name="_Toc256000013"/>
      <w:r>
        <w:rPr>
          <w:iCs w:val="0"/>
          <w:color w:val="000000"/>
          <w:shd w:val="clear" w:color="auto" w:fill="auto"/>
        </w:rPr>
        <w:t>C1. Eligible Applicants</w:t>
      </w:r>
      <w:bookmarkEnd w:id="16"/>
    </w:p>
    <w:p w:rsidP="00470374">
      <w:pPr>
        <w:keepLines w:val="0"/>
        <w:spacing w:before="120" w:after="6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If the program does not have any eligibility restrictions based on entity type, select the \\\"Anyone/general public” option in the following checklist. Enter any clarifying information in the following text box, as needed. If the program does have eligibility restrictions based on entity type, we must be clear about the specific types of entities who are eligible. To do so, check the boxes next to all eligible entity types in the following checklist and enter any clarifying information in the following text box, as needed. If there are restrictions on eligibility, it is important to be clear about the specific types of entities that are eligible, not just the types that are ineligible. For example, if the program is limited to nonprofit organizations subject to 26 U.S.C. 501(c)(3) of the tax code (26 U.S.C. 501(c)(3)), the announcement should say so. Similarly, it is better to state explicitly that Native American tribal organizations are eligible than to assume that they can unambiguously infer that from a statement that nonprofit organizations may apply. Programs may also express eligibility by exception (e.g., open to all types of domestic applicants other than individuals). Specifically reference any documentation applicants must submit to support an eligibility determination (e.g., if the program limits eligibility to only non-profits with a specific IRS status, state in the field below that proof of 501(c)(3) status as determined by the Internal Revenue Service or an authorizing tribal resolution is required). To the extent that any program funding restriction could affect the eligibility of an applicant or project, the announcement must either restate that restriction in this section or provide a cross-reference to its description as it appears elsewhere in this template.</w:t>
      </w:r>
    </w:p>
    <w:p w:rsidP="00470374">
      <w:pPr>
        <w:pStyle w:val="div"/>
        <w:keepLines w:val="0"/>
        <w:spacing w:before="20" w:after="2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06 – Public and State controlled institutions of higher education</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Additional Information on Eligibility </w:t>
      </w:r>
    </w:p>
    <w:p w:rsidP="00470374">
      <w:pPr>
        <w:keepLines w:val="0"/>
        <w:spacing w:before="6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Explanation required if “Others” is selected.</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7" w:name="_Toc256000014"/>
      <w:r>
        <w:rPr>
          <w:iCs w:val="0"/>
          <w:color w:val="000000"/>
          <w:shd w:val="clear" w:color="auto" w:fill="auto"/>
        </w:rPr>
        <w:t>C2. Cost Sharing or Matching</w:t>
      </w:r>
      <w:bookmarkEnd w:id="17"/>
    </w:p>
    <w:p w:rsidP="00470374">
      <w:pPr>
        <w:keepLines w:val="0"/>
        <w:spacing w:before="6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Notice of Funding Opportunities must state whether there is required cost sharing, matching, or cost participation without which an application would be ineligible (if cost sharing is not required, the Notice of Funding Opportunity must explicitly say so). All federal awards must have a statutory or regulatory basis to include a requirement for matching or cost sharing in a Notice of Funding Opportunity (NOFO). Required cost sharing may be a certain percentage or amount or may be in the form of contributions of specified items or activities (e.g., provision of equipment). It is important that the Notice of Funding Opportunity be clear about any restrictions on the types of cost (e.g., in-kind contributions) that are acceptable as cost sharing. Cost sharing as an eligibility criterion includes requirements based in statute or regulation as described in 2 CFR 200.306, §75.306 or those imposed by administrative decision of the Service. This section should refer to the appropriate portion(s) of Section D. stating any pre-award requirements for submission of letters or other documentation to verify commitments to meet cost-sharing requirements if a Federal award is made.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Cost Sharing/Matching Requirement</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No</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Percentage of Cost Sharing / Matching Requirement:</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18" w:name="_Toc256000015"/>
      <w:r>
        <w:rPr>
          <w:iCs w:val="0"/>
          <w:color w:val="000000"/>
          <w:shd w:val="clear" w:color="auto" w:fill="auto"/>
        </w:rPr>
        <w:t>C3. Other</w:t>
      </w:r>
      <w:bookmarkEnd w:id="18"/>
      <w:r>
        <w:rPr>
          <w:iCs w:val="0"/>
          <w:color w:val="000000"/>
          <w:shd w:val="clear" w:color="auto" w:fill="auto"/>
        </w:rPr>
        <w:t xml:space="preserv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Excluded Parties: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BOEM</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conducts a review of the SAM.gov Exclusions database for all applicant entities and their key project personnel prior to award. The Bureau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rsidP="00470374">
      <w:pPr>
        <w:keepLines w:val="0"/>
        <w:spacing w:before="6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Insert additional eligibility criteria.</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1Heading1"/>
        <w:widowControl/>
        <w:spacing w:before="161" w:after="161"/>
        <w:ind w:left="45" w:right="45"/>
        <w:outlineLvl w:val="9"/>
        <w:rPr>
          <w:b/>
          <w:bCs/>
          <w:szCs w:val="24"/>
        </w:rPr>
      </w:pPr>
      <w:bookmarkStart w:id="19" w:name="_Toc256000016"/>
      <w:r>
        <w:rPr>
          <w:color w:val="000000"/>
          <w:kern w:val="0"/>
          <w:shd w:val="clear" w:color="auto" w:fill="auto"/>
        </w:rPr>
        <w:t>D. Application and Submission Information</w:t>
      </w:r>
      <w:bookmarkEnd w:id="19"/>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0" w:name="_Toc256000017"/>
      <w:r>
        <w:rPr>
          <w:iCs w:val="0"/>
          <w:color w:val="000000"/>
          <w:shd w:val="clear" w:color="auto" w:fill="auto"/>
        </w:rPr>
        <w:t>D1. Address to Request Application Package</w:t>
      </w:r>
      <w:bookmarkEnd w:id="20"/>
    </w:p>
    <w:p w:rsidP="00470374">
      <w:pPr>
        <w:keepLines w:val="0"/>
        <w:spacing w:before="120" w:after="6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In the following text field, provide information for potential applicants on how to get application forms, kits, or other materials needed to apply. Specify if this Notice of Funding Opportunity contains everything needed or if applicants must go elsewhere to complete all documentation requirements</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The application must be submitted through the</w:t>
      </w:r>
      <w:r>
        <w:rPr>
          <w:rFonts w:ascii="Times New Roman" w:eastAsia="Times New Roman" w:hAnsi="Times New Roman" w:cs="Times New Roman"/>
          <w:b w:val="0"/>
          <w:i w:val="0"/>
          <w:strike w:val="0"/>
          <w:vanish w:val="0"/>
          <w:color w:val="000000"/>
          <w:sz w:val="24"/>
          <w:szCs w:val="24"/>
          <w:u w:val="none"/>
        </w:rPr>
        <w:t xml:space="preserve"> </w:t>
      </w:r>
      <w:hyperlink r:id="rId17" w:history="1">
        <w:r>
          <w:rPr>
            <w:rStyle w:val="ahref"/>
            <w:rFonts w:ascii="Times New Roman" w:eastAsia="Times New Roman" w:hAnsi="Times New Roman" w:cs="Times New Roman"/>
            <w:b w:val="0"/>
            <w:i w:val="0"/>
            <w:strike w:val="0"/>
            <w:vanish w:val="0"/>
            <w:color w:val="0000FF"/>
            <w:sz w:val="24"/>
            <w:szCs w:val="24"/>
            <w:u w:val="single" w:color="0000FF"/>
          </w:rPr>
          <w:t>www.Grants.gov</w:t>
        </w:r>
        <w:r>
          <w:rPr>
            <w:rStyle w:val="ahref"/>
            <w:rFonts w:ascii="Times New Roman" w:eastAsia="Times New Roman" w:hAnsi="Times New Roman" w:cs="Times New Roman"/>
            <w:b w:val="0"/>
            <w:i w:val="0"/>
            <w:strike w:val="0"/>
            <w:vanish w:val="0"/>
            <w:color w:val="0000FF"/>
            <w:sz w:val="24"/>
            <w:szCs w:val="24"/>
            <w:u w:val="single" w:color="0000FF"/>
          </w:rPr>
          <w:t xml:space="preserve"> </w:t>
        </w:r>
      </w:hyperlink>
      <w:r>
        <w:rPr>
          <w:rFonts w:ascii="Times New Roman" w:eastAsia="Times New Roman" w:hAnsi="Times New Roman" w:cs="Times New Roman"/>
          <w:b w:val="0"/>
          <w:i w:val="0"/>
          <w:strike w:val="0"/>
          <w:vanish w:val="0"/>
          <w:color w:val="000000"/>
          <w:sz w:val="24"/>
          <w:szCs w:val="24"/>
          <w:u w:val="none"/>
        </w:rPr>
        <w:t>portal at "</w:t>
      </w:r>
      <w:r>
        <w:rPr>
          <w:rFonts w:ascii="Times New Roman" w:eastAsia="Times New Roman" w:hAnsi="Times New Roman" w:cs="Times New Roman"/>
          <w:b w:val="0"/>
          <w:i w:val="0"/>
          <w:strike w:val="0"/>
          <w:vanish w:val="0"/>
          <w:color w:val="000000"/>
          <w:sz w:val="24"/>
          <w:szCs w:val="24"/>
          <w:u w:val="single"/>
        </w:rPr>
        <w:t>Apply for Grants</w:t>
      </w:r>
      <w:r>
        <w:rPr>
          <w:rFonts w:ascii="Times New Roman" w:eastAsia="Times New Roman" w:hAnsi="Times New Roman" w:cs="Times New Roman"/>
          <w:b w:val="0"/>
          <w:i w:val="0"/>
          <w:strike w:val="0"/>
          <w:vanish w:val="0"/>
          <w:color w:val="000000"/>
          <w:sz w:val="24"/>
          <w:szCs w:val="24"/>
          <w:u w:val="none"/>
        </w:rPr>
        <w:t>." The applicant can locate the application package by visiting the Grants.gov portal and searching on CFDA number 15.424 or this announcement in the Grants.gov search engine. See sections D3 and D7 for more information on the application process.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1" w:name="_Toc256000018"/>
      <w:r>
        <w:rPr>
          <w:iCs w:val="0"/>
          <w:color w:val="000000"/>
          <w:shd w:val="clear" w:color="auto" w:fill="auto"/>
        </w:rPr>
        <w:t>D2. Content and Form of Application Submission</w:t>
      </w:r>
      <w:bookmarkEnd w:id="21"/>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SF-424, Application for Federal Assistance</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SF-424 Application for Federal Assistance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SF-424a Budget Information</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SF-424b Assurances – Non-Construction Programs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Project Narrative Form (including Proposal Cover Sheet described below)</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Budget Narrative Form</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GG Certification Regarding Lobbying Form</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(Complete the Optional SF-LLL Lobbying form only if lobbying has occurred)</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The following header will display if this checkbox is selected:</w:t>
      </w:r>
      <w:r>
        <w:rPr>
          <w:rFonts w:ascii="Times New Roman" w:eastAsia="Times New Roman" w:hAnsi="Times New Roman" w:cs="Times New Roman"/>
          <w:b w:val="0"/>
          <w:i w:val="0"/>
          <w:strike w:val="0"/>
          <w:vanish/>
          <w:color w:val="009745"/>
          <w:sz w:val="24"/>
          <w:u w:val="none"/>
        </w:rPr>
        <w:t xml:space="preserve"> </w:t>
      </w:r>
      <w:r>
        <w:rPr>
          <w:rFonts w:ascii="Times New Roman" w:eastAsia="Times New Roman" w:hAnsi="Times New Roman" w:cs="Times New Roman"/>
          <w:b/>
          <w:bCs/>
          <w:i w:val="0"/>
          <w:strike w:val="0"/>
          <w:vanish/>
          <w:color w:val="009745"/>
          <w:sz w:val="24"/>
          <w:u w:val="none"/>
        </w:rPr>
        <w:t>SF 424B, Assurances for Non-Construction Programs</w:t>
      </w:r>
      <w:r>
        <w:rPr>
          <w:rFonts w:ascii="Times New Roman" w:eastAsia="Times New Roman" w:hAnsi="Times New Roman" w:cs="Times New Roman"/>
          <w:b/>
          <w:bCs/>
          <w:i w:val="0"/>
          <w:strike w:val="0"/>
          <w:vanish/>
          <w:color w:val="009745"/>
          <w:sz w:val="24"/>
          <w:u w:val="none"/>
        </w:rPr>
        <w:t xml:space="preserve"> </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The following header will display if this checkbox is selected:</w:t>
      </w:r>
      <w:r>
        <w:rPr>
          <w:rFonts w:ascii="Times New Roman" w:eastAsia="Times New Roman" w:hAnsi="Times New Roman" w:cs="Times New Roman"/>
          <w:b w:val="0"/>
          <w:i w:val="0"/>
          <w:strike w:val="0"/>
          <w:vanish/>
          <w:color w:val="009745"/>
          <w:sz w:val="24"/>
          <w:u w:val="none"/>
        </w:rPr>
        <w:t xml:space="preserve"> </w:t>
      </w:r>
      <w:r>
        <w:rPr>
          <w:rFonts w:ascii="Times New Roman" w:eastAsia="Times New Roman" w:hAnsi="Times New Roman" w:cs="Times New Roman"/>
          <w:b/>
          <w:bCs/>
          <w:i w:val="0"/>
          <w:strike w:val="0"/>
          <w:vanish/>
          <w:color w:val="009745"/>
          <w:sz w:val="24"/>
          <w:u w:val="none"/>
        </w:rPr>
        <w:t>SF 424D, Assurances for Construction Programs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Project Summary</w:t>
      </w:r>
    </w:p>
    <w:p w:rsidP="00470374">
      <w:pPr>
        <w:pStyle w:val="p"/>
        <w:keepLines w:val="0"/>
        <w:spacing w:before="0" w:after="140"/>
        <w:ind w:left="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There is an Administration and Department interest in identifying potential domestic sources of critical minerals.</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BOEM is responsible for managing energy and mineral resources on the Federal Outer Continental Shelf (OCS), a key component of potential mineral resources.</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BOEM’s mission involves providing access to OCS energy and mineral resources to meet both national and local needs while ensuring protection of the environment.</w:t>
      </w:r>
    </w:p>
    <w:p w:rsidP="00470374">
      <w:pPr>
        <w:pStyle w:val="p"/>
        <w:keepLines w:val="0"/>
        <w:spacing w:before="0" w:after="140"/>
        <w:ind w:left="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Identifying new sources of critical minerals requires a focused, ongoing effort to evaluate the domestic potential of both conventional and unconventional resources. The lack of geophysical surveys, geologic mapping, topographic, and bathymetric mapping at the scale required for mineral resource assessments and private sector exploration is a critical information gap that must be closed to facilitate domestic development. Less than 35 percent of the Nation’s Exclusive Economic Zone (EEZ) has been bathymetrically mapped with modern methods, and much less has been geologically mapped or characterized with enough resolution to facilitate mineral assessments</w:t>
      </w:r>
    </w:p>
    <w:p w:rsidP="00470374">
      <w:pPr>
        <w:pStyle w:val="p"/>
        <w:keepLines w:val="0"/>
        <w:spacing w:before="0" w:after="140"/>
        <w:ind w:left="360"/>
        <w:jc w:val="both"/>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This award will fund a collaborative effort by University and BOEM’s Marine Mineral Program staff to: Characterize the marine minerals in the OCS and provide information useful for leasing or other regulatory aspects like resource evaluation and management.</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The primary beneficiary of this effort will be the affected states, local governments, and universities who can use the information gain to plan for industry changes, municipal infrastructure, plan labor force and experience in integration of high tech to minimize the impacts of scientific studies.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Project Narrative</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The cover sheet of the proposal shall contain the following information:</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1.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Project Title: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2.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PI(s):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i.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Name: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ii.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Address: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iii. Phone: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iv.</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E-mail:</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3.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Name of University/Department:</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4.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Contact Information for Technical and Administrative Negotiations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5.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Project Status: New/Continuation</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6.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Project Duration: (years or months)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7.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Proposed Start Date: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8.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Proposed Draft Final Report Submission Date: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9.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Proposed Completion Date: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10. Amount Requested From BOEM:</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11. Amount and Sources of Non-Federal Match:</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12. Total Project Cost:</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13. Signature, Name, and Contact Information of University PI and Co-Investigator:</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14. Proposal Endorsement, including Signature, Name, Contact Information of Sponsoring University</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Department Dean or Institute Director:</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15. Signature, Name and Contact Information of Sponsoring University’s Office of Sponsored Programs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bCs/>
          <w:i w:val="0"/>
          <w:strike w:val="0"/>
          <w:color w:val="000000"/>
          <w:sz w:val="24"/>
          <w:szCs w:val="24"/>
          <w:u w:val="none"/>
        </w:rPr>
        <w:t>Proposal Text</w:t>
      </w:r>
      <w:r>
        <w:rPr>
          <w:rFonts w:ascii="Times New Roman" w:eastAsia="Times New Roman" w:hAnsi="Times New Roman" w:cs="Times New Roman"/>
          <w:b/>
          <w:bCs/>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The proposal must be in 11–12 point Times New Roman, Arial, or similar font with 1"-page margins.</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Non-conforming proposals will not be considered. Text, figures, etc. in support of items 1-10 below</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should be no longer than 15 pages. The proposal should include how the applicant will comply with the SAND EA as described in D6.</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Please include the following in the Proposal:</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1.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Abstract</w:t>
      </w:r>
      <w:r>
        <w:rPr>
          <w:rFonts w:ascii="Times New Roman" w:eastAsia="Times New Roman" w:hAnsi="Times New Roman" w:cs="Times New Roman"/>
          <w:b w:val="0"/>
          <w:i w:val="0"/>
          <w:strike w:val="0"/>
          <w:color w:val="000000"/>
          <w:sz w:val="24"/>
          <w:szCs w:val="24"/>
          <w:u w:val="single"/>
        </w:rPr>
        <w:br/>
      </w:r>
      <w:r>
        <w:rPr>
          <w:rFonts w:ascii="Times New Roman" w:eastAsia="Times New Roman" w:hAnsi="Times New Roman" w:cs="Times New Roman"/>
          <w:b w:val="0"/>
          <w:i w:val="0"/>
          <w:strike w:val="0"/>
          <w:color w:val="000000"/>
          <w:sz w:val="24"/>
          <w:szCs w:val="24"/>
          <w:u w:val="none"/>
        </w:rPr>
        <w:t xml:space="preserve">2.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Background/Relevance to BOEM Issues, Information Needs, and Research Topics</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Give a brief</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introduction to the research problem.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Specify the contribution to science related to MMP issues and the benefits that the public will receive from the project.</w:t>
      </w:r>
      <w:r>
        <w:rPr>
          <w:rFonts w:ascii="Times New Roman" w:eastAsia="Times New Roman" w:hAnsi="Times New Roman" w:cs="Times New Roman"/>
          <w:b w:val="0"/>
          <w:i w:val="0"/>
          <w:strike w:val="0"/>
          <w:color w:val="000000"/>
          <w:sz w:val="24"/>
          <w:szCs w:val="24"/>
          <w:u w:val="singl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Explain why the work is important and how the proposal addresses BOEM goals. Provide a brief summary of findings or outcomes of any prior work you have completed in this area.</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3.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Objectives/Hypotheses</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Clearly define goals of the project.</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4. </w:t>
      </w:r>
      <w:r>
        <w:rPr>
          <w:rFonts w:ascii="Times New Roman" w:eastAsia="Times New Roman" w:hAnsi="Times New Roman" w:cs="Times New Roman"/>
          <w:b w:val="0"/>
          <w:i w:val="0"/>
          <w:strike w:val="0"/>
          <w:color w:val="000000"/>
          <w:sz w:val="24"/>
          <w:szCs w:val="24"/>
          <w:u w:val="single"/>
        </w:rPr>
        <w:t>Methods/Analyses</w:t>
      </w:r>
      <w:r>
        <w:rPr>
          <w:rFonts w:ascii="Times New Roman" w:eastAsia="Times New Roman" w:hAnsi="Times New Roman" w:cs="Times New Roman"/>
          <w:b w:val="0"/>
          <w:i w:val="0"/>
          <w:strike w:val="0"/>
          <w:color w:val="000000"/>
          <w:sz w:val="24"/>
          <w:szCs w:val="24"/>
          <w:u w:val="none"/>
        </w:rPr>
        <w:t>: Provide a clear description of planned research methodologies and analyses.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5. </w:t>
      </w:r>
      <w:r>
        <w:rPr>
          <w:rFonts w:ascii="Times New Roman" w:eastAsia="Times New Roman" w:hAnsi="Times New Roman" w:cs="Times New Roman"/>
          <w:b w:val="0"/>
          <w:i w:val="0"/>
          <w:strike w:val="0"/>
          <w:color w:val="000000"/>
          <w:sz w:val="24"/>
          <w:szCs w:val="24"/>
          <w:u w:val="single"/>
        </w:rPr>
        <w:t>Project Deliverables and Planned Products</w:t>
      </w:r>
      <w:r>
        <w:rPr>
          <w:rFonts w:ascii="Times New Roman" w:eastAsia="Times New Roman" w:hAnsi="Times New Roman" w:cs="Times New Roman"/>
          <w:b w:val="0"/>
          <w:i w:val="0"/>
          <w:strike w:val="0"/>
          <w:color w:val="000000"/>
          <w:sz w:val="24"/>
          <w:szCs w:val="24"/>
          <w:u w:val="none"/>
        </w:rPr>
        <w:t>: Applicants shall provide plans for executing the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duties of the awardee listed in Section F3.</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6. </w:t>
      </w:r>
      <w:r>
        <w:rPr>
          <w:rFonts w:ascii="Times New Roman" w:eastAsia="Times New Roman" w:hAnsi="Times New Roman" w:cs="Times New Roman"/>
          <w:b w:val="0"/>
          <w:i w:val="0"/>
          <w:strike w:val="0"/>
          <w:color w:val="000000"/>
          <w:sz w:val="24"/>
          <w:szCs w:val="24"/>
          <w:u w:val="single"/>
        </w:rPr>
        <w:t>Staffing Plan</w:t>
      </w:r>
      <w:r>
        <w:rPr>
          <w:rFonts w:ascii="Times New Roman" w:eastAsia="Times New Roman" w:hAnsi="Times New Roman" w:cs="Times New Roman"/>
          <w:b w:val="0"/>
          <w:i w:val="0"/>
          <w:strike w:val="0"/>
          <w:color w:val="000000"/>
          <w:sz w:val="24"/>
          <w:szCs w:val="24"/>
          <w:u w:val="none"/>
        </w:rPr>
        <w:t>: All key personnel (including graduate student workers) shall be identified by</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name. List the University PI first, followed by the names of other individuals. Indicate the role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and anticipated level of effort for each key participant offering unique or specific contributions</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to the project (oceanographer, geochemist, field assistant, etc.). If names of any key participants</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are unknown, a proposal addendum with the names and curricula vitae must be submitted prior to</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award.</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7. </w:t>
      </w:r>
      <w:r>
        <w:rPr>
          <w:rFonts w:ascii="Times New Roman" w:eastAsia="Times New Roman" w:hAnsi="Times New Roman" w:cs="Times New Roman"/>
          <w:b w:val="0"/>
          <w:i w:val="0"/>
          <w:strike w:val="0"/>
          <w:color w:val="000000"/>
          <w:sz w:val="24"/>
          <w:szCs w:val="24"/>
          <w:u w:val="single"/>
        </w:rPr>
        <w:t>Performance Measures</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Applicants shall suggest specific measures that will be used to monitor</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project progress, including progress of sub-awardees (e.g., quality and timely deliverables, timely</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completion of fieldwork or other project components, draft peer-reviewed articles). These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performance measures will be incorporated in the cooperative agreement award and reviewed as part</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of any continuation request.</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8. </w:t>
      </w:r>
      <w:r>
        <w:rPr>
          <w:rFonts w:ascii="Times New Roman" w:eastAsia="Times New Roman" w:hAnsi="Times New Roman" w:cs="Times New Roman"/>
          <w:b w:val="0"/>
          <w:i w:val="0"/>
          <w:strike w:val="0"/>
          <w:color w:val="000000"/>
          <w:sz w:val="24"/>
          <w:szCs w:val="24"/>
          <w:u w:val="single"/>
        </w:rPr>
        <w:t>Critical Starting Dates</w:t>
      </w:r>
      <w:r>
        <w:rPr>
          <w:rFonts w:ascii="Times New Roman" w:eastAsia="Times New Roman" w:hAnsi="Times New Roman" w:cs="Times New Roman"/>
          <w:b w:val="0"/>
          <w:i w:val="0"/>
          <w:strike w:val="0"/>
          <w:color w:val="000000"/>
          <w:sz w:val="24"/>
          <w:szCs w:val="24"/>
          <w:u w:val="none"/>
        </w:rPr>
        <w:t xml:space="preserve"> (e.g., for season-limited field work): Identify any critical starting</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dates and the reason why project success is dependent upon that start date.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9.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Publication and Presentation</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BOEM strongly encourages the Awardees to publish project reports</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in scientific and technical journals, and present results to the scientific community, appropriate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professional organizations, and local, State, and/or Federal agencies as part of the project</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These publications and meetings should be included in the proposal and</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budget.</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10. </w:t>
      </w:r>
      <w:r>
        <w:rPr>
          <w:rFonts w:ascii="Times New Roman" w:eastAsia="Times New Roman" w:hAnsi="Times New Roman" w:cs="Times New Roman"/>
          <w:b w:val="0"/>
          <w:i w:val="0"/>
          <w:strike w:val="0"/>
          <w:color w:val="000000"/>
          <w:sz w:val="24"/>
          <w:szCs w:val="24"/>
          <w:u w:val="single"/>
        </w:rPr>
        <w:t>Bibliography</w:t>
      </w:r>
      <w:r>
        <w:rPr>
          <w:rFonts w:ascii="Times New Roman" w:eastAsia="Times New Roman" w:hAnsi="Times New Roman" w:cs="Times New Roman"/>
          <w:b w:val="0"/>
          <w:i w:val="0"/>
          <w:strike w:val="0"/>
          <w:color w:val="000000"/>
          <w:sz w:val="24"/>
          <w:szCs w:val="24"/>
          <w:u w:val="none"/>
        </w:rPr>
        <w:t>: List all references cited in the text, as well as references that are relevant to</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the current proposal from your past work in the field.</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11. </w:t>
      </w:r>
      <w:r>
        <w:rPr>
          <w:rFonts w:ascii="Times New Roman" w:eastAsia="Times New Roman" w:hAnsi="Times New Roman" w:cs="Times New Roman"/>
          <w:b w:val="0"/>
          <w:i w:val="0"/>
          <w:strike w:val="0"/>
          <w:color w:val="000000"/>
          <w:sz w:val="24"/>
          <w:szCs w:val="24"/>
          <w:u w:val="single"/>
        </w:rPr>
        <w:t>Budget Justification Narrative</w:t>
      </w:r>
      <w:r>
        <w:rPr>
          <w:rFonts w:ascii="Times New Roman" w:eastAsia="Times New Roman" w:hAnsi="Times New Roman" w:cs="Times New Roman"/>
          <w:b w:val="0"/>
          <w:i w:val="0"/>
          <w:strike w:val="0"/>
          <w:color w:val="000000"/>
          <w:sz w:val="24"/>
          <w:szCs w:val="24"/>
          <w:u w:val="none"/>
        </w:rPr>
        <w:t>: See below.</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bCs/>
          <w:i w:val="0"/>
          <w:strike w:val="0"/>
          <w:color w:val="000000"/>
          <w:sz w:val="24"/>
          <w:szCs w:val="24"/>
          <w:u w:val="none"/>
        </w:rPr>
        <w:t>SF 424A, Budget Information for Non-Construction Programs</w:t>
      </w:r>
      <w:r>
        <w:rPr>
          <w:rFonts w:ascii="Times New Roman" w:eastAsia="Times New Roman" w:hAnsi="Times New Roman" w:cs="Times New Roman"/>
          <w:b/>
          <w:bCs/>
          <w:i w:val="0"/>
          <w:strike w:val="0"/>
          <w:color w:val="000000"/>
          <w:sz w:val="24"/>
          <w:szCs w:val="24"/>
          <w:u w:val="none"/>
        </w:rPr>
        <w:t xml:space="preserve"> </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The following header will display if this checkbox is selected:</w:t>
      </w:r>
      <w:r>
        <w:rPr>
          <w:rFonts w:ascii="Times New Roman" w:eastAsia="Times New Roman" w:hAnsi="Times New Roman" w:cs="Times New Roman"/>
          <w:b w:val="0"/>
          <w:i w:val="0"/>
          <w:strike w:val="0"/>
          <w:vanish/>
          <w:color w:val="009745"/>
          <w:sz w:val="24"/>
          <w:u w:val="none"/>
        </w:rPr>
        <w:t xml:space="preserve"> </w:t>
      </w:r>
      <w:r>
        <w:rPr>
          <w:rFonts w:ascii="Times New Roman" w:eastAsia="Times New Roman" w:hAnsi="Times New Roman" w:cs="Times New Roman"/>
          <w:b/>
          <w:bCs/>
          <w:i w:val="0"/>
          <w:strike w:val="0"/>
          <w:vanish/>
          <w:color w:val="009745"/>
          <w:sz w:val="24"/>
          <w:u w:val="none"/>
        </w:rPr>
        <w:t>SF 424A, Budget Information for Non-Construction Programs</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Applicants must show funds requested from this Federal program separately from any other Federal sources of funding. In the “Budget Summary” section of the appropriate SF-424 budget form, use the first row for funding requested from this Federal program. Use subsequent row(s) for funding requested from this Federal program.</w:t>
      </w:r>
      <w:r>
        <w:rPr>
          <w:rFonts w:ascii="Times New Roman" w:eastAsia="Times New Roman" w:hAnsi="Times New Roman" w:cs="Times New Roman"/>
          <w:b w:val="0"/>
          <w:bCs w:val="0"/>
          <w:i w:val="0"/>
          <w:strike w:val="0"/>
          <w:vanish w:val="0"/>
          <w:color w:val="000000"/>
          <w:sz w:val="24"/>
          <w:szCs w:val="24"/>
          <w:u w:val="none"/>
        </w:rPr>
        <w:t xml:space="preserve"> </w:t>
      </w:r>
      <w:r>
        <w:rPr>
          <w:rFonts w:ascii="Times New Roman" w:eastAsia="Times New Roman" w:hAnsi="Times New Roman" w:cs="Times New Roman"/>
          <w:b w:val="0"/>
          <w:bCs w:val="0"/>
          <w:i w:val="0"/>
          <w:strike w:val="0"/>
          <w:vanish w:val="0"/>
          <w:color w:val="000000"/>
          <w:sz w:val="24"/>
          <w:szCs w:val="24"/>
          <w:u w:val="none"/>
        </w:rPr>
        <w:t>Use subsequent row(s) for other Federal funding.</w:t>
      </w:r>
      <w:r>
        <w:rPr>
          <w:rFonts w:ascii="Times New Roman" w:eastAsia="Times New Roman" w:hAnsi="Times New Roman" w:cs="Times New Roman"/>
          <w:b w:val="0"/>
          <w:bCs w:val="0"/>
          <w:i w:val="0"/>
          <w:strike w:val="0"/>
          <w:vanish w:val="0"/>
          <w:color w:val="000000"/>
          <w:sz w:val="24"/>
          <w:szCs w:val="24"/>
          <w:u w:val="none"/>
        </w:rPr>
        <w:t xml:space="preserve"> </w:t>
      </w:r>
      <w:r>
        <w:rPr>
          <w:rFonts w:ascii="Times New Roman" w:eastAsia="Times New Roman" w:hAnsi="Times New Roman" w:cs="Times New Roman"/>
          <w:b w:val="0"/>
          <w:bCs w:val="0"/>
          <w:i w:val="0"/>
          <w:strike w:val="0"/>
          <w:vanish w:val="0"/>
          <w:color w:val="000000"/>
          <w:sz w:val="24"/>
          <w:szCs w:val="24"/>
          <w:u w:val="none"/>
        </w:rPr>
        <w:t>Enter each Federal program’s CFDA number(s) in the corresponding fields on the form. Federal award recipients and subrecipients are subject to Federal award cost principles per the “</w:t>
      </w:r>
      <w:hyperlink r:id="rId18" w:history="1">
        <w:r>
          <w:rPr>
            <w:rStyle w:val="ahref"/>
            <w:rFonts w:ascii="Times New Roman" w:eastAsia="Times New Roman" w:hAnsi="Times New Roman" w:cs="Times New Roman"/>
            <w:b w:val="0"/>
            <w:bCs w:val="0"/>
            <w:i w:val="0"/>
            <w:strike w:val="0"/>
            <w:vanish w:val="0"/>
            <w:color w:val="0000FF"/>
            <w:sz w:val="24"/>
            <w:szCs w:val="24"/>
            <w:u w:val="single" w:color="0000FF"/>
          </w:rPr>
          <w:t>DOI Standard Award Terms and Conditions</w:t>
        </w:r>
      </w:hyperlink>
      <w:r>
        <w:rPr>
          <w:rFonts w:ascii="Times New Roman" w:eastAsia="Times New Roman" w:hAnsi="Times New Roman" w:cs="Times New Roman"/>
          <w:b w:val="0"/>
          <w:bCs w:val="0"/>
          <w:i w:val="0"/>
          <w:strike w:val="0"/>
          <w:vanish w:val="0"/>
          <w:color w:val="000000"/>
          <w:sz w:val="24"/>
          <w:szCs w:val="24"/>
          <w:u w:val="none"/>
        </w:rPr>
        <w:t>”. The CFDA number(s) for this program appears on the first page of this announcement.</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The following header will display if this checkbox is selected:</w:t>
      </w:r>
      <w:r>
        <w:rPr>
          <w:rFonts w:ascii="Times New Roman" w:eastAsia="Times New Roman" w:hAnsi="Times New Roman" w:cs="Times New Roman"/>
          <w:b w:val="0"/>
          <w:i w:val="0"/>
          <w:strike w:val="0"/>
          <w:vanish/>
          <w:color w:val="009745"/>
          <w:sz w:val="24"/>
          <w:u w:val="none"/>
        </w:rPr>
        <w:t xml:space="preserve"> </w:t>
      </w:r>
      <w:r>
        <w:rPr>
          <w:rFonts w:ascii="Times New Roman" w:eastAsia="Times New Roman" w:hAnsi="Times New Roman" w:cs="Times New Roman"/>
          <w:b/>
          <w:bCs/>
          <w:i w:val="0"/>
          <w:strike w:val="0"/>
          <w:vanish/>
          <w:color w:val="009745"/>
          <w:sz w:val="24"/>
          <w:u w:val="none"/>
        </w:rPr>
        <w:t>SF 424C, Budget Information for Construction Program</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Budget Narrative/Detailed Spreadsheet</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2 CFR 200.407 “Prior written approval (prior approval)” for more information. If equipment purchased previously with Federal funds is available for the project, provide a list of that equipment and identify the Federal funding source.</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bCs/>
          <w:i w:val="0"/>
          <w:strike w:val="0"/>
          <w:color w:val="000000"/>
          <w:sz w:val="24"/>
          <w:szCs w:val="24"/>
          <w:u w:val="single"/>
        </w:rPr>
        <w:t>Budget Justification Narrative</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This information will provide more details than the SF-424A form and will provide adequate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information for the Contracting Officer to conduct a detailed analysis of the costs to determine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they are reasonable, allowable, and allocable.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Please include the following:</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1.</w:t>
      </w:r>
      <w:r>
        <w:rPr>
          <w:rFonts w:ascii="Times New Roman" w:eastAsia="Times New Roman" w:hAnsi="Times New Roman" w:cs="Times New Roman"/>
          <w:b w:val="0"/>
          <w:i w:val="0"/>
          <w:strike w:val="0"/>
          <w:color w:val="000000"/>
          <w:sz w:val="24"/>
          <w:szCs w:val="24"/>
          <w:u w:val="single"/>
        </w:rPr>
        <w:t xml:space="preserve"> Salaries and Wages</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List positions, rate of compensation and estimated number of hours. If</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contract employees are hired, include their total time, rate of compensation, job titles, and</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roles.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2. </w:t>
      </w:r>
      <w:r>
        <w:rPr>
          <w:rFonts w:ascii="Times New Roman" w:eastAsia="Times New Roman" w:hAnsi="Times New Roman" w:cs="Times New Roman"/>
          <w:b w:val="0"/>
          <w:i w:val="0"/>
          <w:strike w:val="0"/>
          <w:color w:val="000000"/>
          <w:sz w:val="24"/>
          <w:szCs w:val="24"/>
          <w:u w:val="single"/>
        </w:rPr>
        <w:t>Fringe Benefits/Labor Overhead</w:t>
      </w:r>
      <w:r>
        <w:rPr>
          <w:rFonts w:ascii="Times New Roman" w:eastAsia="Times New Roman" w:hAnsi="Times New Roman" w:cs="Times New Roman"/>
          <w:b w:val="0"/>
          <w:i w:val="0"/>
          <w:strike w:val="0"/>
          <w:color w:val="000000"/>
          <w:sz w:val="24"/>
          <w:szCs w:val="24"/>
          <w:u w:val="none"/>
        </w:rPr>
        <w:t>. Indicate the rates/amounts in conformance with normal accounting</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procedures. Explain what costs are covered in this category and the basis of the rate computations.</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Provide a copy of the negotiated rate agreement, if available.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3.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Lab Analyses</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Briefly itemize cost of all analytical work.</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4. </w:t>
      </w:r>
      <w:r>
        <w:rPr>
          <w:rFonts w:ascii="Times New Roman" w:eastAsia="Times New Roman" w:hAnsi="Times New Roman" w:cs="Times New Roman"/>
          <w:b w:val="0"/>
          <w:i w:val="0"/>
          <w:strike w:val="0"/>
          <w:color w:val="000000"/>
          <w:sz w:val="24"/>
          <w:szCs w:val="24"/>
          <w:u w:val="single"/>
        </w:rPr>
        <w:t>Supplies</w:t>
      </w:r>
      <w:r>
        <w:rPr>
          <w:rFonts w:ascii="Times New Roman" w:eastAsia="Times New Roman" w:hAnsi="Times New Roman" w:cs="Times New Roman"/>
          <w:b w:val="0"/>
          <w:i w:val="0"/>
          <w:strike w:val="0"/>
          <w:color w:val="000000"/>
          <w:sz w:val="24"/>
          <w:szCs w:val="24"/>
          <w:u w:val="none"/>
        </w:rPr>
        <w:t>. Enter the cost for all tangible property. Include the cost of office, laboratory,</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computing, and field supplies separately. Provide detail on any specific item that represents a</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significant portion of the proposed amount. Provide a statement that supplies will be purchased in</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accordance with 2 CFR 200.318–326.</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5. </w:t>
      </w:r>
      <w:r>
        <w:rPr>
          <w:rFonts w:ascii="Times New Roman" w:eastAsia="Times New Roman" w:hAnsi="Times New Roman" w:cs="Times New Roman"/>
          <w:b w:val="0"/>
          <w:i w:val="0"/>
          <w:strike w:val="0"/>
          <w:color w:val="000000"/>
          <w:sz w:val="24"/>
          <w:szCs w:val="24"/>
          <w:u w:val="single"/>
        </w:rPr>
        <w:t>Equipment</w:t>
      </w:r>
      <w:r>
        <w:rPr>
          <w:rFonts w:ascii="Times New Roman" w:eastAsia="Times New Roman" w:hAnsi="Times New Roman" w:cs="Times New Roman"/>
          <w:b w:val="0"/>
          <w:i w:val="0"/>
          <w:strike w:val="0"/>
          <w:color w:val="000000"/>
          <w:sz w:val="24"/>
          <w:szCs w:val="24"/>
          <w:u w:val="none"/>
        </w:rPr>
        <w:t>. Show the cost of all special-purpose equipment necessary for achieving the objectives</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of the project. “Special-purpose equipment” means scientific equipment having a useful life of more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than 1 year and having an acquisition cost of $5,000 or more per item. Each item should be itemized</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and include a full justification and a dealer or manufacturer quote, if available.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General-purpose equipment (used also for purposes other than this project) must be purchased from</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the applicant’s operating funds. Title to non-expendable personal property shall be vested solely</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with the Awardee. Under no circumstances shall property title be vested in a sub-tier Awardee.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Provide a statement that equipment will be purchased in accordance with 2 CFR 200.318–326 and</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managed in accordance with 2 CFR 200.313.</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6. </w:t>
      </w:r>
      <w:r>
        <w:rPr>
          <w:rFonts w:ascii="Times New Roman" w:eastAsia="Times New Roman" w:hAnsi="Times New Roman" w:cs="Times New Roman"/>
          <w:b w:val="0"/>
          <w:i w:val="0"/>
          <w:strike w:val="0"/>
          <w:color w:val="000000"/>
          <w:sz w:val="24"/>
          <w:szCs w:val="24"/>
          <w:u w:val="single"/>
        </w:rPr>
        <w:t>Services or Consultants</w:t>
      </w:r>
      <w:r>
        <w:rPr>
          <w:rFonts w:ascii="Times New Roman" w:eastAsia="Times New Roman" w:hAnsi="Times New Roman" w:cs="Times New Roman"/>
          <w:b w:val="0"/>
          <w:i w:val="0"/>
          <w:strike w:val="0"/>
          <w:color w:val="000000"/>
          <w:sz w:val="24"/>
          <w:szCs w:val="24"/>
          <w:u w:val="none"/>
        </w:rPr>
        <w:t>. Identify the tasks or problems for which such services would be used.</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List the contemplated sub-Awardees by name (including consultants), the estimated amount of time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required, and the quoted rate per day or hour. Sub-applicant proposals should provide cost</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breakdowns at the same level of detail as the Applicant’s proposal. If contract employees are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hired, include their total time, rate of compensation, job titles, and roles.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Provide a statement</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that salaries will be charged at the actual rate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and that the rate is comparable to others doing similar work within the organization.</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7. </w:t>
      </w:r>
      <w:r>
        <w:rPr>
          <w:rFonts w:ascii="Times New Roman" w:eastAsia="Times New Roman" w:hAnsi="Times New Roman" w:cs="Times New Roman"/>
          <w:b w:val="0"/>
          <w:i w:val="0"/>
          <w:strike w:val="0"/>
          <w:color w:val="000000"/>
          <w:sz w:val="24"/>
          <w:szCs w:val="24"/>
          <w:u w:val="single"/>
        </w:rPr>
        <w:t>Travel</w:t>
      </w:r>
      <w:r>
        <w:rPr>
          <w:rFonts w:ascii="Times New Roman" w:eastAsia="Times New Roman" w:hAnsi="Times New Roman" w:cs="Times New Roman"/>
          <w:b w:val="0"/>
          <w:i w:val="0"/>
          <w:strike w:val="0"/>
          <w:color w:val="000000"/>
          <w:sz w:val="24"/>
          <w:szCs w:val="24"/>
          <w:u w:val="none"/>
        </w:rPr>
        <w:t>. State the purpose of the trip and itemize the estimated travel costs to show the number</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of trips required, the destinations, the number of people traveling, the per diem rates, the cost</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of transportation, and any miscellaneous expenses for each</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trip. Calculations of other special transportation costs (such as charges for use of applicant-owned vehicles or vehicle rental costs) should also be shown. Applicants are encouraged to include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in the proposal a plan to present findings at one to two major meetings (see above Proposal Text</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item 1).</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8. </w:t>
      </w:r>
      <w:r>
        <w:rPr>
          <w:rFonts w:ascii="Times New Roman" w:eastAsia="Times New Roman" w:hAnsi="Times New Roman" w:cs="Times New Roman"/>
          <w:b w:val="0"/>
          <w:i w:val="0"/>
          <w:strike w:val="0"/>
          <w:color w:val="000000"/>
          <w:sz w:val="24"/>
          <w:szCs w:val="24"/>
          <w:u w:val="single"/>
        </w:rPr>
        <w:t>Publication Costs</w:t>
      </w:r>
      <w:r>
        <w:rPr>
          <w:rFonts w:ascii="Times New Roman" w:eastAsia="Times New Roman" w:hAnsi="Times New Roman" w:cs="Times New Roman"/>
          <w:b w:val="0"/>
          <w:i w:val="0"/>
          <w:strike w:val="0"/>
          <w:color w:val="000000"/>
          <w:sz w:val="24"/>
          <w:szCs w:val="24"/>
          <w:u w:val="none"/>
        </w:rPr>
        <w:t>. Indicate an estimate of labor and other unique costs associated with</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preparation of the draft final report. If publication of results of the research in the peer-reviewed literature (identify likely publications) is anticipated, include costs of drafting or</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graphics, reproduction, page, or illustration charges, and a minimum number of reprints.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9.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single"/>
        </w:rPr>
        <w:t>Other Direct Costs</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Itemize the different types of costs not included elsewhere.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10. </w:t>
      </w:r>
      <w:r>
        <w:rPr>
          <w:rFonts w:ascii="Times New Roman" w:eastAsia="Times New Roman" w:hAnsi="Times New Roman" w:cs="Times New Roman"/>
          <w:b w:val="0"/>
          <w:i w:val="0"/>
          <w:strike w:val="0"/>
          <w:color w:val="000000"/>
          <w:sz w:val="24"/>
          <w:szCs w:val="24"/>
          <w:u w:val="single"/>
        </w:rPr>
        <w:t>Total Direct Charges</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Totals for items 1–9.</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11. </w:t>
      </w:r>
      <w:r>
        <w:rPr>
          <w:rFonts w:ascii="Times New Roman" w:eastAsia="Times New Roman" w:hAnsi="Times New Roman" w:cs="Times New Roman"/>
          <w:b w:val="0"/>
          <w:i w:val="0"/>
          <w:strike w:val="0"/>
          <w:color w:val="000000"/>
          <w:sz w:val="24"/>
          <w:szCs w:val="24"/>
          <w:u w:val="single"/>
        </w:rPr>
        <w:t>Indirect Charges (Overhead)</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Indirect cost/general and administrative (G&amp;A)</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cost. Show the proposed rate, cost base, and proposed amount for indirect costs based on the cost</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principles applicable to the Applicant’s organization. If the Applicant has separate rates for</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recovery of labor overhead and G&amp;A costs, each charge should be shown. Provide a copy of the</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negotiated rate agreement with the Applicant’s Federal cognizant audit agency.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[If applicable.]</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12. </w:t>
      </w:r>
      <w:r>
        <w:rPr>
          <w:rFonts w:ascii="Times New Roman" w:eastAsia="Times New Roman" w:hAnsi="Times New Roman" w:cs="Times New Roman"/>
          <w:b w:val="0"/>
          <w:i w:val="0"/>
          <w:strike w:val="0"/>
          <w:color w:val="000000"/>
          <w:sz w:val="24"/>
          <w:szCs w:val="24"/>
          <w:u w:val="single"/>
        </w:rPr>
        <w:t>Amount Proposed</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Total items 10 and 11.</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13. </w:t>
      </w:r>
      <w:r>
        <w:rPr>
          <w:rFonts w:ascii="Times New Roman" w:eastAsia="Times New Roman" w:hAnsi="Times New Roman" w:cs="Times New Roman"/>
          <w:b w:val="0"/>
          <w:i w:val="0"/>
          <w:strike w:val="0"/>
          <w:color w:val="000000"/>
          <w:sz w:val="24"/>
          <w:szCs w:val="24"/>
          <w:u w:val="single"/>
        </w:rPr>
        <w:t>Multi-year Projects</w:t>
      </w:r>
      <w:r>
        <w:rPr>
          <w:rFonts w:ascii="Times New Roman" w:eastAsia="Times New Roman" w:hAnsi="Times New Roman" w:cs="Times New Roman"/>
          <w:b w:val="0"/>
          <w:i w:val="0"/>
          <w:strike w:val="0"/>
          <w:color w:val="000000"/>
          <w:sz w:val="24"/>
          <w:szCs w:val="24"/>
          <w:u w:val="none"/>
        </w:rPr>
        <w:t>. The Applicant shall provide summary information as well as a detailed</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budget for each year.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Funds requested for the final year of performance shall</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 xml:space="preserve">comprise a minimum of 15% of the project’s total anticipated budget.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[If applicable.]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Conflict of Internet Disclosure</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Per the</w:t>
      </w:r>
      <w:r>
        <w:rPr>
          <w:rFonts w:ascii="Times New Roman" w:eastAsia="Times New Roman" w:hAnsi="Times New Roman" w:cs="Times New Roman"/>
          <w:b/>
          <w:bCs/>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Financial Assistance Interior Regulation (FAIR), </w:t>
      </w:r>
      <w:hyperlink r:id="rId19" w:history="1">
        <w:r>
          <w:rPr>
            <w:rStyle w:val="ahref"/>
            <w:rFonts w:ascii="Times New Roman" w:eastAsia="Times New Roman" w:hAnsi="Times New Roman" w:cs="Times New Roman"/>
            <w:b w:val="0"/>
            <w:bCs w:val="0"/>
            <w:i w:val="0"/>
            <w:strike w:val="0"/>
            <w:color w:val="0000FF"/>
            <w:sz w:val="24"/>
            <w:szCs w:val="24"/>
            <w:u w:val="single" w:color="0000FF"/>
          </w:rPr>
          <w:t>2 CFR §1402.112</w:t>
        </w:r>
      </w:hyperlink>
      <w:r>
        <w:rPr>
          <w:rFonts w:ascii="Times New Roman" w:eastAsia="Times New Roman" w:hAnsi="Times New Roman" w:cs="Times New Roman"/>
          <w:b w:val="0"/>
          <w:bCs w:val="0"/>
          <w:i w:val="0"/>
          <w:strike w:val="0"/>
          <w:color w:val="000000"/>
          <w:sz w:val="24"/>
          <w:szCs w:val="24"/>
          <w:u w:val="none"/>
        </w:rPr>
        <w:t xml:space="preserve">, applicants must state in their application if any actual or potential conflict of interest exists at the time of submission. Please reference the </w:t>
      </w:r>
      <w:hyperlink r:id="rId20" w:history="1">
        <w:r>
          <w:rPr>
            <w:rStyle w:val="ahref"/>
            <w:rFonts w:ascii="Times New Roman" w:eastAsia="Times New Roman" w:hAnsi="Times New Roman" w:cs="Times New Roman"/>
            <w:b w:val="0"/>
            <w:bCs w:val="0"/>
            <w:i w:val="0"/>
            <w:strike w:val="0"/>
            <w:color w:val="0000FF"/>
            <w:sz w:val="24"/>
            <w:szCs w:val="24"/>
            <w:u w:val="single" w:color="0000FF"/>
          </w:rPr>
          <w:t>Federal Activities Inventory Reform Act</w:t>
        </w:r>
      </w:hyperlink>
      <w:r>
        <w:rPr>
          <w:rFonts w:ascii="Times New Roman" w:eastAsia="Times New Roman" w:hAnsi="Times New Roman" w:cs="Times New Roman"/>
          <w:b w:val="0"/>
          <w:bCs w:val="0"/>
          <w:i w:val="0"/>
          <w:strike w:val="0"/>
          <w:color w:val="000000"/>
          <w:sz w:val="24"/>
          <w:szCs w:val="24"/>
          <w:u w:val="none"/>
        </w:rPr>
        <w:t xml:space="preserve"> for additional details.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(a) </w:t>
      </w:r>
      <w:r>
        <w:rPr>
          <w:rFonts w:ascii="Times New Roman" w:eastAsia="Times New Roman" w:hAnsi="Times New Roman" w:cs="Times New Roman"/>
          <w:b w:val="0"/>
          <w:bCs w:val="0"/>
          <w:i/>
          <w:iCs/>
          <w:strike w:val="0"/>
          <w:color w:val="000000"/>
          <w:sz w:val="24"/>
          <w:szCs w:val="24"/>
          <w:u w:val="none"/>
        </w:rPr>
        <w:t>Applicability</w:t>
      </w:r>
      <w:r>
        <w:rPr>
          <w:rFonts w:ascii="Times New Roman" w:eastAsia="Times New Roman" w:hAnsi="Times New Roman" w:cs="Times New Roman"/>
          <w:b w:val="0"/>
          <w:bCs w:val="0"/>
          <w:i w:val="0"/>
          <w:strike w:val="0"/>
          <w:color w:val="000000"/>
          <w:sz w:val="24"/>
          <w:szCs w:val="24"/>
          <w:u w:val="none"/>
        </w:rPr>
        <w:t>.</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(1) This section intends to ensure that non-Federal entities and their employees take appropriate steps to avoid conflicts of interest in their responsibilities under or with respect to Federal financial assistance agreements.</w:t>
      </w:r>
      <w:r>
        <w:rPr>
          <w:rFonts w:ascii="Times New Roman" w:eastAsia="Times New Roman" w:hAnsi="Times New Roman" w:cs="Times New Roman"/>
          <w:b w:val="0"/>
          <w:bCs w:val="0"/>
          <w:i w:val="0"/>
          <w:strike w:val="0"/>
          <w:color w:val="000000"/>
          <w:sz w:val="24"/>
          <w:szCs w:val="24"/>
          <w:u w:val="none"/>
        </w:rPr>
        <w:t xml:space="preserve"> </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(2) In the procurement of supplies, equipment, construction, and services by recipients and by subrecipients, the conflict of interest provisions in 2 CFR 200.318 apply.</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(b)</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iCs/>
          <w:strike w:val="0"/>
          <w:color w:val="000000"/>
          <w:sz w:val="24"/>
          <w:szCs w:val="24"/>
          <w:u w:val="none"/>
        </w:rPr>
        <w:t>Notification</w:t>
      </w:r>
      <w:r>
        <w:rPr>
          <w:rFonts w:ascii="Times New Roman" w:eastAsia="Times New Roman" w:hAnsi="Times New Roman" w:cs="Times New Roman"/>
          <w:b w:val="0"/>
          <w:bCs w:val="0"/>
          <w:i w:val="0"/>
          <w:strike w:val="0"/>
          <w:color w:val="000000"/>
          <w:sz w:val="24"/>
          <w:szCs w:val="24"/>
          <w:u w:val="none"/>
        </w:rPr>
        <w:t>. (1) Non-Federal entities, including applicants for financial assistance awards, must disclose in writing any conflict of interest to the DOI awarding agency or pass-through entity in accordance with 2 CFR 200.112.</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(2) Recipients must establish internal controls that include, at a minimum, procedures to identify, disclose, and mitigate or eliminate identified conflicts of interest.</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The recipient is responsible for notifying the Financial Assistance Officer in writing of any conflicts of interest that may arise during the life of the award, including those that have been reported by subrecipients. </w:t>
      </w:r>
      <w:r>
        <w:rPr>
          <w:rFonts w:ascii="Times New Roman" w:eastAsia="Times New Roman" w:hAnsi="Times New Roman" w:cs="Times New Roman"/>
          <w:b w:val="0"/>
          <w:bCs w:val="0"/>
          <w:i w:val="0"/>
          <w:strike w:val="0"/>
          <w:color w:val="000000"/>
          <w:sz w:val="24"/>
          <w:szCs w:val="24"/>
          <w:u w:val="none"/>
        </w:rPr>
        <w:t xml:space="preserve"> </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(c)</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iCs/>
          <w:strike w:val="0"/>
          <w:color w:val="000000"/>
          <w:sz w:val="24"/>
          <w:szCs w:val="24"/>
          <w:u w:val="none"/>
        </w:rPr>
        <w:t>Restrictions on lobbying</w:t>
      </w:r>
      <w:r>
        <w:rPr>
          <w:rFonts w:ascii="Times New Roman" w:eastAsia="Times New Roman" w:hAnsi="Times New Roman" w:cs="Times New Roman"/>
          <w:b w:val="0"/>
          <w:bCs w:val="0"/>
          <w:i w:val="0"/>
          <w:strike w:val="0"/>
          <w:color w:val="000000"/>
          <w:sz w:val="24"/>
          <w:szCs w:val="24"/>
          <w:u w:val="none"/>
        </w:rPr>
        <w:t>.</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Non-Federal entities are strictly prohibited from using funds under a grant or cooperative agreement for lobbying activities and must provide the required certifications and disclosures pursuant to 43 CFR part 18 and 31 U.S.C. 1352.</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(d)</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iCs/>
          <w:strike w:val="0"/>
          <w:color w:val="000000"/>
          <w:sz w:val="24"/>
          <w:szCs w:val="24"/>
          <w:u w:val="none"/>
        </w:rPr>
        <w:t>Review procedures</w:t>
      </w:r>
      <w:r>
        <w:rPr>
          <w:rFonts w:ascii="Times New Roman" w:eastAsia="Times New Roman" w:hAnsi="Times New Roman" w:cs="Times New Roman"/>
          <w:b w:val="0"/>
          <w:bCs w:val="0"/>
          <w:i w:val="0"/>
          <w:strike w:val="0"/>
          <w:color w:val="000000"/>
          <w:sz w:val="24"/>
          <w:szCs w:val="24"/>
          <w:u w:val="none"/>
        </w:rPr>
        <w:t>.</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it.(e)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Single Audit Reporting Statement</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21" w:history="1">
        <w:r>
          <w:rPr>
            <w:rStyle w:val="ahref"/>
            <w:rFonts w:ascii="Times New Roman" w:eastAsia="Times New Roman" w:hAnsi="Times New Roman" w:cs="Times New Roman"/>
            <w:b w:val="0"/>
            <w:bCs w:val="0"/>
            <w:i w:val="0"/>
            <w:strike w:val="0"/>
            <w:color w:val="0000FF"/>
            <w:sz w:val="24"/>
            <w:szCs w:val="24"/>
            <w:u w:val="single" w:color="0000FF"/>
          </w:rPr>
          <w:t>Federal Audit Clearinghouse’s Internet Data Entry System</w:t>
        </w:r>
      </w:hyperlink>
      <w:r>
        <w:rPr>
          <w:rFonts w:ascii="Times New Roman" w:eastAsia="Times New Roman" w:hAnsi="Times New Roman" w:cs="Times New Roman"/>
          <w:b w:val="0"/>
          <w:bCs w:val="0"/>
          <w:i w:val="0"/>
          <w:strike w:val="0"/>
          <w:color w:val="000000"/>
          <w:sz w:val="24"/>
          <w:szCs w:val="24"/>
          <w:u w:val="none"/>
        </w:rPr>
        <w:t>.</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U.S. state, local government, federally recognized Indian tribal government, and non-profit applicants must state if your organization was or was not required to submit a Single Audit report for the most recently closed fiscal year.</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If your organization was required to submit a Single Audit report for the most recently closed fiscal year, provide the EIN associated with that report and state if it is available through the </w:t>
      </w:r>
      <w:hyperlink r:id="rId22" w:history="1">
        <w:r>
          <w:rPr>
            <w:rStyle w:val="ahref"/>
            <w:rFonts w:ascii="Times New Roman" w:eastAsia="Times New Roman" w:hAnsi="Times New Roman" w:cs="Times New Roman"/>
            <w:b w:val="0"/>
            <w:bCs w:val="0"/>
            <w:i w:val="0"/>
            <w:strike w:val="0"/>
            <w:color w:val="0000FF"/>
            <w:sz w:val="24"/>
            <w:szCs w:val="24"/>
            <w:u w:val="single" w:color="0000FF"/>
          </w:rPr>
          <w:t>Federal Audit Clearinghouse</w:t>
        </w:r>
      </w:hyperlink>
      <w:r>
        <w:rPr>
          <w:rFonts w:ascii="Times New Roman" w:eastAsia="Times New Roman" w:hAnsi="Times New Roman" w:cs="Times New Roman"/>
          <w:b w:val="0"/>
          <w:bCs w:val="0"/>
          <w:i w:val="0"/>
          <w:strike w:val="0"/>
          <w:color w:val="000000"/>
          <w:sz w:val="24"/>
          <w:szCs w:val="24"/>
          <w:u w:val="none"/>
        </w:rPr>
        <w:t xml:space="preserve"> website.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Certification Regarding Lobbying</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Applicants requesting more than $100,000 in Federal funding must certify to the statements in </w:t>
      </w:r>
      <w:hyperlink r:id="rId23" w:history="1">
        <w:r>
          <w:rPr>
            <w:rStyle w:val="ahref"/>
            <w:rFonts w:ascii="Times New Roman" w:eastAsia="Times New Roman" w:hAnsi="Times New Roman" w:cs="Times New Roman"/>
            <w:b w:val="0"/>
            <w:bCs w:val="0"/>
            <w:i w:val="0"/>
            <w:strike w:val="0"/>
            <w:color w:val="0000FF"/>
            <w:sz w:val="24"/>
            <w:szCs w:val="24"/>
            <w:u w:val="single" w:color="0000FF"/>
          </w:rPr>
          <w:t>43 CFR Part 18, Appendix A-Certification Regarding Lobbying</w:t>
        </w:r>
      </w:hyperlink>
      <w:r>
        <w:rPr>
          <w:rFonts w:ascii="Times New Roman" w:eastAsia="Times New Roman" w:hAnsi="Times New Roman" w:cs="Times New Roman"/>
          <w:b w:val="0"/>
          <w:bCs w:val="0"/>
          <w:i w:val="0"/>
          <w:strike w:val="0"/>
          <w:color w:val="000000"/>
          <w:sz w:val="24"/>
          <w:szCs w:val="24"/>
          <w:u w:val="none"/>
        </w:rPr>
        <w:t>. If this application requests more than $100,000 in Federal funds, the Authorized Official’s signature on the appropriate SF-424, Application for Federal Assistance form also represents the entity’s certification of the statements in 43 CFR Part 18, Appendix A.</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The following header will display if this checkbox is selected:</w:t>
      </w:r>
      <w:r>
        <w:rPr>
          <w:rFonts w:ascii="Times New Roman" w:eastAsia="Times New Roman" w:hAnsi="Times New Roman" w:cs="Times New Roman"/>
          <w:b w:val="0"/>
          <w:i w:val="0"/>
          <w:strike w:val="0"/>
          <w:vanish/>
          <w:color w:val="009745"/>
          <w:sz w:val="24"/>
          <w:u w:val="none"/>
        </w:rPr>
        <w:t xml:space="preserve"> </w:t>
      </w:r>
      <w:r>
        <w:rPr>
          <w:rFonts w:ascii="Times New Roman" w:eastAsia="Times New Roman" w:hAnsi="Times New Roman" w:cs="Times New Roman"/>
          <w:b/>
          <w:bCs/>
          <w:i w:val="0"/>
          <w:strike w:val="0"/>
          <w:vanish/>
          <w:color w:val="009745"/>
          <w:sz w:val="24"/>
          <w:u w:val="none"/>
        </w:rPr>
        <w:t>Disclosure of Lobbying Activities</w:t>
      </w:r>
      <w:r>
        <w:rPr>
          <w:rFonts w:ascii="Times New Roman" w:eastAsia="Times New Roman" w:hAnsi="Times New Roman" w:cs="Times New Roman"/>
          <w:b/>
          <w:bCs/>
          <w:i w:val="0"/>
          <w:strike w:val="0"/>
          <w:vanish/>
          <w:color w:val="009745"/>
          <w:sz w:val="24"/>
          <w:u w:val="none"/>
        </w:rPr>
        <w:t xml:space="preserve"> </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SF-LLL, Disclosure of Lobbying Activities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See 43 CFR, Subpart 18.100 for more information on when additional submission of this form is required.</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Overlap or Duplication of Effort Statement</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Applicants must provide a statement indicating if there is any overlap between this Federal application and any other Federal application, or funded project, in regards to activities, costs, or time commitment of key personnel. If no such overlap or duplication exists, state, “There are no overlaps or duplication between this application and any of our other Federal applications or funded projects, including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2" w:name="_Toc256000019"/>
      <w:r>
        <w:rPr>
          <w:iCs w:val="0"/>
          <w:color w:val="000000"/>
          <w:shd w:val="clear" w:color="auto" w:fill="auto"/>
        </w:rPr>
        <w:t>D3. Unique Entity Identifier and System for Award Management (SAM)</w:t>
      </w:r>
      <w:bookmarkEnd w:id="22"/>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bCs/>
          <w:i w:val="0"/>
          <w:strike w:val="0"/>
          <w:color w:val="000000"/>
          <w:sz w:val="24"/>
          <w:szCs w:val="24"/>
          <w:u w:val="none"/>
        </w:rPr>
        <w:t>Identifier and System for Award Management (SAM.gov) Registration:</w:t>
      </w:r>
      <w:r>
        <w:rPr>
          <w:rFonts w:ascii="Times New Roman" w:eastAsia="Times New Roman" w:hAnsi="Times New Roman" w:cs="Times New Roman"/>
          <w:b w:val="0"/>
          <w:bCs w:val="0"/>
          <w:i w:val="0"/>
          <w:strike w:val="0"/>
          <w:color w:val="000000"/>
          <w:sz w:val="24"/>
          <w:szCs w:val="24"/>
          <w:u w:val="none"/>
        </w:rPr>
        <w:t xml:space="preserve"> This requirement does not apply to individuals applying for funds as an individual (i.e., unrelated to any business or nonprofit organization you may own, operate, or work within), or any entity with an exception to bypass SAM.gov registration with prior approval from the funding bureau or office in accordance with bureau or office policy. All other applicants are required to register in SAM.gov prior to submitting a Federal award application and obtain a </w:t>
      </w:r>
      <w:hyperlink r:id="rId24" w:history="1">
        <w:r>
          <w:rPr>
            <w:rStyle w:val="ahref"/>
            <w:rFonts w:ascii="Times New Roman" w:eastAsia="Times New Roman" w:hAnsi="Times New Roman" w:cs="Times New Roman"/>
            <w:b w:val="0"/>
            <w:bCs w:val="0"/>
            <w:i w:val="0"/>
            <w:strike w:val="0"/>
            <w:color w:val="0000FF"/>
            <w:sz w:val="24"/>
            <w:szCs w:val="24"/>
            <w:u w:val="single" w:color="0000FF"/>
          </w:rPr>
          <w:t>Unique Entity Identifier (UEI)</w:t>
        </w:r>
      </w:hyperlink>
      <w:r>
        <w:rPr>
          <w:rFonts w:ascii="Times New Roman" w:eastAsia="Times New Roman" w:hAnsi="Times New Roman" w:cs="Times New Roman"/>
          <w:b w:val="0"/>
          <w:bCs w:val="0"/>
          <w:i w:val="0"/>
          <w:strike w:val="0"/>
          <w:color w:val="000000"/>
          <w:sz w:val="24"/>
          <w:szCs w:val="24"/>
          <w:u w:val="none"/>
        </w:rPr>
        <w:t xml:space="preserve"> which replaces the Data Universal Numbering System (DUNS) number from Dun &amp; Bradstreet in April 2022.</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A Federal award may not be made to an applicant that has not completed the SAM.gov registration. If an applicant selected for funding has not completed their SAM.gov registration by the time the program is ready to make an award, the program may determine the applicant is not qualified to receive an award. Federal award recipients must also continue to maintain an active SAM.gov registration with current information through the life of their Federal award(s).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bCs/>
          <w:i w:val="0"/>
          <w:strike w:val="0"/>
          <w:color w:val="000000"/>
          <w:sz w:val="24"/>
          <w:szCs w:val="24"/>
          <w:u w:val="none"/>
        </w:rPr>
        <w:t>Register with the System for Award Management (SAM)</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Applicants can register on the </w:t>
      </w:r>
      <w:hyperlink r:id="rId25" w:history="1">
        <w:r>
          <w:rPr>
            <w:rStyle w:val="ahref"/>
            <w:rFonts w:ascii="Times New Roman" w:eastAsia="Times New Roman" w:hAnsi="Times New Roman" w:cs="Times New Roman"/>
            <w:b w:val="0"/>
            <w:bCs w:val="0"/>
            <w:i w:val="0"/>
            <w:strike w:val="0"/>
            <w:color w:val="0000FF"/>
            <w:sz w:val="24"/>
            <w:szCs w:val="24"/>
            <w:u w:val="single" w:color="0000FF"/>
          </w:rPr>
          <w:t>SAM.gov</w:t>
        </w:r>
      </w:hyperlink>
      <w:r>
        <w:rPr>
          <w:rFonts w:ascii="Times New Roman" w:eastAsia="Times New Roman" w:hAnsi="Times New Roman" w:cs="Times New Roman"/>
          <w:b w:val="0"/>
          <w:bCs w:val="0"/>
          <w:i w:val="0"/>
          <w:strike w:val="0"/>
          <w:color w:val="000000"/>
          <w:sz w:val="24"/>
          <w:szCs w:val="24"/>
          <w:u w:val="none"/>
        </w:rPr>
        <w:t xml:space="preserve"> website. The “Help” tab on the website contains User Guides and other information to assist you with registration. The Grants.gov “</w:t>
      </w:r>
      <w:hyperlink r:id="rId26" w:history="1">
        <w:r>
          <w:rPr>
            <w:rStyle w:val="ahref"/>
            <w:rFonts w:ascii="Times New Roman" w:eastAsia="Times New Roman" w:hAnsi="Times New Roman" w:cs="Times New Roman"/>
            <w:b w:val="0"/>
            <w:bCs w:val="0"/>
            <w:i w:val="0"/>
            <w:strike w:val="0"/>
            <w:color w:val="0000FF"/>
            <w:sz w:val="24"/>
            <w:szCs w:val="24"/>
            <w:u w:val="single" w:color="0000FF"/>
          </w:rPr>
          <w:t>Register with SAM</w:t>
        </w:r>
      </w:hyperlink>
      <w:r>
        <w:rPr>
          <w:rFonts w:ascii="Times New Roman" w:eastAsia="Times New Roman" w:hAnsi="Times New Roman" w:cs="Times New Roman"/>
          <w:b w:val="0"/>
          <w:bCs w:val="0"/>
          <w:i w:val="0"/>
          <w:strike w:val="0"/>
          <w:color w:val="000000"/>
          <w:sz w:val="24"/>
          <w:szCs w:val="24"/>
          <w:u w:val="none"/>
        </w:rPr>
        <w:t xml:space="preserve">” page also provides detailed instructions. Applicants can contact the supporting Federal Service Desk for help registering in SAM. Once registered in SAM, entities will be assigned a Unique Entity Identifier (UEI).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made to the entity’s IRS information. </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There is no cost to register with SAM.gov. There are third-party vendors who will charge a fee in exchange for registering entities with SAM.gov; please be aware you can register and request help for free.</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If applicable, foreign entities who want to receive payment directly to a U.S. bank account must enter and maintain valid, current banking information in SAM.</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3" w:name="_Toc256000020"/>
      <w:r>
        <w:rPr>
          <w:iCs w:val="0"/>
          <w:color w:val="000000"/>
          <w:shd w:val="clear" w:color="auto" w:fill="auto"/>
        </w:rPr>
        <w:t>D4. Submission Dates and Times</w:t>
      </w:r>
      <w:bookmarkEnd w:id="23"/>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Notice of Funding Opportunities must identify due dates and times for all submissions according to 2 CFR 200, Appendix I, section D (4). Review and address all of the 2 CFR 200-Appendix I requirements for this section. These include clearly stating deadlines in terms of date and local time (Please Note: Grants.gov uses Eastern Time); what the deadline means and if submission method affects it; and the effect of missing a deadline. Format the information in this section so that it is easy to understand and use. A tabular format or checklist may be more helpful than narrative paragraphs.] This includes not only the full applications but also any preliminary submissions (e.g., letters of intent, white papers, or pre-applications). It also includes any other submissions of information before Federal award that are separate from the full application. If the funding opportunity is a general Notice of Funding Opportunity that is open for a period of time with no specific due dates for applications, this section should say so.</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Application Due Date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06/26/2023</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Application Due Date Explanation</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Electronically submitted applications must be submitted no later than 5:00 p.m., ET, on the listed application due date.</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4" w:name="_Toc256000021"/>
      <w:r>
        <w:rPr>
          <w:iCs w:val="0"/>
          <w:color w:val="000000"/>
          <w:shd w:val="clear" w:color="auto" w:fill="auto"/>
        </w:rPr>
        <w:t>D5. Intergovernmental Review</w:t>
      </w:r>
      <w:bookmarkEnd w:id="24"/>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Required, if applicable. If the funding opportunity is subject to Executive Order 12372, 'Intergovernmental Review of Federal Programs,' the notice must say so. In alerting applicants that they must contact their state's Single Point of Contact (SPOC) to find out about and comply with the state's process under Executive Order 12372, it may be useful to inform potential applicants that the names and addresses of the SPOCs are listed in the Office of Management and Budget's Web site. www.whitehouse.gov/omb/grants/spoc.html.</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Prior to application submission, U.S. state and local government applicants should visit the OMB Office of Federal Financial Management website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5" w:name="_Toc256000022"/>
      <w:r>
        <w:rPr>
          <w:iCs w:val="0"/>
          <w:color w:val="000000"/>
          <w:shd w:val="clear" w:color="auto" w:fill="auto"/>
        </w:rPr>
        <w:t>D6. Funding Restrictions</w:t>
      </w:r>
      <w:bookmarkEnd w:id="25"/>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Notices must include information on funding restrictions in order to allow an applicant to develop an application and budget consistent with program requirements. Examples are whether construction is an allowable activity, if there are any limitations on direct costs such as foreign travel or equipment purchases, and if there are any limits on indirect costs (or facilities and administrative costs). Applicants must be advised if Federal awards will not allow reimbursement of pre-Federal award costs.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Indirect Costs: Individuals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Indirect Costs: Organizations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IBC Email Submission Form. See the IBC Website for more information.</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Organizations must have an active Federal award before they can submit an indirect cost rate proposal to their cognizant agency. Failure to establish an approved rate during the award period renders all costs otherwise allocable as indirect costs unallowable under the award.</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Required Indirect Cost Statement to be submitted with Application</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All organizations must include the applicable statement from the following list in their application, and attach to their application any documentation identified in the applicable statement:</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We are:</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 </w:t>
      </w:r>
    </w:p>
    <w:p w:rsidP="00470374">
      <w:pPr>
        <w:pStyle w:val="Normal0"/>
        <w:keepLines w:val="0"/>
        <w:numPr>
          <w:ilvl w:val="0"/>
          <w:numId w:val="20"/>
        </w:numPr>
        <w:spacing w:before="0" w:after="2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 U.S. state or local government entity receiving more than $35 million in direct Federal funding each year with an indirect cost rate of [insert rate]. We submit our indirect cost rate proposals to our cognizant agency. Attached is a copy of our most recently approved rate agreement/certification.</w:t>
      </w:r>
    </w:p>
    <w:p w:rsidP="00470374">
      <w:pPr>
        <w:pStyle w:val="Normal0"/>
        <w:keepLines w:val="0"/>
        <w:numPr>
          <w:ilvl w:val="0"/>
          <w:numId w:val="20"/>
        </w:numPr>
        <w:spacing w:before="20" w:after="2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 U.S. state or local government entity receiving less than $35 million in direct Federal funding with an indirect cost rate of [insert rate]. We have prepared and will retain for audit an indirect cost rate proposal and related documentation.</w:t>
      </w:r>
    </w:p>
    <w:p w:rsidP="00470374">
      <w:pPr>
        <w:pStyle w:val="Normal0"/>
        <w:keepLines w:val="0"/>
        <w:numPr>
          <w:ilvl w:val="0"/>
          <w:numId w:val="20"/>
        </w:numPr>
        <w:spacing w:before="20" w:after="2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A [insert your organization type; U.S. states and local governments, do not use this statement] that has previously negotiated or currently has an approved indirect cost rate with our cognizant agency. Our indirect cost rate is [insert rate]. [Insert either: “Attached is a copy of our most recently approved but expired rate agreement. In the event an award is made, we will submit an indirect cost rate proposal to our cognizant agency within 90 calendar days after the award is made.” </w:t>
      </w:r>
      <w:r>
        <w:rPr>
          <w:rFonts w:ascii="Times New Roman" w:eastAsia="Times New Roman" w:hAnsi="Times New Roman" w:cs="Times New Roman"/>
          <w:b w:val="0"/>
          <w:bCs w:val="0"/>
          <w:i/>
          <w:iCs/>
          <w:strike w:val="0"/>
          <w:color w:val="000000"/>
          <w:sz w:val="24"/>
          <w:szCs w:val="24"/>
          <w:u w:val="none"/>
        </w:rPr>
        <w:t xml:space="preserve">or </w:t>
      </w:r>
      <w:r>
        <w:rPr>
          <w:rFonts w:ascii="Times New Roman" w:eastAsia="Times New Roman" w:hAnsi="Times New Roman" w:cs="Times New Roman"/>
          <w:b w:val="0"/>
          <w:bCs w:val="0"/>
          <w:i w:val="0"/>
          <w:strike w:val="0"/>
          <w:color w:val="000000"/>
          <w:sz w:val="24"/>
          <w:szCs w:val="24"/>
          <w:u w:val="none"/>
        </w:rPr>
        <w:t>“Attached is a copy of our current negotiated indirect cost rate agreement.”]</w:t>
      </w:r>
    </w:p>
    <w:p w:rsidP="00470374">
      <w:pPr>
        <w:pStyle w:val="Normal0"/>
        <w:keepLines w:val="0"/>
        <w:numPr>
          <w:ilvl w:val="0"/>
          <w:numId w:val="20"/>
        </w:numPr>
        <w:spacing w:before="20" w:after="2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 [insert your organization type] that has never submitted an indirect cost rate proposal to our cognizant agency. Our indirect cost rate is [insert rate]. If we receive an award, we will submit an indirect cost rate proposal to our cognizant agency within 90 calendar days after the award date.</w:t>
      </w:r>
    </w:p>
    <w:p w:rsidP="00470374">
      <w:pPr>
        <w:pStyle w:val="Normal0"/>
        <w:keepLines w:val="0"/>
        <w:numPr>
          <w:ilvl w:val="0"/>
          <w:numId w:val="20"/>
        </w:numPr>
        <w:spacing w:before="20" w:after="2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 [insert your organization type] that has never submitted an indirect cost rate proposal to our cognizant agency and has an indirect cost rate that is lower than 10%. Our indirect cost rate is [insert rate; must be lower than 10%]. However, if we receive an award we will not be able to meet the requirement to submit an indirect cost rate proposal to our cognizant agency within 90 calendar days after award. We request as a condition of award to charge a flat indirect cost rate of [insert rate; must be lower than 10%] against [insert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200.68]. We understand that we must notify the Service in writing if we establish an approved rate with our cognizant agency at any point during the award period.</w:t>
      </w:r>
    </w:p>
    <w:p w:rsidP="00470374">
      <w:pPr>
        <w:pStyle w:val="Normal0"/>
        <w:keepLines w:val="0"/>
        <w:numPr>
          <w:ilvl w:val="0"/>
          <w:numId w:val="20"/>
        </w:numPr>
        <w:spacing w:before="20" w:after="2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A [insert your organization type] that has never submitted an indirect cost rate proposal to our cognizant agency and has an indirect cost rate that is 10% or higher. Our indirect cost rate is [insert your organization’s indirect rate; must be 10% or higher]. However, if we receive an award we will not be able to meet the requirement to submit an indirect cost rate proposal to our cognizant agency within 90 calendar days after award. We request as a condition of award to charge a flat </w:t>
      </w:r>
      <w:r>
        <w:rPr>
          <w:rFonts w:ascii="Times New Roman" w:eastAsia="Times New Roman" w:hAnsi="Times New Roman" w:cs="Times New Roman"/>
          <w:b w:val="0"/>
          <w:bCs w:val="0"/>
          <w:i/>
          <w:iCs/>
          <w:strike w:val="0"/>
          <w:color w:val="000000"/>
          <w:sz w:val="24"/>
          <w:szCs w:val="24"/>
          <w:u w:val="none"/>
        </w:rPr>
        <w:t xml:space="preserve">de minimis </w:t>
      </w:r>
      <w:r>
        <w:rPr>
          <w:rFonts w:ascii="Times New Roman" w:eastAsia="Times New Roman" w:hAnsi="Times New Roman" w:cs="Times New Roman"/>
          <w:b w:val="0"/>
          <w:bCs w:val="0"/>
          <w:i w:val="0"/>
          <w:strike w:val="0"/>
          <w:color w:val="000000"/>
          <w:sz w:val="24"/>
          <w:szCs w:val="24"/>
          <w:u w:val="none"/>
        </w:rPr>
        <w:t>indirect cost rate of 10% to be charged against modified total direct project costs as defined in 2 CFR §200.68.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rsidP="00470374">
      <w:pPr>
        <w:pStyle w:val="Normal0"/>
        <w:keepLines w:val="0"/>
        <w:numPr>
          <w:ilvl w:val="0"/>
          <w:numId w:val="20"/>
        </w:numPr>
        <w:spacing w:before="20" w:after="2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A [insert your organization type] that is submitting this proposal for consideration under the [“Program Title”], which has a Department of the Interior-approve indirect cost rate cap of [insert program rate]. If we have an approved indirect cost rate with our cognizant agency, we understand that we must apply this reduced rate against the same direct cost base as identified in our approved indirect cost rate agreement per the Financial Assistance Interior Regulation (FAIR) 2 CFR §1402.414. If we do not have an approved indirect cost rate with our cognizant agency, we understand that must charge indirect costs against the modified total direct cost base defined in 2 CFR §200.68 “Modified Total Direct Cost (MTDC)”. We understand that we must request prior approval from </w:t>
      </w:r>
      <w:r>
        <w:rPr>
          <w:rFonts w:ascii="Times New Roman" w:eastAsia="Times New Roman" w:hAnsi="Times New Roman" w:cs="Times New Roman"/>
          <w:b/>
          <w:bCs/>
          <w:i w:val="0"/>
          <w:strike w:val="0"/>
          <w:color w:val="000000"/>
          <w:sz w:val="24"/>
          <w:szCs w:val="24"/>
          <w:u w:val="none"/>
        </w:rPr>
        <w:t xml:space="preserve">[insert Bureau Here] </w:t>
      </w:r>
      <w:r>
        <w:rPr>
          <w:rFonts w:ascii="Times New Roman" w:eastAsia="Times New Roman" w:hAnsi="Times New Roman" w:cs="Times New Roman"/>
          <w:b w:val="0"/>
          <w:bCs w:val="0"/>
          <w:i w:val="0"/>
          <w:strike w:val="0"/>
          <w:color w:val="000000"/>
          <w:sz w:val="24"/>
          <w:szCs w:val="24"/>
          <w:u w:val="none"/>
        </w:rPr>
        <w:t xml:space="preserve">to use the 2 CFR 200 MTDC base instead of the base identified in our approved indirect cost rate agreement. We understand that </w:t>
      </w:r>
      <w:r>
        <w:rPr>
          <w:rFonts w:ascii="Times New Roman" w:eastAsia="Times New Roman" w:hAnsi="Times New Roman" w:cs="Times New Roman"/>
          <w:b/>
          <w:bCs/>
          <w:i w:val="0"/>
          <w:strike w:val="0"/>
          <w:color w:val="000000"/>
          <w:sz w:val="24"/>
          <w:szCs w:val="24"/>
          <w:u w:val="none"/>
        </w:rPr>
        <w:t xml:space="preserve">[Insert Bureau Here] </w:t>
      </w:r>
      <w:r>
        <w:rPr>
          <w:rFonts w:ascii="Times New Roman" w:eastAsia="Times New Roman" w:hAnsi="Times New Roman" w:cs="Times New Roman"/>
          <w:b w:val="0"/>
          <w:bCs w:val="0"/>
          <w:i w:val="0"/>
          <w:strike w:val="0"/>
          <w:color w:val="000000"/>
          <w:sz w:val="24"/>
          <w:szCs w:val="24"/>
          <w:u w:val="none"/>
        </w:rPr>
        <w:t>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the indirect costs are not recovered due to a voluntary reduction to our federally negotiated rate are not allowable for recovery via any other means.</w:t>
      </w:r>
    </w:p>
    <w:p w:rsidP="00470374">
      <w:pPr>
        <w:pStyle w:val="Normal0"/>
        <w:keepLines w:val="0"/>
        <w:numPr>
          <w:ilvl w:val="0"/>
          <w:numId w:val="20"/>
        </w:numPr>
        <w:spacing w:before="20" w:after="15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 [insert your organization type] that will charge all costs directly.</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Prohibited Uses of Awards Funds</w:t>
      </w:r>
    </w:p>
    <w:p w:rsidP="00470374">
      <w:pPr>
        <w:keepLines w:val="0"/>
        <w:spacing w:before="6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Add any additional program restrictions here.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Reimbursement of Pre-Award Costs</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No</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6" w:name="_Toc256000023"/>
      <w:r>
        <w:rPr>
          <w:iCs w:val="0"/>
          <w:color w:val="000000"/>
          <w:shd w:val="clear" w:color="auto" w:fill="auto"/>
        </w:rPr>
        <w:t>D7. Other Submission Requirements</w:t>
      </w:r>
      <w:bookmarkEnd w:id="26"/>
      <w:r>
        <w:rPr>
          <w:iCs w:val="0"/>
          <w:color w:val="000000"/>
          <w:shd w:val="clear" w:color="auto" w:fill="auto"/>
        </w:rPr>
        <w:t xml:space="preserve"> </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This section must address any other submission requirements not included in the other paragraphs of this section.</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 xml:space="preserve">Please be aware that the electronic submission process requires first time users to register using an e- Authentication process. This registration process can be somewhat complex and can take up to 3 weeks to complete. Be advised that it is virtually impossible to begin the process of electronic submission for the first time if you start just a few days before the due date. If you are from a university, contact your Office of Sponsored Programs. They may already have completed the registration process and should work with you to submit the application. </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 xml:space="preserve">If you have any questions or problems with the registration process, or the completion of the application package, please contact the grants.gov help desk at 1-800-518-4726 or </w:t>
      </w:r>
      <w:hyperlink r:id="rId27" w:history="1">
        <w:r>
          <w:rPr>
            <w:rStyle w:val="ahref"/>
            <w:rFonts w:ascii="Times New Roman" w:eastAsia="Times New Roman" w:hAnsi="Times New Roman" w:cs="Times New Roman"/>
            <w:b w:val="0"/>
            <w:bCs w:val="0"/>
            <w:i w:val="0"/>
            <w:strike w:val="0"/>
            <w:vanish w:val="0"/>
            <w:color w:val="0000FF"/>
            <w:sz w:val="24"/>
            <w:szCs w:val="24"/>
            <w:u w:val="single" w:color="0000FF"/>
          </w:rPr>
          <w:t>support@grants.gov</w:t>
        </w:r>
      </w:hyperlink>
      <w:r>
        <w:rPr>
          <w:rFonts w:ascii="Times New Roman" w:eastAsia="Times New Roman" w:hAnsi="Times New Roman" w:cs="Times New Roman"/>
          <w:b w:val="0"/>
          <w:bCs w:val="0"/>
          <w:i w:val="0"/>
          <w:strike w:val="0"/>
          <w:vanish w:val="0"/>
          <w:color w:val="000000"/>
          <w:sz w:val="24"/>
          <w:szCs w:val="24"/>
          <w:u w:val="none"/>
        </w:rPr>
        <w:t>.</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Briefly, when you submit a grant application package to Grants.gov, you will receive a confirmation screen as well as three additional emails over two business days from Grants.gov informing you of your application processing status: 1. Confirmation screen</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2. Submission Receipt (with “Track My Application” link) 3. Submission Validation (or Rejection with Errors) 4. Agency Retrieval</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CONFIRMATION: Submission Confirmation Screen.</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After you submit your grant application package, a confirmation screen will appear on your computer screen. This screen confirms that you have submitted an application to Grants.gov.</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NOTIFICATION 1: Submission Receipt Email Within two business days after your application package has been received by the Grants.gov system, you will receive a submission receipt email which indicates that your submission has entered the Grants.gov system and is ready for validation. This email also contains a tracking number for use while tracking the status of the submission as well as a “Track My Application” link, to use to see the progress of your submission.</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 xml:space="preserve">NOTIFICATION 2: Submission Validation Receipt Email – This is the important one! </w:t>
      </w:r>
      <w:r>
        <w:rPr>
          <w:rFonts w:ascii="Times New Roman" w:eastAsia="Times New Roman" w:hAnsi="Times New Roman" w:cs="Times New Roman"/>
          <w:b w:val="0"/>
          <w:bCs w:val="0"/>
          <w:i w:val="0"/>
          <w:strike w:val="0"/>
          <w:vanish w:val="0"/>
          <w:color w:val="000000"/>
          <w:sz w:val="24"/>
          <w:szCs w:val="24"/>
          <w:u w:val="none"/>
        </w:rPr>
        <w:t>After you receive the submission receipt email, the next email you will receive will be a message validating or rejecting your submitted application package with errors. The Grants.gov system is designed to check for technical errors within the submitted application package. Grants.gov does not review application content for award determination. Grants.gov will not post the application if there are errors. Failure to correct errors and submit by the date and time for closing may not be a reason for accepting a late application.</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 xml:space="preserve">NOTIFICATION 3: Grantor Agency Retrieval Email Once your application package has passed validation it is delivered to the grantor for award determination and further approval. After the grantor has confirmed receipt of your application, you will be sent a </w:t>
      </w:r>
      <w:r>
        <w:rPr>
          <w:rFonts w:ascii="Times New Roman" w:eastAsia="Times New Roman" w:hAnsi="Times New Roman" w:cs="Times New Roman"/>
          <w:b/>
          <w:bCs/>
          <w:i w:val="0"/>
          <w:strike w:val="0"/>
          <w:vanish w:val="0"/>
          <w:color w:val="000000"/>
          <w:sz w:val="24"/>
          <w:szCs w:val="24"/>
          <w:u w:val="none"/>
        </w:rPr>
        <w:t xml:space="preserve">third and final email </w:t>
      </w:r>
      <w:r>
        <w:rPr>
          <w:rFonts w:ascii="Times New Roman" w:eastAsia="Times New Roman" w:hAnsi="Times New Roman" w:cs="Times New Roman"/>
          <w:b w:val="0"/>
          <w:bCs w:val="0"/>
          <w:i w:val="0"/>
          <w:strike w:val="0"/>
          <w:vanish w:val="0"/>
          <w:color w:val="000000"/>
          <w:sz w:val="24"/>
          <w:szCs w:val="24"/>
          <w:u w:val="none"/>
        </w:rPr>
        <w:t>from Grants.gov. The grantor may also assign your application package an agency specific tracking number for use within their internal system. IF YOU HAVE NOT RECEIVED THIS E- MAIL WITHIN FOUR DAYS OF THE CLOSING DATE, PLEASE CONTACT THE CONTRACTING OFFICER.</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 xml:space="preserve">If you need help entering your proposal, you can reach the </w:t>
      </w:r>
      <w:r>
        <w:rPr>
          <w:rFonts w:ascii="Times New Roman" w:eastAsia="Times New Roman" w:hAnsi="Times New Roman" w:cs="Times New Roman"/>
          <w:b/>
          <w:bCs/>
          <w:i w:val="0"/>
          <w:strike w:val="0"/>
          <w:vanish w:val="0"/>
          <w:color w:val="000000"/>
          <w:sz w:val="24"/>
          <w:szCs w:val="24"/>
          <w:u w:val="none"/>
        </w:rPr>
        <w:t xml:space="preserve">Grants.gov Contact Center at: </w:t>
      </w:r>
      <w:r>
        <w:rPr>
          <w:rFonts w:ascii="Times New Roman" w:eastAsia="Times New Roman" w:hAnsi="Times New Roman" w:cs="Times New Roman"/>
          <w:b w:val="0"/>
          <w:bCs w:val="0"/>
          <w:i w:val="0"/>
          <w:strike w:val="0"/>
          <w:vanish w:val="0"/>
          <w:color w:val="000000"/>
          <w:sz w:val="24"/>
          <w:szCs w:val="24"/>
          <w:u w:val="none"/>
        </w:rPr>
        <w:t>1-800- 518- 4726. Their hours of operation are Monday-Friday, 7:00 a.m. to 9:00 p.m., Eastern Time, and they are closed on Federal Holidays.</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val="0"/>
          <w:bCs w:val="0"/>
          <w:i w:val="0"/>
          <w:strike w:val="0"/>
          <w:vanish w:val="0"/>
          <w:color w:val="000000"/>
          <w:sz w:val="24"/>
          <w:szCs w:val="24"/>
          <w:u w:val="none"/>
        </w:rPr>
        <w:t>During the application period an applicant may submit a revised or corrected proposal through grants.gov. Include a cover letter as the first page of the proposal stating that the proposal is revised and indicating that the previous submittal is to be withdrawn from consideration. See Section 11, Application Preparation Instructions, which describes requirements for the proposal and other application components.</w:t>
      </w:r>
    </w:p>
    <w:p w:rsidP="00470374">
      <w:pPr>
        <w:pStyle w:val="Normal0"/>
        <w:keepLines w:val="0"/>
        <w:spacing w:before="0" w:after="140"/>
        <w:ind w:left="0"/>
        <w:jc w:val="left"/>
        <w:rPr>
          <w:rFonts w:ascii="Times New Roman" w:eastAsia="Times New Roman" w:hAnsi="Times New Roman" w:cs="Times New Roman"/>
          <w:b w:val="0"/>
          <w:bCs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Please allow sufficient time for the proposal to be submitted electronically through Grants.gov and allow time for possible computer delays. Applicants are strongly advised not to wait until the last minute for submission. A proposal received after the closing date and time will NOT be considered for award. If the USGS determines that a proposal will not be considered for award due to lateness, the applicant will be notified immediately.</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7" w:name="_Toc256000024"/>
      <w:r>
        <w:rPr>
          <w:iCs w:val="0"/>
          <w:color w:val="000000"/>
          <w:shd w:val="clear" w:color="auto" w:fill="auto"/>
        </w:rPr>
        <w:t>D8. Application Checklist</w:t>
      </w:r>
      <w:bookmarkEnd w:id="27"/>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SF-424, Application for Federal Assistance or Application for Federal Assistance-Individual</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SF-424B or D, Assurances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Project Narrative</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SF-424A or C, Budget Information</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Budget Narrative</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Indirect Cost Statement and related documentation (when applicable)</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Conflict of Internet Disclose (when applicable)</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SF-LLL, Disclosure of Lobbying Activites (when applicable)</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1Heading1"/>
        <w:widowControl/>
        <w:spacing w:before="161" w:after="161"/>
        <w:ind w:left="45" w:right="45"/>
        <w:outlineLvl w:val="9"/>
        <w:rPr>
          <w:b/>
          <w:bCs/>
          <w:szCs w:val="24"/>
        </w:rPr>
      </w:pPr>
      <w:bookmarkStart w:id="28" w:name="_Toc256000025"/>
      <w:r>
        <w:rPr>
          <w:color w:val="000000"/>
          <w:kern w:val="0"/>
          <w:shd w:val="clear" w:color="auto" w:fill="auto"/>
        </w:rPr>
        <w:t>E. Application Review Information</w:t>
      </w:r>
      <w:bookmarkEnd w:id="28"/>
    </w:p>
    <w:p w:rsidP="00470374">
      <w:pPr>
        <w:keepLines w:val="0"/>
        <w:spacing w:before="120" w:after="6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This section must address the criteria that the Federal awarding agency will use to evaluate applications. This includes the merit and other review criteria that evaluators will use to judge applications, including any statutory, regulatory, or other preferences (e.g., minority status or Native American tribal preferences) that will be applied in the review process.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29" w:name="_Toc256000026"/>
      <w:r>
        <w:rPr>
          <w:iCs w:val="0"/>
          <w:color w:val="000000"/>
          <w:shd w:val="clear" w:color="auto" w:fill="auto"/>
        </w:rPr>
        <w:t>E1. Criteria</w:t>
      </w:r>
      <w:bookmarkEnd w:id="29"/>
    </w:p>
    <w:p w:rsidP="00470374">
      <w:pPr>
        <w:pStyle w:val="Hidden"/>
        <w:keepLines w:val="0"/>
        <w:spacing w:before="120" w:after="60"/>
        <w:ind w:left="0"/>
        <w:jc w:val="left"/>
        <w:rPr>
          <w:rFonts w:ascii="Times New Roman" w:eastAsia="Times New Roman" w:hAnsi="Times New Roman" w:cs="Times New Roman"/>
          <w:b w:val="0"/>
          <w:i w:val="0"/>
          <w:strike w:val="0"/>
          <w:vanish/>
          <w:color w:val="009745"/>
          <w:sz w:val="24"/>
          <w:u w:val="none"/>
        </w:rPr>
      </w:pPr>
      <w:r>
        <w:rPr>
          <w:rFonts w:ascii="Times New Roman" w:eastAsia="Times New Roman" w:hAnsi="Times New Roman" w:cs="Times New Roman"/>
          <w:b/>
          <w:bCs/>
          <w:i w:val="0"/>
          <w:strike w:val="0"/>
          <w:vanish/>
          <w:color w:val="009745"/>
          <w:sz w:val="24"/>
          <w:u w:val="none"/>
        </w:rPr>
        <w:t>Author Instructions</w:t>
      </w:r>
      <w:r>
        <w:rPr>
          <w:rFonts w:ascii="Times New Roman" w:eastAsia="Times New Roman" w:hAnsi="Times New Roman" w:cs="Times New Roman"/>
          <w:b/>
          <w:bCs/>
          <w:i/>
          <w:iCs/>
          <w:strike w:val="0"/>
          <w:vanish/>
          <w:color w:val="009745"/>
          <w:sz w:val="24"/>
          <w:u w:val="none"/>
        </w:rPr>
        <w:t>:</w:t>
      </w:r>
      <w:r>
        <w:rPr>
          <w:rFonts w:ascii="Times New Roman" w:eastAsia="Times New Roman" w:hAnsi="Times New Roman" w:cs="Times New Roman"/>
          <w:b w:val="0"/>
          <w:i w:val="0"/>
          <w:strike w:val="0"/>
          <w:vanish/>
          <w:color w:val="009745"/>
          <w:sz w:val="24"/>
          <w:u w:val="none"/>
        </w:rPr>
        <w:t xml:space="preserve"> </w:t>
      </w:r>
      <w:r>
        <w:rPr>
          <w:rFonts w:ascii="Times New Roman" w:eastAsia="Times New Roman" w:hAnsi="Times New Roman" w:cs="Times New Roman"/>
          <w:b w:val="0"/>
          <w:i/>
          <w:iCs/>
          <w:strike w:val="0"/>
          <w:vanish/>
          <w:color w:val="009745"/>
          <w:sz w:val="24"/>
          <w:u w:val="none"/>
        </w:rPr>
        <w:t>All Competitive programs must design formal application evaluation and selection procedures before posting Notices of Funding Opportunity on Grants.gov.</w:t>
      </w:r>
      <w:r>
        <w:rPr>
          <w:rFonts w:ascii="Times New Roman" w:eastAsia="Times New Roman" w:hAnsi="Times New Roman" w:cs="Times New Roman"/>
          <w:b w:val="0"/>
          <w:i/>
          <w:iCs/>
          <w:strike w:val="0"/>
          <w:vanish/>
          <w:color w:val="009745"/>
          <w:sz w:val="24"/>
          <w:u w:val="none"/>
        </w:rPr>
        <w:t xml:space="preserve"> </w:t>
      </w:r>
      <w:r>
        <w:rPr>
          <w:rFonts w:ascii="Times New Roman" w:eastAsia="Times New Roman" w:hAnsi="Times New Roman" w:cs="Times New Roman"/>
          <w:b w:val="0"/>
          <w:i/>
          <w:iCs/>
          <w:strike w:val="0"/>
          <w:vanish/>
          <w:color w:val="009745"/>
          <w:sz w:val="24"/>
          <w:u w:val="none"/>
        </w:rPr>
        <w:t xml:space="preserve"> Programs must document these procedures in writing and either describe them in full, or incorporate them by reference, in all Notices of Funding Opportunity.</w:t>
      </w:r>
      <w:r>
        <w:rPr>
          <w:rFonts w:ascii="Times New Roman" w:eastAsia="Times New Roman" w:hAnsi="Times New Roman" w:cs="Times New Roman"/>
          <w:b w:val="0"/>
          <w:i/>
          <w:iCs/>
          <w:strike w:val="0"/>
          <w:vanish/>
          <w:color w:val="009745"/>
          <w:sz w:val="24"/>
          <w:u w:val="none"/>
        </w:rPr>
        <w:t xml:space="preserve"> </w:t>
      </w:r>
      <w:r>
        <w:rPr>
          <w:rFonts w:ascii="Times New Roman" w:eastAsia="Times New Roman" w:hAnsi="Times New Roman" w:cs="Times New Roman"/>
          <w:b w:val="0"/>
          <w:i/>
          <w:iCs/>
          <w:strike w:val="0"/>
          <w:vanish/>
          <w:color w:val="009745"/>
          <w:sz w:val="24"/>
          <w:u w:val="none"/>
        </w:rPr>
        <w:t xml:space="preserve"> Describe all criteria and sub-criteria used to evaluate applications, including merit and other criteria used to judge applications.</w:t>
      </w:r>
      <w:r>
        <w:rPr>
          <w:rFonts w:ascii="Times New Roman" w:eastAsia="Times New Roman" w:hAnsi="Times New Roman" w:cs="Times New Roman"/>
          <w:b w:val="0"/>
          <w:i/>
          <w:iCs/>
          <w:strike w:val="0"/>
          <w:vanish/>
          <w:color w:val="009745"/>
          <w:sz w:val="24"/>
          <w:u w:val="none"/>
        </w:rPr>
        <w:t xml:space="preserve"> </w:t>
      </w:r>
      <w:r>
        <w:rPr>
          <w:rFonts w:ascii="Times New Roman" w:eastAsia="Times New Roman" w:hAnsi="Times New Roman" w:cs="Times New Roman"/>
          <w:b w:val="0"/>
          <w:i/>
          <w:iCs/>
          <w:strike w:val="0"/>
          <w:vanish/>
          <w:color w:val="009745"/>
          <w:sz w:val="24"/>
          <w:u w:val="none"/>
        </w:rPr>
        <w:t xml:space="preserve"> Include any statutory, regulatory, or other preferences applicable to the process and provide a detailed explanation of those and their effect (e.g., result in additional points). These criteria are different from eligibility criteria addressed before accepting an application for review and any program policy applied during selection after the review process is complete.</w:t>
      </w:r>
      <w:r>
        <w:rPr>
          <w:rFonts w:ascii="Times New Roman" w:eastAsia="Times New Roman" w:hAnsi="Times New Roman" w:cs="Times New Roman"/>
          <w:b w:val="0"/>
          <w:i/>
          <w:iCs/>
          <w:strike w:val="0"/>
          <w:vanish/>
          <w:color w:val="009745"/>
          <w:sz w:val="24"/>
          <w:u w:val="none"/>
        </w:rPr>
        <w:t xml:space="preserve"> </w:t>
      </w:r>
      <w:r>
        <w:rPr>
          <w:rFonts w:ascii="Times New Roman" w:eastAsia="Times New Roman" w:hAnsi="Times New Roman" w:cs="Times New Roman"/>
          <w:b w:val="0"/>
          <w:i/>
          <w:iCs/>
          <w:strike w:val="0"/>
          <w:vanish/>
          <w:color w:val="009745"/>
          <w:sz w:val="24"/>
          <w:u w:val="none"/>
        </w:rPr>
        <w:t xml:space="preserve"> The intent is to be transparent about the process so all applicants have a fair opportunity to address those in their applications.</w:t>
      </w:r>
      <w:r>
        <w:rPr>
          <w:rFonts w:ascii="Times New Roman" w:eastAsia="Times New Roman" w:hAnsi="Times New Roman" w:cs="Times New Roman"/>
          <w:b w:val="0"/>
          <w:i/>
          <w:iCs/>
          <w:strike w:val="0"/>
          <w:vanish/>
          <w:color w:val="009745"/>
          <w:sz w:val="24"/>
          <w:u w:val="none"/>
        </w:rPr>
        <w:t xml:space="preserve"> </w:t>
      </w:r>
      <w:r>
        <w:rPr>
          <w:rFonts w:ascii="Times New Roman" w:eastAsia="Times New Roman" w:hAnsi="Times New Roman" w:cs="Times New Roman"/>
          <w:b w:val="0"/>
          <w:i/>
          <w:iCs/>
          <w:strike w:val="0"/>
          <w:vanish/>
          <w:color w:val="009745"/>
          <w:sz w:val="24"/>
          <w:u w:val="none"/>
        </w:rPr>
        <w:t xml:space="preserve"> If cost sharing will be considered in the review (as opposed to being treated as an eligibility criterion), specifically address how it will be considered (e.g., results in additional points, or to break ties between applicants with equivalent scores after evaluation of all other factors).</w:t>
      </w:r>
      <w:r>
        <w:rPr>
          <w:rFonts w:ascii="Times New Roman" w:eastAsia="Times New Roman" w:hAnsi="Times New Roman" w:cs="Times New Roman"/>
          <w:b w:val="0"/>
          <w:i/>
          <w:iCs/>
          <w:strike w:val="0"/>
          <w:vanish/>
          <w:color w:val="009745"/>
          <w:sz w:val="24"/>
          <w:u w:val="none"/>
        </w:rPr>
        <w:t xml:space="preserve"> </w:t>
      </w:r>
      <w:r>
        <w:rPr>
          <w:rFonts w:ascii="Times New Roman" w:eastAsia="Times New Roman" w:hAnsi="Times New Roman" w:cs="Times New Roman"/>
          <w:b w:val="0"/>
          <w:i/>
          <w:iCs/>
          <w:strike w:val="0"/>
          <w:vanish/>
          <w:color w:val="009745"/>
          <w:sz w:val="24"/>
          <w:u w:val="none"/>
        </w:rPr>
        <w:t xml:space="preserve"> Clearly state any restrictions on the types of costs that are acceptable as cost sharing</w:t>
      </w:r>
      <w:r>
        <w:rPr>
          <w:rFonts w:ascii="Times New Roman" w:eastAsia="Times New Roman" w:hAnsi="Times New Roman" w:cs="Times New Roman"/>
          <w:b w:val="0"/>
          <w:i w:val="0"/>
          <w:strike w:val="0"/>
          <w:vanish/>
          <w:color w:val="009745"/>
          <w:sz w:val="24"/>
          <w:u w:val="none"/>
        </w:rPr>
        <w:t xml:space="preserve"> </w:t>
      </w:r>
    </w:p>
    <w:p w:rsidP="00470374">
      <w:pPr>
        <w:pStyle w:val="p0"/>
        <w:keepLines w:val="0"/>
        <w:spacing w:before="0" w:after="140"/>
        <w:ind w:left="0"/>
        <w:jc w:val="left"/>
        <w:rPr>
          <w:rFonts w:ascii="Times New Roman" w:eastAsia="Times New Roman" w:hAnsi="Times New Roman" w:cs="Times New Roman"/>
          <w:b w:val="0"/>
          <w:i w:val="0"/>
          <w:strike w:val="0"/>
          <w:vanish/>
          <w:color w:val="009745"/>
          <w:sz w:val="24"/>
          <w:szCs w:val="24"/>
          <w:u w:val="none"/>
        </w:rPr>
      </w:pPr>
      <w:r>
        <w:rPr>
          <w:rFonts w:ascii="Times New Roman" w:eastAsia="Times New Roman" w:hAnsi="Times New Roman" w:cs="Times New Roman"/>
          <w:b w:val="0"/>
          <w:i w:val="0"/>
          <w:strike w:val="0"/>
          <w:vanish/>
          <w:color w:val="009745"/>
          <w:sz w:val="24"/>
          <w:szCs w:val="24"/>
          <w:u w:val="none"/>
        </w:rPr>
        <w:t xml:space="preserve"> </w:t>
      </w:r>
    </w:p>
    <w:p w:rsidP="00470374">
      <w:pPr>
        <w:keepLines w:val="0"/>
        <w:spacing w:before="120" w:after="60"/>
        <w:ind w:left="0"/>
        <w:jc w:val="left"/>
        <w:rPr>
          <w:rFonts w:ascii="Times New Roman" w:eastAsia="Times New Roman" w:hAnsi="Times New Roman" w:cs="Times New Roman"/>
          <w:b w:val="0"/>
          <w:i w:val="0"/>
          <w:strike w:val="0"/>
          <w:vanish/>
          <w:color w:val="000000"/>
          <w:sz w:val="24"/>
          <w:u w:val="none"/>
        </w:rPr>
      </w:pPr>
    </w:p>
    <w:tbl>
      <w:tblPr>
        <w:tblStyle w:val="tablecriteria-linked-element"/>
        <w:tblW w:w="5000" w:type="pct"/>
        <w:tblCellSpacing w:w="0" w:type="dxa"/>
        <w:tblInd w:w="15" w:type="dxa"/>
        <w:tblCellMar>
          <w:top w:w="15" w:type="dxa"/>
          <w:left w:w="15" w:type="dxa"/>
          <w:bottom w:w="15" w:type="dxa"/>
          <w:right w:w="15" w:type="dxa"/>
        </w:tblCellMar>
        <w:tblLook w:val="05E0"/>
      </w:tblPr>
      <w:tblGrid>
        <w:gridCol w:w="6074"/>
        <w:gridCol w:w="3271"/>
      </w:tblGrid>
      <w:tr>
        <w:tblPrEx>
          <w:tblW w:w="5000" w:type="pct"/>
          <w:tblCellSpacing w:w="0" w:type="dxa"/>
          <w:tblInd w:w="15" w:type="dxa"/>
          <w:tblCellMar>
            <w:top w:w="15" w:type="dxa"/>
            <w:left w:w="15" w:type="dxa"/>
            <w:bottom w:w="15" w:type="dxa"/>
            <w:right w:w="15" w:type="dxa"/>
          </w:tblCellMar>
          <w:tblLook w:val="05E0"/>
        </w:tblPrEx>
        <w:trPr>
          <w:tblCellSpacing w:w="0" w:type="dxa"/>
        </w:trPr>
        <w:tc>
          <w:tcPr>
            <w:tcW w:w="3250" w:type="pct"/>
            <w:noWrap w:val="0"/>
            <w:tcMar>
              <w:top w:w="15" w:type="dxa"/>
              <w:left w:w="15" w:type="dxa"/>
              <w:bottom w:w="15" w:type="dxa"/>
              <w:right w:w="15" w:type="dxa"/>
            </w:tcMar>
            <w:vAlign w:val="center"/>
            <w:hideMark/>
          </w:tcPr>
          <w:p w:rsidP="00470374">
            <w:pPr>
              <w:keepLines w:val="0"/>
              <w:spacing w:before="20" w:after="20"/>
              <w:ind w:left="0"/>
              <w:jc w:val="left"/>
              <w:rPr>
                <w:rFonts w:ascii="Times New Roman" w:eastAsia="Times New Roman" w:hAnsi="Times New Roman" w:cs="Times New Roman"/>
                <w:b/>
                <w:bCs/>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 xml:space="preserve">The weighted percentage is 20% for each of the criteria </w:t>
            </w:r>
          </w:p>
        </w:tc>
        <w:tc>
          <w:tcPr>
            <w:tcW w:w="1750" w:type="pct"/>
            <w:noWrap w:val="0"/>
            <w:tcMar>
              <w:top w:w="15" w:type="dxa"/>
              <w:left w:w="15" w:type="dxa"/>
              <w:bottom w:w="15" w:type="dxa"/>
              <w:right w:w="15" w:type="dxa"/>
            </w:tcMar>
            <w:vAlign w:val="center"/>
            <w:hideMark/>
          </w:tcPr>
          <w:p w:rsidP="00470374">
            <w:pPr>
              <w:keepLines w:val="0"/>
              <w:spacing w:before="20" w:after="20"/>
              <w:ind w:left="0"/>
              <w:jc w:val="right"/>
              <w:rPr>
                <w:rFonts w:ascii="Times New Roman" w:eastAsia="Times New Roman" w:hAnsi="Times New Roman" w:cs="Times New Roman"/>
                <w:b/>
                <w:bCs/>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 xml:space="preserve">Maximum Points: </w:t>
            </w:r>
            <w:r>
              <w:rPr>
                <w:rStyle w:val="criteria-linked-elementdata-modeexportcriteria-score"/>
                <w:rFonts w:ascii="Times New Roman" w:eastAsia="Times New Roman" w:hAnsi="Times New Roman" w:cs="Times New Roman"/>
                <w:b w:val="0"/>
                <w:bCs w:val="0"/>
                <w:i w:val="0"/>
                <w:strike w:val="0"/>
                <w:vanish w:val="0"/>
                <w:color w:val="000000"/>
                <w:sz w:val="24"/>
                <w:szCs w:val="24"/>
                <w:u w:val="none"/>
                <w:bdr w:val="none" w:sz="0" w:space="0" w:color="auto"/>
              </w:rPr>
              <w:t>100</w:t>
            </w:r>
            <w:r>
              <w:rPr>
                <w:rStyle w:val="criteria-linked-elementdata-modeexportcriteria-score"/>
                <w:rFonts w:ascii="Times New Roman" w:eastAsia="Times New Roman" w:hAnsi="Times New Roman" w:cs="Times New Roman"/>
                <w:b w:val="0"/>
                <w:bCs w:val="0"/>
                <w:i w:val="0"/>
                <w:strike w:val="0"/>
                <w:vanish w:val="0"/>
                <w:color w:val="000000"/>
                <w:sz w:val="24"/>
                <w:szCs w:val="24"/>
                <w:u w:val="none"/>
              </w:rPr>
              <w:t xml:space="preserve"> </w:t>
            </w:r>
          </w:p>
        </w:tc>
      </w:tr>
      <w:tr>
        <w:tblPrEx>
          <w:tblW w:w="5000" w:type="pct"/>
          <w:tblCellSpacing w:w="0" w:type="dxa"/>
          <w:tblInd w:w="15" w:type="dxa"/>
          <w:tblCellMar>
            <w:top w:w="15" w:type="dxa"/>
            <w:left w:w="15" w:type="dxa"/>
            <w:bottom w:w="15" w:type="dxa"/>
            <w:right w:w="15" w:type="dxa"/>
          </w:tblCellMar>
          <w:tblLook w:val="05E0"/>
        </w:tblPrEx>
        <w:trPr>
          <w:tblCellSpacing w:w="0" w:type="dxa"/>
        </w:trPr>
        <w:tc>
          <w:tcPr>
            <w:gridSpan w:val="2"/>
            <w:noWrap w:val="0"/>
            <w:tcMar>
              <w:top w:w="0" w:type="dxa"/>
              <w:left w:w="0" w:type="dxa"/>
              <w:bottom w:w="0" w:type="dxa"/>
              <w:right w:w="0" w:type="dxa"/>
            </w:tcMar>
            <w:vAlign w:val="center"/>
            <w:hideMark/>
          </w:tcPr>
          <w:p w:rsidP="00470374">
            <w:pPr>
              <w:keepLines w:val="0"/>
              <w:numPr>
                <w:ilvl w:val="0"/>
                <w:numId w:val="21"/>
              </w:numPr>
              <w:spacing w:before="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Scientific quality and impact:</w:t>
            </w:r>
            <w:r>
              <w:rPr>
                <w:rFonts w:ascii="Times New Roman" w:eastAsia="Times New Roman" w:hAnsi="Times New Roman" w:cs="Times New Roman"/>
                <w:b/>
                <w:bCs/>
                <w:i w:val="0"/>
                <w:strike w:val="0"/>
                <w:vanish w:val="0"/>
                <w:color w:val="000000"/>
                <w:sz w:val="24"/>
                <w:szCs w:val="24"/>
                <w:u w:val="none"/>
              </w:rPr>
              <w:t xml:space="preserve"> </w:t>
            </w:r>
            <w:r>
              <w:rPr>
                <w:rFonts w:ascii="Times New Roman" w:eastAsia="Times New Roman" w:hAnsi="Times New Roman" w:cs="Times New Roman"/>
                <w:b/>
                <w:bCs/>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Has the applicant clearly and thoroughly explained the hypotheses and relevance to MMP’s mission?</w:t>
            </w:r>
          </w:p>
          <w:p w:rsidP="00470374">
            <w:pPr>
              <w:keepLines w:val="0"/>
              <w:numPr>
                <w:ilvl w:val="0"/>
                <w:numId w:val="21"/>
              </w:numPr>
              <w:spacing w:before="2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Work plan/Methodology:</w:t>
            </w:r>
            <w:r>
              <w:rPr>
                <w:rFonts w:ascii="Times New Roman" w:eastAsia="Times New Roman" w:hAnsi="Times New Roman" w:cs="Times New Roman"/>
                <w:b/>
                <w:bCs/>
                <w:i w:val="0"/>
                <w:strike w:val="0"/>
                <w:vanish w:val="0"/>
                <w:color w:val="000000"/>
                <w:sz w:val="24"/>
                <w:szCs w:val="24"/>
                <w:u w:val="none"/>
              </w:rPr>
              <w:t xml:space="preserve"> </w:t>
            </w:r>
            <w:r>
              <w:rPr>
                <w:rFonts w:ascii="Times New Roman" w:eastAsia="Times New Roman" w:hAnsi="Times New Roman" w:cs="Times New Roman"/>
                <w:b/>
                <w:bCs/>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Is the strategy clear?</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Are proposed methods adequate to meet objectives?</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Are the geographic areas selected for study appropriate?</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Are logistics, safety, and permits/interagency coordination adequately addressed?</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Does the timeline match the proposal and reality?</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Are the scientific objectives appropriate for proposed time frame?</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Are a minimum number of samples or other measurable benchmarks for ensuring project success indicated?</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Does the timeline provide for submission of the draft final report three months before project end date to ensure adequate time for review, revision, editing, and printing?</w:t>
            </w:r>
          </w:p>
          <w:p w:rsidP="00470374">
            <w:pPr>
              <w:keepLines w:val="0"/>
              <w:numPr>
                <w:ilvl w:val="0"/>
                <w:numId w:val="21"/>
              </w:numPr>
              <w:spacing w:before="2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Planned Products and Dissemination of Results:</w:t>
            </w:r>
            <w:r>
              <w:rPr>
                <w:rFonts w:ascii="Times New Roman" w:eastAsia="Times New Roman" w:hAnsi="Times New Roman" w:cs="Times New Roman"/>
                <w:b/>
                <w:bCs/>
                <w:i w:val="0"/>
                <w:strike w:val="0"/>
                <w:vanish w:val="0"/>
                <w:color w:val="000000"/>
                <w:sz w:val="24"/>
                <w:szCs w:val="24"/>
                <w:u w:val="none"/>
              </w:rPr>
              <w:t xml:space="preserve"> </w:t>
            </w:r>
            <w:r>
              <w:rPr>
                <w:rFonts w:ascii="Times New Roman" w:eastAsia="Times New Roman" w:hAnsi="Times New Roman" w:cs="Times New Roman"/>
                <w:b/>
                <w:bCs/>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Are the products clearly defined?</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Will they be useful for environmental stewardship and offshore resource management activities?</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Will the results be submitted for publication in a peer-reviewed form?</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Does the proposal indicate PI will submit database in format compatible with BOEM GIS and include metadata compliant with current Federal Geographic Data Committee standards?</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Does the proposal indicate data will be archived with the or other appropriate archive?</w:t>
            </w:r>
          </w:p>
          <w:p w:rsidP="00470374">
            <w:pPr>
              <w:keepLines w:val="0"/>
              <w:numPr>
                <w:ilvl w:val="0"/>
                <w:numId w:val="21"/>
              </w:numPr>
              <w:spacing w:before="2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Budget Justification and Clarity:</w:t>
            </w:r>
            <w:r>
              <w:rPr>
                <w:rFonts w:ascii="Times New Roman" w:eastAsia="Times New Roman" w:hAnsi="Times New Roman" w:cs="Times New Roman"/>
                <w:b/>
                <w:bCs/>
                <w:i w:val="0"/>
                <w:strike w:val="0"/>
                <w:vanish w:val="0"/>
                <w:color w:val="000000"/>
                <w:sz w:val="24"/>
                <w:szCs w:val="24"/>
                <w:u w:val="none"/>
              </w:rPr>
              <w:t xml:space="preserve"> </w:t>
            </w:r>
            <w:r>
              <w:rPr>
                <w:rFonts w:ascii="Times New Roman" w:eastAsia="Times New Roman" w:hAnsi="Times New Roman" w:cs="Times New Roman"/>
                <w:b/>
                <w:bCs/>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Is staff sufficient to accomplish the proposed goals?</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Are field expenses, supplies, lab work, and other expenses appropriate?</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Are expenses adequately itemized?</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If applicable, are a minimum number of samples to be collected and analyzed indicated?</w:t>
            </w:r>
          </w:p>
          <w:p w:rsidP="00470374">
            <w:pPr>
              <w:keepLines w:val="0"/>
              <w:numPr>
                <w:ilvl w:val="0"/>
                <w:numId w:val="21"/>
              </w:numPr>
              <w:spacing w:before="20" w:after="15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Experience/Competence of Research Personnel:</w:t>
            </w:r>
            <w:r>
              <w:rPr>
                <w:rFonts w:ascii="Times New Roman" w:eastAsia="Times New Roman" w:hAnsi="Times New Roman" w:cs="Times New Roman"/>
                <w:b/>
                <w:bCs/>
                <w:i w:val="0"/>
                <w:strike w:val="0"/>
                <w:vanish w:val="0"/>
                <w:color w:val="000000"/>
                <w:sz w:val="24"/>
                <w:szCs w:val="24"/>
                <w:u w:val="none"/>
              </w:rPr>
              <w:t xml:space="preserve"> </w:t>
            </w:r>
            <w:r>
              <w:rPr>
                <w:rFonts w:ascii="Times New Roman" w:eastAsia="Times New Roman" w:hAnsi="Times New Roman" w:cs="Times New Roman"/>
                <w:b/>
                <w:bCs/>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Has the applicant demonstrated (through bibliographic references, previous experience, awards, etc.) that they are capable of performing the proposed research?</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Has the applicant demonstrated a thorough knowledge of the scientific problem?</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Have products been on schedule and within budget? Have results been published in peer-reviewed journals?</w:t>
            </w:r>
          </w:p>
        </w:tc>
      </w:tr>
    </w:tbl>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30" w:name="_Toc256000027"/>
      <w:r>
        <w:rPr>
          <w:iCs w:val="0"/>
          <w:color w:val="000000"/>
          <w:shd w:val="clear" w:color="auto" w:fill="auto"/>
        </w:rPr>
        <w:t>E2. Review and Selection Process</w:t>
      </w:r>
      <w:bookmarkEnd w:id="30"/>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The proposal will be reviewed by BOEM scientists and program managers, and possibly external peer reviewers. Reviewers have expertise in Federal offshore programs and/or the specific scientific discipline of the proposal.</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31" w:name="_Toc256000028"/>
      <w:r>
        <w:rPr>
          <w:iCs w:val="0"/>
          <w:color w:val="000000"/>
          <w:shd w:val="clear" w:color="auto" w:fill="auto"/>
        </w:rPr>
        <w:t>E3. CFR - Regulatory Information</w:t>
      </w:r>
      <w:bookmarkEnd w:id="31"/>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Recent Administration executive orders are included in this Announcement as follows: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iCs/>
          <w:strike w:val="0"/>
          <w:color w:val="000000"/>
          <w:sz w:val="24"/>
          <w:szCs w:val="24"/>
          <w:u w:val="none"/>
        </w:rPr>
        <w:t>Executive Order 13985: Advancing Racial Equity and Support for Underserved Communities Through the Federal Government</w:t>
      </w:r>
      <w:r>
        <w:rPr>
          <w:rFonts w:ascii="Times New Roman" w:eastAsia="Times New Roman" w:hAnsi="Times New Roman" w:cs="Times New Roman"/>
          <w:b w:val="0"/>
          <w:i w:val="0"/>
          <w:strike w:val="0"/>
          <w:color w:val="000000"/>
          <w:sz w:val="24"/>
          <w:szCs w:val="24"/>
          <w:u w:val="none"/>
        </w:rPr>
        <w:t>, which affirms the Department’s responsibility to advance equity, civil rights, racial justice, and equal opportunity through its policies and procedures and directs federal agencies to allocate resources in a manner that helps address historic inequities to underserved communities and individuals, as defined by the order. Each office or bureau is expected to ensure that its financial assistance policies and procedures fully align with this direction.</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iCs/>
          <w:strike w:val="0"/>
          <w:color w:val="000000"/>
          <w:sz w:val="24"/>
          <w:szCs w:val="24"/>
          <w:u w:val="none"/>
        </w:rPr>
        <w:t>Executive Order 14005: Ensuring the Future is Made in All of America by All of America’s Workers</w:t>
      </w:r>
      <w:r>
        <w:rPr>
          <w:rFonts w:ascii="Times New Roman" w:eastAsia="Times New Roman" w:hAnsi="Times New Roman" w:cs="Times New Roman"/>
          <w:b w:val="0"/>
          <w:i w:val="0"/>
          <w:strike w:val="0"/>
          <w:color w:val="000000"/>
          <w:sz w:val="24"/>
          <w:szCs w:val="24"/>
          <w:u w:val="none"/>
        </w:rPr>
        <w:t>, which calls on federal agencies to ensure that terms and conditions of financial assistance awards maximize the use of goods, products, materials and services produced or offered in the United States.</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32" w:name="_Toc256000029"/>
      <w:r>
        <w:rPr>
          <w:iCs w:val="0"/>
          <w:color w:val="000000"/>
          <w:shd w:val="clear" w:color="auto" w:fill="auto"/>
        </w:rPr>
        <w:t>E4. Anticipated Announcement and Federal Award Dates</w:t>
      </w:r>
      <w:bookmarkEnd w:id="32"/>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 xml:space="preserve">Application Due Date anticipated: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July 30, 2023</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 xml:space="preserve">Award Start Date anticipated: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September 1, 2023</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1Heading1"/>
        <w:widowControl/>
        <w:spacing w:before="161" w:after="161"/>
        <w:ind w:left="45" w:right="45"/>
        <w:outlineLvl w:val="9"/>
        <w:rPr>
          <w:b/>
          <w:bCs/>
          <w:szCs w:val="24"/>
        </w:rPr>
      </w:pPr>
      <w:bookmarkStart w:id="33" w:name="_Toc256000030"/>
      <w:r>
        <w:rPr>
          <w:color w:val="000000"/>
          <w:kern w:val="0"/>
          <w:shd w:val="clear" w:color="auto" w:fill="auto"/>
        </w:rPr>
        <w:t>F. Federal Award Administration Information</w:t>
      </w:r>
      <w:bookmarkEnd w:id="33"/>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34" w:name="_Toc256000031"/>
      <w:r>
        <w:rPr>
          <w:iCs w:val="0"/>
          <w:color w:val="000000"/>
          <w:shd w:val="clear" w:color="auto" w:fill="auto"/>
        </w:rPr>
        <w:t>F1. Federal Award Notices</w:t>
      </w:r>
      <w:bookmarkEnd w:id="34"/>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Awards are based on the application submitted to and approved by BOEM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The BOEM uses the Automated Standard Application for Payments (ASAP) cooperative agreement payment system, managed by the United States Department of the Treasury, to provide electronic invoicing and payment for funds under this award. With the award of each cooperative agreement, an account will be set up from which the Recipient can draw down funds. Recipients must be enrolled in ASAP and their ASAP account linked to BOEM before an award can be issued.</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35" w:name="_Toc256000032"/>
      <w:r>
        <w:rPr>
          <w:iCs w:val="0"/>
          <w:color w:val="000000"/>
          <w:shd w:val="clear" w:color="auto" w:fill="auto"/>
        </w:rPr>
        <w:t>F2. Administrative and National Policy Requirements</w:t>
      </w:r>
      <w:bookmarkEnd w:id="35"/>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See the “DOI Standard Terms and Conditions” for the administrative and national policy requirements applicable to DOI awards.</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In the text field below include the link to DOI Standard Terms and Conditions and any program- or project-specific terms or conditions that will apply to recipients under the program.</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Award Administration Information</w:t>
      </w:r>
      <w:r>
        <w:rPr>
          <w:rFonts w:ascii="Times New Roman" w:eastAsia="Times New Roman" w:hAnsi="Times New Roman" w:cs="Times New Roman"/>
          <w:b/>
          <w:bCs/>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t>The Awardee is responsible for managing the day-to-day operations of the cooperative agreement</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and sub-awards to ensure compliance with applicable Federal statutes, regulations, and policies. The Awardee is also responsible for meeting the performance goals identified in the Proposal Text. Awards based on the application submitted to, and as approved by, BOEM are subject to the terms and conditions incorporated either directly or by reference in the following section.</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bCs/>
          <w:i w:val="0"/>
          <w:strike w:val="0"/>
          <w:vanish w:val="0"/>
          <w:color w:val="000000"/>
          <w:sz w:val="24"/>
          <w:szCs w:val="24"/>
          <w:u w:val="none"/>
        </w:rPr>
        <w:t>Terms and Conditions</w:t>
      </w:r>
      <w:r>
        <w:rPr>
          <w:rFonts w:ascii="Times New Roman" w:eastAsia="Times New Roman" w:hAnsi="Times New Roman" w:cs="Times New Roman"/>
          <w:b/>
          <w:bCs/>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t>Acceptance of a Federal Financial Assistance award from the Department of the Interior (DOI) BOEM carries with it the responsibility to be aware of and comply with the terms and conditions of award. Acceptance is defined as the start of work, drawing down funds, or accepting the award via electronic means. Awards are based on the application submitted to, and as approved by, BOEM and are subject to the terms and conditions incorporated either directly or by reference in the following:</w:t>
      </w:r>
    </w:p>
    <w:p w:rsidP="00470374">
      <w:pPr>
        <w:keepLines w:val="0"/>
        <w:numPr>
          <w:ilvl w:val="0"/>
          <w:numId w:val="22"/>
        </w:numPr>
        <w:spacing w:before="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Program legislation\regulation;</w:t>
      </w:r>
    </w:p>
    <w:p w:rsidP="00470374">
      <w:pPr>
        <w:keepLines w:val="0"/>
        <w:numPr>
          <w:ilvl w:val="0"/>
          <w:numId w:val="22"/>
        </w:numPr>
        <w:spacing w:before="2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Special terms and conditions;</w:t>
      </w:r>
    </w:p>
    <w:p w:rsidP="00470374">
      <w:pPr>
        <w:keepLines w:val="0"/>
        <w:numPr>
          <w:ilvl w:val="0"/>
          <w:numId w:val="22"/>
        </w:numPr>
        <w:spacing w:before="2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Code of Federal Regulations/Regulatory Requirements, as applicable; Contact the Contracting Officer with any questions regarding the applicability of the following:</w:t>
      </w:r>
    </w:p>
    <w:p w:rsidP="00470374">
      <w:pPr>
        <w:keepLines w:val="0"/>
        <w:numPr>
          <w:ilvl w:val="0"/>
          <w:numId w:val="22"/>
        </w:numPr>
        <w:spacing w:before="2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2 CFR Part 200, Uniform Administrative Requirements, Cost Principles, andAudit Requirements for Federal Awards</w:t>
      </w:r>
    </w:p>
    <w:p w:rsidP="00470374">
      <w:pPr>
        <w:keepLines w:val="0"/>
        <w:numPr>
          <w:ilvl w:val="0"/>
          <w:numId w:val="22"/>
        </w:numPr>
        <w:spacing w:before="2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2 CFR Part 25, Universal Identifier and System for Award Management</w:t>
      </w:r>
    </w:p>
    <w:p w:rsidP="00470374">
      <w:pPr>
        <w:keepLines w:val="0"/>
        <w:numPr>
          <w:ilvl w:val="0"/>
          <w:numId w:val="22"/>
        </w:numPr>
        <w:spacing w:before="2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2 CFR Part 170, Reporting Subaward and Executive Compensation Information</w:t>
      </w:r>
    </w:p>
    <w:p w:rsidP="00470374">
      <w:pPr>
        <w:keepLines w:val="0"/>
        <w:numPr>
          <w:ilvl w:val="0"/>
          <w:numId w:val="22"/>
        </w:numPr>
        <w:spacing w:before="2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2 CFR Part 175, Award Term for Trafficking in Persons</w:t>
      </w:r>
    </w:p>
    <w:p w:rsidP="00470374">
      <w:pPr>
        <w:keepLines w:val="0"/>
        <w:numPr>
          <w:ilvl w:val="0"/>
          <w:numId w:val="22"/>
        </w:numPr>
        <w:spacing w:before="2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2 CFR Part 182, Governmentwide Requirements for Drug-Free Workplace</w:t>
      </w:r>
    </w:p>
    <w:p w:rsidP="00470374">
      <w:pPr>
        <w:keepLines w:val="0"/>
        <w:numPr>
          <w:ilvl w:val="0"/>
          <w:numId w:val="22"/>
        </w:numPr>
        <w:spacing w:before="2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2 CFR Part 1400, NonProcurement Debarment and Suspension</w:t>
      </w:r>
    </w:p>
    <w:p w:rsidP="00470374">
      <w:pPr>
        <w:keepLines w:val="0"/>
        <w:numPr>
          <w:ilvl w:val="0"/>
          <w:numId w:val="22"/>
        </w:numPr>
        <w:spacing w:before="2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2 CFR Part 1401, Requirements for Drug-Free Workplace</w:t>
      </w:r>
    </w:p>
    <w:p w:rsidP="00470374">
      <w:pPr>
        <w:keepLines w:val="0"/>
        <w:numPr>
          <w:ilvl w:val="0"/>
          <w:numId w:val="22"/>
        </w:numPr>
        <w:spacing w:before="20" w:after="2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2 CFR Part 1402, Uniform Administrative Requirements, Cost Principles, and Audit Requirements for Federal Awards</w:t>
      </w:r>
    </w:p>
    <w:p w:rsidP="00470374">
      <w:pPr>
        <w:keepLines w:val="0"/>
        <w:numPr>
          <w:ilvl w:val="0"/>
          <w:numId w:val="22"/>
        </w:numPr>
        <w:spacing w:before="20" w:after="150"/>
        <w:ind w:left="720" w:hanging="36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43 CFR Part 18, New Restrictions on Lobbying</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t>All cooperative agreements are subject to the DOI Standard Terms and Conditions at:</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https://www.doi.gov/sites/doi.gov/files/uploads/doi-standard-award-terms-and-conditions-effective-december-2-2019-revised-june-19-2020.pdf</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Data Availability</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Per the Financial Assistance Interior Regulation (FAIR), </w:t>
      </w:r>
      <w:hyperlink r:id="rId28" w:history="1">
        <w:r>
          <w:rPr>
            <w:rStyle w:val="ahref"/>
            <w:rFonts w:ascii="Times New Roman" w:eastAsia="Times New Roman" w:hAnsi="Times New Roman" w:cs="Times New Roman"/>
            <w:b w:val="0"/>
            <w:bCs w:val="0"/>
            <w:i w:val="0"/>
            <w:strike w:val="0"/>
            <w:color w:val="0000FF"/>
            <w:sz w:val="24"/>
            <w:szCs w:val="24"/>
            <w:u w:val="single" w:color="0000FF"/>
          </w:rPr>
          <w:t>2 CFR §1402.315:</w:t>
        </w:r>
      </w:hyperlink>
      <w:r>
        <w:rPr>
          <w:rFonts w:ascii="Times New Roman" w:eastAsia="Times New Roman" w:hAnsi="Times New Roman" w:cs="Times New Roman"/>
          <w:b w:val="0"/>
          <w:bCs w:val="0"/>
          <w:i w:val="0"/>
          <w:strike w:val="0"/>
          <w:color w:val="000000"/>
          <w:sz w:val="24"/>
          <w:szCs w:val="24"/>
          <w:u w:val="none"/>
        </w:rPr>
        <w:t xml:space="preserve"> (a)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 (b) The Federal Government has the right to: (1) Obtain, reproduce, publish, or otherwise use the data, methodology, factual inputs, models, analyses, technical information, reports, conclusions, or other scientific assessments, produced under a Federal award; and (2)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See the Service’s General Award Terms and Conditions for the general administrative and national policy requirements applicable to Service awards. The Service will communicate any other program- or project-specific special terms and conditions to recipients in their notices of award.</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single"/>
        </w:rPr>
        <w:t>Applicability</w:t>
      </w:r>
      <w:r>
        <w:rPr>
          <w:rFonts w:ascii="Times New Roman" w:eastAsia="Times New Roman" w:hAnsi="Times New Roman" w:cs="Times New Roman"/>
          <w:b w:val="0"/>
          <w:i w:val="0"/>
          <w:strike w:val="0"/>
          <w:color w:val="000000"/>
          <w:sz w:val="24"/>
          <w:szCs w:val="24"/>
          <w:u w:val="none"/>
        </w:rPr>
        <w:t>. DOI is committed to basing its decisions on the best available science and providing the American people with enough information to thoughtfully and substantively evaluate the data, methodology, and analysis used by the Department to inform its decisions.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single"/>
        </w:rPr>
        <w:t>Use of Data</w:t>
      </w:r>
      <w:r>
        <w:rPr>
          <w:rFonts w:ascii="Times New Roman" w:eastAsia="Times New Roman" w:hAnsi="Times New Roman" w:cs="Times New Roman"/>
          <w:b w:val="0"/>
          <w:i w:val="0"/>
          <w:strike w:val="0"/>
          <w:color w:val="000000"/>
          <w:sz w:val="24"/>
          <w:szCs w:val="24"/>
          <w:u w:val="none"/>
        </w:rPr>
        <w:t>.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single"/>
        </w:rPr>
        <w:t>Availability of Data</w:t>
      </w:r>
      <w:r>
        <w:rPr>
          <w:rFonts w:ascii="Times New Roman" w:eastAsia="Times New Roman" w:hAnsi="Times New Roman" w:cs="Times New Roman"/>
          <w:b w:val="0"/>
          <w:i w:val="0"/>
          <w:strike w:val="0"/>
          <w:color w:val="000000"/>
          <w:sz w:val="24"/>
          <w:szCs w:val="24"/>
          <w:u w:val="none"/>
        </w:rPr>
        <w:t>. The Awardee shall make the data produced under this award and any sub-award(s) available to the Government for public release, consistent with applicable law, to allow meaningful third-party evaluation and reproduction of the following:</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i. The scientific data relied upon;</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ii.</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The analysis relied upon; and</w:t>
      </w:r>
      <w:r>
        <w:rPr>
          <w:rFonts w:ascii="Times New Roman" w:eastAsia="Times New Roman" w:hAnsi="Times New Roman" w:cs="Times New Roman"/>
          <w:b w:val="0"/>
          <w:i w:val="0"/>
          <w:strike w:val="0"/>
          <w:color w:val="000000"/>
          <w:sz w:val="24"/>
          <w:szCs w:val="24"/>
          <w:u w:val="none"/>
        </w:rPr>
        <w:br/>
      </w:r>
      <w:r>
        <w:rPr>
          <w:rFonts w:ascii="Times New Roman" w:eastAsia="Times New Roman" w:hAnsi="Times New Roman" w:cs="Times New Roman"/>
          <w:b w:val="0"/>
          <w:i w:val="0"/>
          <w:strike w:val="0"/>
          <w:color w:val="000000"/>
          <w:sz w:val="24"/>
          <w:szCs w:val="24"/>
          <w:u w:val="none"/>
        </w:rPr>
        <w:t>iii.</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The methodology, including models, used to gather and analyze data.</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36" w:name="_Toc256000033"/>
      <w:r>
        <w:rPr>
          <w:iCs w:val="0"/>
          <w:color w:val="000000"/>
          <w:shd w:val="clear" w:color="auto" w:fill="auto"/>
        </w:rPr>
        <w:t>F3. Reporting</w:t>
      </w:r>
      <w:bookmarkEnd w:id="36"/>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Financial Reports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All recipients must use the SF-425, Federal Financial Report form for financial reporting. Final reports are due no later than 90 calendar days after the award period of performance end date or termination date. For awards with periods of performance longer than 12 months, recipients are required to submit </w:t>
      </w:r>
      <w:r>
        <w:rPr>
          <w:rFonts w:ascii="Times New Roman" w:eastAsia="Times New Roman" w:hAnsi="Times New Roman" w:cs="Times New Roman"/>
          <w:b/>
          <w:bCs/>
          <w:i w:val="0"/>
          <w:strike w:val="0"/>
          <w:color w:val="000000"/>
          <w:sz w:val="24"/>
          <w:szCs w:val="24"/>
          <w:u w:val="none"/>
        </w:rPr>
        <w:t xml:space="preserve">interim </w:t>
      </w:r>
      <w:r>
        <w:rPr>
          <w:rFonts w:ascii="Times New Roman" w:eastAsia="Times New Roman" w:hAnsi="Times New Roman" w:cs="Times New Roman"/>
          <w:b w:val="0"/>
          <w:bCs w:val="0"/>
          <w:i w:val="0"/>
          <w:strike w:val="0"/>
          <w:color w:val="000000"/>
          <w:sz w:val="24"/>
          <w:szCs w:val="24"/>
          <w:u w:val="none"/>
        </w:rPr>
        <w:t>financial reports on the frequency established in the Notice of Award.</w:t>
      </w:r>
    </w:p>
    <w:p w:rsidP="00470374">
      <w:pPr>
        <w:keepLines w:val="0"/>
        <w:spacing w:before="2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Recipient specific reporting requirements, including the required reports, reporting frequency, and report due dates will be included in all Notices of Award, as applicable. Only interim financial reporting on awards to ASAP-waived entities using the SF- 270/271 and requesting payment at least once annually throughout the entire award period of performance may be waived. In the text field below enter any program specific reporting requirements.</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BOEM will conduct oversight and monitoring of the work progress and financial status of each cooperative agreement by requiring the following information from the Awardee institution, at a minimum:</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t>a.</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single"/>
        </w:rPr>
        <w:t>Federal Cash Transactions Reports</w:t>
      </w:r>
      <w:r>
        <w:rPr>
          <w:rFonts w:ascii="Times New Roman" w:eastAsia="Times New Roman" w:hAnsi="Times New Roman" w:cs="Times New Roman"/>
          <w:b w:val="0"/>
          <w:i w:val="0"/>
          <w:strike w:val="0"/>
          <w:vanish w:val="0"/>
          <w:color w:val="000000"/>
          <w:sz w:val="24"/>
          <w:szCs w:val="24"/>
          <w:u w:val="none"/>
        </w:rPr>
        <w:t>. The Awardee must submit the Standard Form 425, Federal Financial Report and, when necessary, its continuation form if funds are withdrawn in advance of expenditures. BOEM will use the form to monitor the cash advanced to the Awardee, and to obtain disbursement or outlay information for each cooperative agreement.</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t>b.</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single"/>
        </w:rPr>
        <w:t>Performance and Financial Status Reporting Requirements</w:t>
      </w:r>
      <w:r>
        <w:rPr>
          <w:rFonts w:ascii="Times New Roman" w:eastAsia="Times New Roman" w:hAnsi="Times New Roman" w:cs="Times New Roman"/>
          <w:b w:val="0"/>
          <w:i w:val="0"/>
          <w:strike w:val="0"/>
          <w:vanish w:val="0"/>
          <w:color w:val="000000"/>
          <w:sz w:val="24"/>
          <w:szCs w:val="24"/>
          <w:u w:val="none"/>
        </w:rPr>
        <w:t>. Reporting requirements for the projects are regulated by 2 CFR Part 200. These regulations specify basic cooperative agreement reporting requirements including performance and financial reports. BOEM will work closely with the Awardee to incorporate appropriate performance and financial reporting requirements into each cooperative agreement award, consistent with 2 CFR Part 200. These regulations provide some flexibility in determining the appropriate content and frequency of performance and financial reports. At a minimum, however, the reporting schedule will require the Awardee to report their progress at least quarterly through the established reporting process and annual submission of financial status reports.</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t>c.</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single"/>
        </w:rPr>
        <w:t>Single Audit Requirements</w:t>
      </w:r>
      <w:r>
        <w:rPr>
          <w:rFonts w:ascii="Times New Roman" w:eastAsia="Times New Roman" w:hAnsi="Times New Roman" w:cs="Times New Roman"/>
          <w:b w:val="0"/>
          <w:i w:val="0"/>
          <w:strike w:val="0"/>
          <w:vanish w:val="0"/>
          <w:color w:val="000000"/>
          <w:sz w:val="24"/>
          <w:szCs w:val="24"/>
          <w:u w:val="none"/>
        </w:rPr>
        <w:t>. Non-Federal entities that expend financial assistance funds of $750,000 or more in Federal awards must have a single or a program-specific audit conducted for that year. Non-Federal entities that expend less than $750,000 in Federal awards are exempt from Federal audit requirements for that year, except as noted in 2CFR 200.501.</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t>d.</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single"/>
        </w:rPr>
        <w:t>Technical Reporting Requirements</w:t>
      </w:r>
      <w:r>
        <w:rPr>
          <w:rFonts w:ascii="Times New Roman" w:eastAsia="Times New Roman" w:hAnsi="Times New Roman" w:cs="Times New Roman"/>
          <w:b w:val="0"/>
          <w:i w:val="0"/>
          <w:strike w:val="0"/>
          <w:vanish w:val="0"/>
          <w:color w:val="000000"/>
          <w:sz w:val="24"/>
          <w:szCs w:val="24"/>
          <w:u w:val="single"/>
        </w:rPr>
        <w:t xml:space="preserve"> </w:t>
      </w:r>
      <w:r>
        <w:rPr>
          <w:rFonts w:ascii="Times New Roman" w:eastAsia="Times New Roman" w:hAnsi="Times New Roman" w:cs="Times New Roman"/>
          <w:b w:val="0"/>
          <w:i w:val="0"/>
          <w:strike w:val="0"/>
          <w:vanish w:val="0"/>
          <w:color w:val="000000"/>
          <w:sz w:val="24"/>
          <w:szCs w:val="24"/>
          <w:u w:val="none"/>
        </w:rPr>
        <w:t>(to be submitted by project PI).</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bCs/>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Project Management Plan</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t>The study will follow the Project Management/Staffing Plan, Data Analysis, and Data Management and Archiving plans as outlined in the recipient’s revised proposal with additional points summarized below.</w:t>
      </w:r>
      <w:r>
        <w:rPr>
          <w:rFonts w:ascii="Times New Roman" w:eastAsia="Times New Roman" w:hAnsi="Times New Roman" w:cs="Times New Roman"/>
          <w:b w:val="0"/>
          <w:i w:val="0"/>
          <w:strike w:val="0"/>
          <w:vanish w:val="0"/>
          <w:color w:val="000000"/>
          <w:sz w:val="24"/>
          <w:szCs w:val="24"/>
          <w:u w:val="none"/>
        </w:rPr>
        <w:t xml:space="preserv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Performance Reports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See Service policy 516 FW 1, Monitoring Financial and Performance Reporting for Financial Assistance for more information.</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TASKS</w:t>
      </w:r>
    </w:p>
    <w:p w:rsidP="00470374">
      <w:pPr>
        <w:keepLines w:val="0"/>
        <w:numPr>
          <w:ilvl w:val="0"/>
          <w:numId w:val="23"/>
        </w:numPr>
        <w:spacing w:before="0" w:after="20"/>
        <w:ind w:left="72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Aide in scheduling ship of opportunity and remotely operated vehicle</w:t>
      </w:r>
    </w:p>
    <w:p w:rsidP="00470374">
      <w:pPr>
        <w:keepLines w:val="0"/>
        <w:numPr>
          <w:ilvl w:val="0"/>
          <w:numId w:val="23"/>
        </w:numPr>
        <w:spacing w:before="20" w:after="20"/>
        <w:ind w:left="72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Providing technical support to ensure that BOEM personnel are provided documentation required to sail onboard.</w:t>
      </w:r>
    </w:p>
    <w:p w:rsidP="00470374">
      <w:pPr>
        <w:keepLines w:val="0"/>
        <w:numPr>
          <w:ilvl w:val="0"/>
          <w:numId w:val="23"/>
        </w:numPr>
        <w:spacing w:before="20" w:after="20"/>
        <w:ind w:left="72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Submission of a cruise plan prior to sailing.</w:t>
      </w:r>
    </w:p>
    <w:p w:rsidP="00470374">
      <w:pPr>
        <w:keepLines w:val="0"/>
        <w:numPr>
          <w:ilvl w:val="0"/>
          <w:numId w:val="23"/>
        </w:numPr>
        <w:spacing w:before="20" w:after="20"/>
        <w:ind w:left="72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Providing logistical support for safe mobilization and demobilization.</w:t>
      </w:r>
    </w:p>
    <w:p w:rsidP="00470374">
      <w:pPr>
        <w:keepLines w:val="0"/>
        <w:numPr>
          <w:ilvl w:val="0"/>
          <w:numId w:val="23"/>
        </w:numPr>
        <w:spacing w:before="20" w:after="20"/>
        <w:ind w:left="72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Detailed video documentation of potential mineral sites and surrounding terrain.</w:t>
      </w:r>
    </w:p>
    <w:p w:rsidP="00470374">
      <w:pPr>
        <w:keepLines w:val="0"/>
        <w:numPr>
          <w:ilvl w:val="0"/>
          <w:numId w:val="23"/>
        </w:numPr>
        <w:spacing w:before="20" w:after="20"/>
        <w:ind w:left="72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Collection of associated metadata utilizing the ROV.</w:t>
      </w:r>
    </w:p>
    <w:p w:rsidP="00470374">
      <w:pPr>
        <w:keepLines w:val="0"/>
        <w:numPr>
          <w:ilvl w:val="0"/>
          <w:numId w:val="23"/>
        </w:numPr>
        <w:spacing w:before="20" w:after="20"/>
        <w:ind w:left="72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Providing follow-on access to ROV data and video/digital still imagery collected during dives.</w:t>
      </w:r>
    </w:p>
    <w:p w:rsidP="00470374">
      <w:pPr>
        <w:keepLines w:val="0"/>
        <w:numPr>
          <w:ilvl w:val="0"/>
          <w:numId w:val="23"/>
        </w:numPr>
        <w:spacing w:before="20" w:after="150"/>
        <w:ind w:left="72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Production of a final operational report including appropriate maps, summary of data collected, operational considerations.</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DATA MANAGEMENT</w:t>
      </w:r>
    </w:p>
    <w:p w:rsidP="00470374">
      <w:pPr>
        <w:pStyle w:val="p"/>
        <w:keepLines w:val="0"/>
        <w:spacing w:before="0" w:after="140"/>
        <w:ind w:left="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The overarching goal of our DMP is to evaluate the many aspects of data management, metadata generation and validation, data preservation, and indexing associated with this project. Collected and archived data is expected to be useful as new research questions emerge. Adequate archiving will be a time-consuming task but is imperative for good standard research practice. Archival and curation in digital format is fundamental in the replication of research, clarification in instances of misunderstanding, establishing claims of intellectual property/patent, and supporting the validity of published conclusions. Additionally, a plan for the storage of datasets on multiple digital access platforms will be of significant value to future investigations by our and other science researchers.</w:t>
      </w:r>
      <w:r>
        <w:rPr>
          <w:rFonts w:ascii="Times New Roman" w:eastAsia="Times New Roman" w:hAnsi="Times New Roman" w:cs="Times New Roman"/>
          <w:b w:val="0"/>
          <w:i w:val="0"/>
          <w:strike w:val="0"/>
          <w:color w:val="000000"/>
          <w:sz w:val="24"/>
          <w:szCs w:val="24"/>
          <w:u w:val="none"/>
        </w:rPr>
        <w:t xml:space="preserve"> </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PROJECT MANAGEMENT</w:t>
      </w:r>
    </w:p>
    <w:p w:rsidP="00470374">
      <w:pPr>
        <w:pStyle w:val="p"/>
        <w:keepLines w:val="0"/>
        <w:spacing w:before="0" w:after="140"/>
        <w:ind w:left="0"/>
        <w:jc w:val="both"/>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 xml:space="preserve">This project is being proposed as a Cooperative Agreement between the University and BOEM. BOEM staff will provide substantial involvement through evaluation of the ability of LINF/LRS to detect geochemical and mineralogical indicators, development of science data acquisition and processing routines, and sampling in-situ analysis in a mission like scenario. </w:t>
      </w:r>
      <w:r>
        <w:rPr>
          <w:rFonts w:ascii="Times New Roman" w:eastAsia="Times New Roman" w:hAnsi="Times New Roman" w:cs="Times New Roman"/>
          <w:b w:val="0"/>
          <w:i w:val="0"/>
          <w:strike w:val="0"/>
          <w:color w:val="000000"/>
          <w:sz w:val="24"/>
          <w:szCs w:val="24"/>
          <w:u w:val="none"/>
        </w:rPr>
        <w:t xml:space="preserve"> </w:t>
      </w:r>
      <w:r>
        <w:rPr>
          <w:rFonts w:ascii="Times New Roman" w:eastAsia="Times New Roman" w:hAnsi="Times New Roman" w:cs="Times New Roman"/>
          <w:b w:val="0"/>
          <w:i w:val="0"/>
          <w:strike w:val="0"/>
          <w:color w:val="000000"/>
          <w:sz w:val="24"/>
          <w:szCs w:val="24"/>
          <w:u w:val="none"/>
        </w:rPr>
        <w:t>University will be responsible for survey design and analysis, their facilities and personnel management.</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PLANNED DELIVERABLES</w:t>
      </w:r>
    </w:p>
    <w:p w:rsidP="00470374">
      <w:pPr>
        <w:keepLines w:val="0"/>
        <w:numPr>
          <w:ilvl w:val="0"/>
          <w:numId w:val="24"/>
        </w:numPr>
        <w:spacing w:before="0" w:after="20"/>
        <w:ind w:left="72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Cruise plan</w:t>
      </w:r>
    </w:p>
    <w:p w:rsidP="00470374">
      <w:pPr>
        <w:keepLines w:val="0"/>
        <w:numPr>
          <w:ilvl w:val="0"/>
          <w:numId w:val="24"/>
        </w:numPr>
        <w:spacing w:before="20" w:after="20"/>
        <w:ind w:left="72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Documentation required to sail onboard</w:t>
      </w:r>
    </w:p>
    <w:p w:rsidP="00470374">
      <w:pPr>
        <w:keepLines w:val="0"/>
        <w:numPr>
          <w:ilvl w:val="0"/>
          <w:numId w:val="24"/>
        </w:numPr>
        <w:spacing w:before="20" w:after="20"/>
        <w:ind w:left="72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Video/digital still imagery collected during dives</w:t>
      </w:r>
    </w:p>
    <w:p w:rsidP="00470374">
      <w:pPr>
        <w:keepLines w:val="0"/>
        <w:numPr>
          <w:ilvl w:val="0"/>
          <w:numId w:val="24"/>
        </w:numPr>
        <w:spacing w:before="20" w:after="20"/>
        <w:ind w:left="72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Video documentation of the hydrothermal vent sites and surrounding terrain</w:t>
      </w:r>
    </w:p>
    <w:p w:rsidP="00470374">
      <w:pPr>
        <w:keepLines w:val="0"/>
        <w:numPr>
          <w:ilvl w:val="0"/>
          <w:numId w:val="24"/>
        </w:numPr>
        <w:spacing w:before="20" w:after="150"/>
        <w:ind w:left="720" w:hanging="36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Final operational report including appropriate maps, summary of data collected, operational considerations</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 xml:space="preserv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 Significant Development Reports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Events may occur between the scheduled performance reporting dates which have significant impact upon the supported activity.</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In such cases, recipients are required to notify the Bureau in writing as soon as the recipient becomes aware of any problems, delays, or adverse conditions that will materially impair the ability to meet the objective of the Federal award.</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This disclosure must include a statement of any corrective action(s) taken or contemplated, and any assistance needed to resolve the situation.</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The recipient should also notify [Insert Bureau Here] in writing of any favorable developments that enable meeting time schedules and objectives sooner or at less cost than anticipated or producing more or different beneficial results than originally planned.</w:t>
      </w:r>
    </w:p>
    <w:p w:rsidP="00470374">
      <w:pPr>
        <w:pStyle w:val="p"/>
        <w:keepLines w:val="0"/>
        <w:spacing w:before="0" w:after="14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The recipient should also notify BOEM in writing of any favorable developments that enable meeting time schedules and objectives sooner or at less cost than anticipated or producing more or different beneficial results than originally planned.</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d. Real Property Reports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Recipients and subrecipients are required to submit status reports on the status of real property in which the Federal government retains an interest.</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The required frequency of these reports will depend on the anticipated length of the Federal interest period.</w:t>
      </w:r>
      <w:r>
        <w:rPr>
          <w:rFonts w:ascii="Times New Roman" w:eastAsia="Times New Roman" w:hAnsi="Times New Roman" w:cs="Times New Roman"/>
          <w:b w:val="0"/>
          <w:bCs w:val="0"/>
          <w:i w:val="0"/>
          <w:strike w:val="0"/>
          <w:color w:val="000000"/>
          <w:sz w:val="24"/>
          <w:szCs w:val="24"/>
          <w:u w:val="none"/>
        </w:rPr>
        <w:t xml:space="preserve"> </w:t>
      </w:r>
      <w:r>
        <w:rPr>
          <w:rFonts w:ascii="Times New Roman" w:eastAsia="Times New Roman" w:hAnsi="Times New Roman" w:cs="Times New Roman"/>
          <w:b w:val="0"/>
          <w:bCs w:val="0"/>
          <w:i w:val="0"/>
          <w:strike w:val="0"/>
          <w:color w:val="000000"/>
          <w:sz w:val="24"/>
          <w:szCs w:val="24"/>
          <w:u w:val="none"/>
        </w:rPr>
        <w:t xml:space="preserve"> The Bureau will include recipient-specific real property reporting requirements, including the required data elements, reporting frequency, and report due dates, as applicable.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Conflict of Internet Disclosures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Recipients must notify the program immediately in writing of any conflict of interest that arise during the life of their Federal award, including those reported to them by any subrecipient under the award. Recipients must notify the program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for more information on these restrictions. The [Insert Bureau Here]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2 CFR 200.338 Remedies for Noncompliance, including termination of the award.</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Other Mandatory Disclosures</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 Federal entities that receive a Federal award including the terms and conditions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Reporting Matters Related to Recipient Integrity and Performance</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 in accordance with Appendix XII to 2 CFR 200.</w:t>
      </w:r>
    </w:p>
    <w:p w:rsidP="00470374">
      <w:pPr>
        <w:keepLines w:val="0"/>
        <w:spacing w:before="120" w:after="6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1Heading1"/>
        <w:widowControl/>
        <w:spacing w:before="161" w:after="161"/>
        <w:ind w:left="45" w:right="45"/>
        <w:outlineLvl w:val="9"/>
        <w:rPr>
          <w:b/>
          <w:bCs/>
          <w:szCs w:val="24"/>
        </w:rPr>
      </w:pPr>
      <w:bookmarkStart w:id="37" w:name="_Toc256000034"/>
      <w:r>
        <w:rPr>
          <w:color w:val="000000"/>
          <w:kern w:val="0"/>
          <w:shd w:val="clear" w:color="auto" w:fill="auto"/>
        </w:rPr>
        <w:t>G. Federal Awarding Agency Contact(s)</w:t>
      </w:r>
      <w:bookmarkEnd w:id="37"/>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First Name</w:t>
      </w:r>
    </w:p>
    <w:p w:rsidP="00470374">
      <w:pPr>
        <w:keepLines w:val="0"/>
        <w:spacing w:before="6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The Notice of Funding Opportunity must give potential applicants a point(s) of contact for answering questions or helping with problems while the funding opportunity is open.</w:t>
      </w:r>
    </w:p>
    <w:p w:rsidP="00470374">
      <w:pPr>
        <w:pStyle w:val="div"/>
        <w:keepLines w:val="0"/>
        <w:spacing w:before="20" w:after="2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val="0"/>
          <w:i w:val="0"/>
          <w:strike w:val="0"/>
          <w:vanish w:val="0"/>
          <w:color w:val="000000"/>
          <w:sz w:val="24"/>
          <w:szCs w:val="24"/>
          <w:u w:val="none"/>
        </w:rPr>
        <w:t>Dominique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Last Name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Bruce-Morton</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Address</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45600 Woodland Road, Sterling, VA 20166</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Telephone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703-787-1342</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Email</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dominique.bruce-morton@bsee.gov</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38" w:name="_Toc256000035"/>
      <w:r>
        <w:rPr>
          <w:iCs w:val="0"/>
          <w:color w:val="000000"/>
          <w:shd w:val="clear" w:color="auto" w:fill="auto"/>
        </w:rPr>
        <w:t>G2. Administrative/Budget Questions Program Office Contact</w:t>
      </w:r>
      <w:bookmarkEnd w:id="38"/>
      <w:r>
        <w:rPr>
          <w:iCs w:val="0"/>
          <w:color w:val="000000"/>
          <w:shd w:val="clear" w:color="auto" w:fill="auto"/>
        </w:rPr>
        <w:t xml:space="preserve"> </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bCs/>
          <w:i w:val="0"/>
          <w:strike w:val="0"/>
          <w:color w:val="000000"/>
          <w:sz w:val="24"/>
          <w:szCs w:val="24"/>
          <w:u w:val="none"/>
        </w:rPr>
        <w:t>For programmatic technical assistance, please contact:</w:t>
      </w:r>
      <w:r>
        <w:rPr>
          <w:rFonts w:ascii="Times New Roman" w:eastAsia="Times New Roman" w:hAnsi="Times New Roman" w:cs="Times New Roman"/>
          <w:b/>
          <w:bCs/>
          <w:i w:val="0"/>
          <w:strike w:val="0"/>
          <w:color w:val="000000"/>
          <w:sz w:val="24"/>
          <w:szCs w:val="24"/>
          <w:u w:val="none"/>
        </w:rPr>
        <w:t xml:space="preserv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First Name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Mark</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Last Name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Leung</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Address</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45600 Woodland Road, Sterling, VA 20166</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Telephone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571-373-1367</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Email</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mark.leung@boem.gov</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39" w:name="_Toc256000036"/>
      <w:r>
        <w:rPr>
          <w:iCs w:val="0"/>
          <w:color w:val="000000"/>
          <w:shd w:val="clear" w:color="auto" w:fill="auto"/>
        </w:rPr>
        <w:t>G3. Grants Staff Contact</w:t>
      </w:r>
      <w:bookmarkEnd w:id="39"/>
      <w:r>
        <w:rPr>
          <w:iCs w:val="0"/>
          <w:color w:val="000000"/>
          <w:shd w:val="clear" w:color="auto" w:fill="auto"/>
        </w:rPr>
        <w:t xml:space="preserve"> </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bCs/>
          <w:i w:val="0"/>
          <w:strike w:val="0"/>
          <w:color w:val="000000"/>
          <w:sz w:val="24"/>
          <w:szCs w:val="24"/>
          <w:u w:val="none"/>
        </w:rPr>
        <w:t>For financial, awards management, or budget assistance, contact:</w:t>
      </w:r>
      <w:r>
        <w:rPr>
          <w:rFonts w:ascii="Times New Roman" w:eastAsia="Times New Roman" w:hAnsi="Times New Roman" w:cs="Times New Roman"/>
          <w:b/>
          <w:bCs/>
          <w:i w:val="0"/>
          <w:strike w:val="0"/>
          <w:color w:val="000000"/>
          <w:sz w:val="24"/>
          <w:szCs w:val="24"/>
          <w:u w:val="none"/>
        </w:rPr>
        <w:t xml:space="preserve"> </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First Name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Last Name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Address</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Telephone</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Email</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2Heading2"/>
        <w:keepNext w:val="0"/>
        <w:spacing w:before="199" w:after="199"/>
        <w:ind w:left="45" w:right="45"/>
        <w:outlineLvl w:val="9"/>
        <w:rPr>
          <w:b/>
          <w:bCs/>
          <w:szCs w:val="24"/>
        </w:rPr>
      </w:pPr>
      <w:bookmarkStart w:id="40" w:name="_Toc256000037"/>
      <w:r>
        <w:rPr>
          <w:iCs w:val="0"/>
          <w:color w:val="000000"/>
          <w:shd w:val="clear" w:color="auto" w:fill="auto"/>
        </w:rPr>
        <w:t>G4. Technical Support</w:t>
      </w:r>
      <w:bookmarkEnd w:id="40"/>
      <w:r>
        <w:rPr>
          <w:iCs w:val="0"/>
          <w:color w:val="000000"/>
          <w:shd w:val="clear" w:color="auto" w:fill="auto"/>
        </w:rPr>
        <w:t xml:space="preserve"> </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bCs/>
          <w:i w:val="0"/>
          <w:strike w:val="0"/>
          <w:color w:val="000000"/>
          <w:sz w:val="24"/>
          <w:szCs w:val="24"/>
          <w:u w:val="none"/>
        </w:rPr>
        <w:t>For Grants.gov technical registration and submission, downloading forms and application packages, contact:</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Name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Grants.gov Customer Support</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Telephone</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1-800-518-4726</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Email</w:t>
      </w:r>
    </w:p>
    <w:p w:rsidP="00470374">
      <w:pPr>
        <w:pStyle w:val="div"/>
        <w:keepLines w:val="0"/>
        <w:spacing w:before="20" w:after="20"/>
        <w:ind w:left="0"/>
        <w:jc w:val="left"/>
        <w:rPr>
          <w:rFonts w:ascii="Times New Roman" w:eastAsia="Times New Roman" w:hAnsi="Times New Roman" w:cs="Times New Roman"/>
          <w:b w:val="0"/>
          <w:i w:val="0"/>
          <w:strike w:val="0"/>
          <w:color w:val="000000"/>
          <w:sz w:val="24"/>
          <w:szCs w:val="24"/>
          <w:u w:val="none"/>
        </w:rPr>
      </w:pPr>
      <w:r>
        <w:rPr>
          <w:rFonts w:ascii="Times New Roman" w:eastAsia="Times New Roman" w:hAnsi="Times New Roman" w:cs="Times New Roman"/>
          <w:b w:val="0"/>
          <w:i w:val="0"/>
          <w:strike w:val="0"/>
          <w:color w:val="000000"/>
          <w:sz w:val="24"/>
          <w:szCs w:val="24"/>
          <w:u w:val="none"/>
        </w:rPr>
        <w:t>Support@grants.gov</w:t>
      </w:r>
    </w:p>
    <w:p>
      <w:pPr>
        <w:pStyle w:val="Normal0"/>
        <w:spacing w:before="0" w:after="140"/>
        <w:rPr>
          <w:b w:val="0"/>
          <w:bCs w:val="0"/>
          <w:color w:val="auto"/>
          <w:szCs w:val="24"/>
        </w:rPr>
      </w:pPr>
      <w:r>
        <w:rPr>
          <w:rFonts w:ascii="Times New Roman" w:eastAsia="Times New Roman" w:hAnsi="Times New Roman" w:cs="Times New Roman"/>
          <w:b w:val="0"/>
          <w:bCs w:val="0"/>
          <w:color w:val="auto"/>
          <w:sz w:val="24"/>
          <w:szCs w:val="24"/>
        </w:rPr>
        <w:t xml:space="preserve"> </w:t>
      </w:r>
    </w:p>
    <w:p>
      <w:pPr>
        <w:pStyle w:val="h1Heading1"/>
        <w:widowControl/>
        <w:spacing w:before="161" w:after="161"/>
        <w:ind w:left="45" w:right="45"/>
        <w:outlineLvl w:val="9"/>
        <w:rPr>
          <w:b/>
          <w:bCs/>
          <w:szCs w:val="24"/>
        </w:rPr>
      </w:pPr>
      <w:bookmarkStart w:id="41" w:name="_Toc256000038"/>
      <w:r>
        <w:rPr>
          <w:color w:val="000000"/>
          <w:kern w:val="0"/>
          <w:shd w:val="clear" w:color="auto" w:fill="auto"/>
        </w:rPr>
        <w:t>H. Other Information</w:t>
      </w:r>
      <w:bookmarkEnd w:id="41"/>
    </w:p>
    <w:p w:rsidP="00470374">
      <w:pPr>
        <w:pStyle w:val="Hidden"/>
        <w:keepLines w:val="0"/>
        <w:spacing w:before="120" w:after="60"/>
        <w:ind w:left="0"/>
        <w:jc w:val="left"/>
        <w:rPr>
          <w:rFonts w:ascii="Times New Roman" w:eastAsia="Times New Roman" w:hAnsi="Times New Roman" w:cs="Times New Roman"/>
          <w:b w:val="0"/>
          <w:i w:val="0"/>
          <w:strike w:val="0"/>
          <w:vanish/>
          <w:color w:val="009745"/>
          <w:sz w:val="24"/>
          <w:u w:val="none"/>
        </w:rPr>
      </w:pPr>
      <w:r>
        <w:rPr>
          <w:rFonts w:ascii="Times New Roman" w:eastAsia="Times New Roman" w:hAnsi="Times New Roman" w:cs="Times New Roman"/>
          <w:b w:val="0"/>
          <w:i w:val="0"/>
          <w:strike w:val="0"/>
          <w:vanish/>
          <w:color w:val="009745"/>
          <w:sz w:val="24"/>
          <w:u w:val="none"/>
        </w:rPr>
        <w:t xml:space="preserve">This section may include any additional information that will assist a potential applicant. For example, the section might: </w:t>
      </w:r>
    </w:p>
    <w:p w:rsidP="00470374">
      <w:pPr>
        <w:pStyle w:val="p0"/>
        <w:keepLines w:val="0"/>
        <w:spacing w:before="0" w:after="140"/>
        <w:ind w:left="0"/>
        <w:jc w:val="left"/>
        <w:rPr>
          <w:rFonts w:ascii="Times New Roman" w:eastAsia="Times New Roman" w:hAnsi="Times New Roman" w:cs="Times New Roman"/>
          <w:b w:val="0"/>
          <w:i w:val="0"/>
          <w:strike w:val="0"/>
          <w:vanish/>
          <w:color w:val="009745"/>
          <w:sz w:val="24"/>
          <w:szCs w:val="24"/>
          <w:u w:val="none"/>
        </w:rPr>
      </w:pPr>
      <w:r>
        <w:rPr>
          <w:rFonts w:ascii="Times New Roman" w:eastAsia="Times New Roman" w:hAnsi="Times New Roman" w:cs="Times New Roman"/>
          <w:b w:val="0"/>
          <w:i w:val="0"/>
          <w:strike w:val="0"/>
          <w:vanish/>
          <w:color w:val="009745"/>
          <w:sz w:val="24"/>
          <w:szCs w:val="24"/>
          <w:u w:val="none"/>
        </w:rPr>
        <w:t>i. Indicate whether this is a new program or a one-time initiative.</w:t>
      </w:r>
    </w:p>
    <w:p w:rsidP="00470374">
      <w:pPr>
        <w:pStyle w:val="p0"/>
        <w:keepLines w:val="0"/>
        <w:spacing w:before="0" w:after="140"/>
        <w:ind w:left="0"/>
        <w:jc w:val="left"/>
        <w:rPr>
          <w:rFonts w:ascii="Times New Roman" w:eastAsia="Times New Roman" w:hAnsi="Times New Roman" w:cs="Times New Roman"/>
          <w:b w:val="0"/>
          <w:i w:val="0"/>
          <w:strike w:val="0"/>
          <w:vanish/>
          <w:color w:val="009745"/>
          <w:sz w:val="24"/>
          <w:szCs w:val="24"/>
          <w:u w:val="none"/>
        </w:rPr>
      </w:pPr>
      <w:r>
        <w:rPr>
          <w:rFonts w:ascii="Times New Roman" w:eastAsia="Times New Roman" w:hAnsi="Times New Roman" w:cs="Times New Roman"/>
          <w:b w:val="0"/>
          <w:i w:val="0"/>
          <w:strike w:val="0"/>
          <w:vanish/>
          <w:color w:val="009745"/>
          <w:sz w:val="24"/>
          <w:szCs w:val="24"/>
          <w:u w:val="none"/>
        </w:rPr>
        <w:t>ii. Mention related programs or other upcoming or ongoing Federal awarding agency funding opportunities for similar activities.</w:t>
      </w:r>
    </w:p>
    <w:p w:rsidP="00470374">
      <w:pPr>
        <w:pStyle w:val="p0"/>
        <w:keepLines w:val="0"/>
        <w:spacing w:before="0" w:after="140"/>
        <w:ind w:left="0"/>
        <w:jc w:val="left"/>
        <w:rPr>
          <w:rFonts w:ascii="Times New Roman" w:eastAsia="Times New Roman" w:hAnsi="Times New Roman" w:cs="Times New Roman"/>
          <w:b w:val="0"/>
          <w:i w:val="0"/>
          <w:strike w:val="0"/>
          <w:vanish/>
          <w:color w:val="009745"/>
          <w:sz w:val="24"/>
          <w:szCs w:val="24"/>
          <w:u w:val="none"/>
        </w:rPr>
      </w:pPr>
      <w:r>
        <w:rPr>
          <w:rFonts w:ascii="Times New Roman" w:eastAsia="Times New Roman" w:hAnsi="Times New Roman" w:cs="Times New Roman"/>
          <w:b w:val="0"/>
          <w:i w:val="0"/>
          <w:strike w:val="0"/>
          <w:vanish/>
          <w:color w:val="009745"/>
          <w:sz w:val="24"/>
          <w:szCs w:val="24"/>
          <w:u w:val="none"/>
        </w:rPr>
        <w:t>iii. Include current Internet addresses for Federal awarding agency web sites that may be useful to an applicant in understanding the program.</w:t>
      </w:r>
    </w:p>
    <w:p w:rsidP="00470374">
      <w:pPr>
        <w:pStyle w:val="p0"/>
        <w:keepLines w:val="0"/>
        <w:spacing w:before="0" w:after="140"/>
        <w:ind w:left="0"/>
        <w:jc w:val="left"/>
        <w:rPr>
          <w:rFonts w:ascii="Times New Roman" w:eastAsia="Times New Roman" w:hAnsi="Times New Roman" w:cs="Times New Roman"/>
          <w:b w:val="0"/>
          <w:i w:val="0"/>
          <w:strike w:val="0"/>
          <w:vanish/>
          <w:color w:val="009745"/>
          <w:sz w:val="24"/>
          <w:szCs w:val="24"/>
          <w:u w:val="none"/>
        </w:rPr>
      </w:pPr>
      <w:r>
        <w:rPr>
          <w:rFonts w:ascii="Times New Roman" w:eastAsia="Times New Roman" w:hAnsi="Times New Roman" w:cs="Times New Roman"/>
          <w:b w:val="0"/>
          <w:i w:val="0"/>
          <w:strike w:val="0"/>
          <w:vanish/>
          <w:color w:val="009745"/>
          <w:sz w:val="24"/>
          <w:szCs w:val="24"/>
          <w:u w:val="none"/>
        </w:rPr>
        <w:t>iv. Alert applicants to the need to identify proprietary information and inform them about the way the Federal awarding agency will handle it.</w:t>
      </w:r>
    </w:p>
    <w:p w:rsidP="00470374">
      <w:pPr>
        <w:pStyle w:val="p0"/>
        <w:keepLines w:val="0"/>
        <w:spacing w:before="0" w:after="140"/>
        <w:ind w:left="0"/>
        <w:jc w:val="left"/>
        <w:rPr>
          <w:rFonts w:ascii="Times New Roman" w:eastAsia="Times New Roman" w:hAnsi="Times New Roman" w:cs="Times New Roman"/>
          <w:b w:val="0"/>
          <w:i w:val="0"/>
          <w:strike w:val="0"/>
          <w:vanish/>
          <w:color w:val="009745"/>
          <w:sz w:val="24"/>
          <w:szCs w:val="24"/>
          <w:u w:val="none"/>
        </w:rPr>
      </w:pPr>
      <w:r>
        <w:rPr>
          <w:rFonts w:ascii="Times New Roman" w:eastAsia="Times New Roman" w:hAnsi="Times New Roman" w:cs="Times New Roman"/>
          <w:b w:val="0"/>
          <w:i w:val="0"/>
          <w:strike w:val="0"/>
          <w:vanish/>
          <w:color w:val="009745"/>
          <w:sz w:val="24"/>
          <w:szCs w:val="24"/>
          <w:u w:val="none"/>
        </w:rPr>
        <w:t>v. Include certain routine notices to applicants (e.g., that the Federal Government is not obligated to make any Federal award as a result of the announcement or that only grants officers can bind the Federal Government to the expenditure of funds).</w:t>
      </w:r>
    </w:p>
    <w:p w:rsidP="00470374">
      <w:pPr>
        <w:keepLines w:val="0"/>
        <w:spacing w:before="120" w:after="60"/>
        <w:ind w:left="0"/>
        <w:jc w:val="left"/>
        <w:rPr>
          <w:rFonts w:ascii="Times New Roman" w:eastAsia="Times New Roman" w:hAnsi="Times New Roman" w:cs="Times New Roman"/>
          <w:b w:val="0"/>
          <w:i w:val="0"/>
          <w:strike w:val="0"/>
          <w:vanish/>
          <w:color w:val="000000"/>
          <w:sz w:val="24"/>
          <w:u w:val="none"/>
        </w:rPr>
      </w:pP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Correspondence</w:t>
      </w:r>
      <w:r>
        <w:rPr>
          <w:rFonts w:ascii="Times New Roman" w:eastAsia="Times New Roman" w:hAnsi="Times New Roman" w:cs="Times New Roman"/>
          <w:b/>
          <w:bCs/>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t>All correspondence pertaining to this Agreement prepared by the Awardee shall have a courtesy copy (with attachments) sent to the PO and CO. Correspondence pertaining to this Agreement received by the Awardee (excluding correspondence to and from the BOEM) shall be copied and sent to the PO and CO according to the schedule below. All correspondence shall be clearly marked with the Award Number on the first page.</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br/>
      </w:r>
      <w:r>
        <w:rPr>
          <w:rFonts w:ascii="Times New Roman" w:eastAsia="Times New Roman" w:hAnsi="Times New Roman" w:cs="Times New Roman"/>
          <w:b/>
          <w:bCs/>
          <w:i w:val="0"/>
          <w:strike w:val="0"/>
          <w:vanish w:val="0"/>
          <w:color w:val="000000"/>
          <w:sz w:val="24"/>
          <w:szCs w:val="24"/>
          <w:u w:val="none"/>
        </w:rPr>
        <w:t>Scientific Integrity Statement</w:t>
      </w:r>
      <w:r>
        <w:rPr>
          <w:rFonts w:ascii="Times New Roman" w:eastAsia="Times New Roman" w:hAnsi="Times New Roman" w:cs="Times New Roman"/>
          <w:b/>
          <w:bCs/>
          <w:i w:val="0"/>
          <w:strike w:val="0"/>
          <w:vanish w:val="0"/>
          <w:color w:val="000000"/>
          <w:sz w:val="24"/>
          <w:szCs w:val="24"/>
          <w:u w:val="none"/>
        </w:rPr>
        <w:br/>
      </w:r>
      <w:r>
        <w:rPr>
          <w:rFonts w:ascii="Times New Roman" w:eastAsia="Times New Roman" w:hAnsi="Times New Roman" w:cs="Times New Roman"/>
          <w:b w:val="0"/>
          <w:i w:val="0"/>
          <w:strike w:val="0"/>
          <w:vanish w:val="0"/>
          <w:color w:val="000000"/>
          <w:sz w:val="24"/>
          <w:szCs w:val="24"/>
          <w:u w:val="none"/>
        </w:rPr>
        <w:t>Scientific integrity is vital to Department of the Interior (DOI) activities under which scientific research, data, summaries, syntheses, interpretations, presentations, and/or publications are developed and used.</w:t>
      </w:r>
      <w:r>
        <w:rPr>
          <w:rFonts w:ascii="Times New Roman" w:eastAsia="Times New Roman" w:hAnsi="Times New Roman" w:cs="Times New Roman"/>
          <w:b w:val="0"/>
          <w:i w:val="0"/>
          <w:strike w:val="0"/>
          <w:vanish w:val="0"/>
          <w:color w:val="000000"/>
          <w:sz w:val="24"/>
          <w:szCs w:val="24"/>
          <w:u w:val="none"/>
        </w:rPr>
        <w:t xml:space="preserve"> </w:t>
      </w:r>
      <w:r>
        <w:rPr>
          <w:rFonts w:ascii="Times New Roman" w:eastAsia="Times New Roman" w:hAnsi="Times New Roman" w:cs="Times New Roman"/>
          <w:b w:val="0"/>
          <w:i w:val="0"/>
          <w:strike w:val="0"/>
          <w:vanish w:val="0"/>
          <w:color w:val="000000"/>
          <w:sz w:val="24"/>
          <w:szCs w:val="24"/>
          <w:u w:val="none"/>
        </w:rPr>
        <w:t xml:space="preserve">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https://www.doi.gov/ScientificIngetrity, or its equivalent as provided by their organization or State law.</w:t>
      </w:r>
    </w:p>
    <w:p w:rsidP="00470374">
      <w:pPr>
        <w:pStyle w:val="p"/>
        <w:keepLines w:val="0"/>
        <w:spacing w:before="0" w:after="140"/>
        <w:ind w:left="0"/>
        <w:jc w:val="left"/>
        <w:rPr>
          <w:rFonts w:ascii="Times New Roman" w:eastAsia="Times New Roman" w:hAnsi="Times New Roman" w:cs="Times New Roman"/>
          <w:b w:val="0"/>
          <w:i w:val="0"/>
          <w:strike w:val="0"/>
          <w:vanish w:val="0"/>
          <w:color w:val="000000"/>
          <w:sz w:val="24"/>
          <w:szCs w:val="24"/>
          <w:u w:val="none"/>
        </w:rPr>
      </w:pPr>
      <w:r>
        <w:rPr>
          <w:rFonts w:ascii="Times New Roman" w:eastAsia="Times New Roman" w:hAnsi="Times New Roman" w:cs="Times New Roman"/>
          <w:b/>
          <w:bCs/>
          <w:i w:val="0"/>
          <w:strike w:val="0"/>
          <w:vanish w:val="0"/>
          <w:color w:val="000000"/>
          <w:sz w:val="24"/>
          <w:szCs w:val="24"/>
          <w:u w:val="none"/>
        </w:rPr>
        <w:t>Reporting and Deliverables Requirements in Section F3</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Paperwork Reduction Act Statement</w:t>
      </w:r>
    </w:p>
    <w:p w:rsidP="00470374">
      <w:pPr>
        <w:keepLines w:val="0"/>
        <w:spacing w:before="60" w:after="20"/>
        <w:ind w:left="0"/>
        <w:jc w:val="left"/>
        <w:rPr>
          <w:rFonts w:ascii="Times New Roman" w:eastAsia="Times New Roman" w:hAnsi="Times New Roman" w:cs="Times New Roman"/>
          <w:b w:val="0"/>
          <w:i w:val="0"/>
          <w:strike w:val="0"/>
          <w:vanish/>
          <w:color w:val="000000"/>
          <w:sz w:val="24"/>
          <w:u w:val="none"/>
        </w:rPr>
      </w:pPr>
      <w:r>
        <w:rPr>
          <w:rFonts w:ascii="Times New Roman" w:eastAsia="Times New Roman" w:hAnsi="Times New Roman" w:cs="Times New Roman"/>
          <w:b w:val="0"/>
          <w:i w:val="0"/>
          <w:strike w:val="0"/>
          <w:vanish/>
          <w:color w:val="009745"/>
          <w:sz w:val="24"/>
          <w:u w:val="none"/>
        </w:rPr>
        <w:t>The following statement is the Bureau’s standard PRA Statement that programs must enter in the field below. The statement includes average burden estimates. If these estimates are significantly different from the average completion times for your program, update them as needed and add this burden statement in the text field. Please do not change or remove any other language in the standard PRA Statement.</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Geospatial Data Act</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All geospatial data* collected for or produced through the use of the Department of the Interior financial assistance funds are required to meet all relevant standards established by the Federal Geospatial Data Committee (FGDC) as authorized by Geospatial Data Act of 2018, Pub. L. 115-254, Subtitle F – Geospatial Data, §§ 751-759C, codified at 43 U.S.C. §§ 2801–2811. Interior requires fully compliant metadata on all Geographic Information Systems files developed for financial assistance projects. If a funded financial assistance project involves acquiring or collecting geospatial data, the recipient is required to search GeoPlatform.gov to determine that no existing Federal, State, local or private data meet the Government’s needs and are available at no cost before acquiring or collecting additional geospatial data.</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 xml:space="preserve">Geospatial Data Act of 2018, Pub. L. 115-254, Subtitle F – Geospatial Data, §§ 751-759C, codified at 43 U.S.C. §§ 2801–2811 - Federal recipient collection of geospatial data through the use of the Department of the Interior financial assistance funds requires a due diligence search at the GeoPlatform.gov list of datasets to discover whether the needed geospatial-related data, products, or services already exist. If the required data set already exists, the recipient must use it. If the required data is not already available, the recipient must produce the proposed geospatial data, products, or services in compliance with applicable proposed guidance and standards established by the Federal Geospatial Data Committee (FGDC) posted at </w:t>
      </w:r>
      <w:hyperlink r:id="rId29" w:tgtFrame="_blank" w:history="1">
        <w:r>
          <w:rPr>
            <w:rStyle w:val="ahref"/>
            <w:rFonts w:ascii="Times New Roman" w:eastAsia="Times New Roman" w:hAnsi="Times New Roman" w:cs="Times New Roman"/>
            <w:b w:val="0"/>
            <w:bCs w:val="0"/>
            <w:i w:val="0"/>
            <w:strike w:val="0"/>
            <w:color w:val="0000FF"/>
            <w:sz w:val="24"/>
            <w:szCs w:val="24"/>
            <w:u w:val="single" w:color="0000FF"/>
          </w:rPr>
          <w:t>www.fgdc.gov</w:t>
        </w:r>
      </w:hyperlink>
      <w:r>
        <w:rPr>
          <w:rFonts w:ascii="Times New Roman" w:eastAsia="Times New Roman" w:hAnsi="Times New Roman" w:cs="Times New Roman"/>
          <w:b w:val="0"/>
          <w:bCs w:val="0"/>
          <w:i w:val="0"/>
          <w:strike w:val="0"/>
          <w:color w:val="000000"/>
          <w:sz w:val="24"/>
          <w:szCs w:val="24"/>
          <w:u w:val="none"/>
        </w:rPr>
        <w:t>.</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Recipients must submit a digital copy of all GIS data produced or collected as part of the award funds to the bureau or office via email or data transfer. All GIS data files shall be in open format. All delineated GIS data (points, lines or polygons) should be established in compliance with the approved open data standards with complete feature level metadata.</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*Geospatial data refers to data regarding natural or man-made, imaginary, or physical features. It also includes location information, and information referring to boundaries, points of interest, and mobility data.</w:t>
      </w:r>
    </w:p>
    <w:p w:rsidP="00470374">
      <w:pPr>
        <w:pStyle w:val="Label"/>
        <w:keepLines w:val="0"/>
        <w:spacing w:before="60" w:after="20"/>
        <w:ind w:left="0"/>
        <w:jc w:val="lef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Requirements for Availability of Data (2 CFR § 1402.315)</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rsidP="00470374">
      <w:pPr>
        <w:pStyle w:val="Normal0"/>
        <w:keepLines w:val="0"/>
        <w:spacing w:before="0" w:after="140"/>
        <w:ind w:left="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The Federal Government has the right to:</w:t>
      </w:r>
    </w:p>
    <w:p w:rsidP="00470374">
      <w:pPr>
        <w:pStyle w:val="Normal0"/>
        <w:keepLines w:val="0"/>
        <w:numPr>
          <w:ilvl w:val="0"/>
          <w:numId w:val="25"/>
        </w:numPr>
        <w:spacing w:before="0" w:after="2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Obtain, reproduce, publish, or otherwise use the data, methodology, factual inputs, models, analyses, technical information, reports, conclusions, or other scientific assessments, produced under a Federal award; and</w:t>
      </w:r>
    </w:p>
    <w:p w:rsidP="00470374">
      <w:pPr>
        <w:pStyle w:val="Normal0"/>
        <w:keepLines w:val="0"/>
        <w:numPr>
          <w:ilvl w:val="0"/>
          <w:numId w:val="25"/>
        </w:numPr>
        <w:spacing w:before="20" w:after="150"/>
        <w:ind w:left="720" w:hanging="360"/>
        <w:jc w:val="left"/>
        <w:rPr>
          <w:rFonts w:ascii="Times New Roman" w:eastAsia="Times New Roman" w:hAnsi="Times New Roman" w:cs="Times New Roman"/>
          <w:b w:val="0"/>
          <w:bCs w:val="0"/>
          <w:i w:val="0"/>
          <w:strike w:val="0"/>
          <w:color w:val="000000"/>
          <w:sz w:val="24"/>
          <w:szCs w:val="24"/>
          <w:u w:val="none"/>
        </w:rPr>
      </w:pPr>
      <w:r>
        <w:rPr>
          <w:rFonts w:ascii="Times New Roman" w:eastAsia="Times New Roman" w:hAnsi="Times New Roman" w:cs="Times New Roman"/>
          <w:b w:val="0"/>
          <w:bCs w:val="0"/>
          <w:i w:val="0"/>
          <w:strike w:val="0"/>
          <w:color w:val="000000"/>
          <w:sz w:val="24"/>
          <w:szCs w:val="24"/>
          <w:u w:val="none"/>
        </w:rPr>
        <w:t>Authorize others to receive, reproduce, publish, or otherwise use such data, methodology, factual inputs, models, analyses, technical information, reports, conclusions, or other scientific assessments, for Federal purposes, including to allow for meaningful third-party evaluation.</w:t>
      </w:r>
    </w:p>
    <w:p w:rsidP="00470374">
      <w:pPr>
        <w:keepLines w:val="0"/>
        <w:spacing w:before="20" w:after="20"/>
        <w:ind w:left="0"/>
        <w:jc w:val="left"/>
      </w:pPr>
    </w:p>
    <w:sectPr w:rsidSect="00F51971">
      <w:footerReference w:type="default" r:id="rId30"/>
      <w:type w:val="nextPage"/>
      <w:pgSz w:w="12240" w:h="15840"/>
      <w:pgMar w:top="1440" w:right="1440" w:bottom="1440" w:left="1440" w:header="720" w:footer="720" w:gutter="0"/>
      <w:pgNumType w:start="1"/>
      <w:cols w:space="720"/>
      <w:titlePg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3" w:author="Dominique Bruce" w:date="2023-05-17T15:37:52Z">
    <w:p w14:paraId="284CD611">
      <w:r>
        <w:rPr>
          <w:color w:val="auto"/>
          <w:szCs w:val="24"/>
        </w:rPr>
        <w:t>Is it MMD or MMP? Marine Minerals Division (MMD) and Marine Minerals Program (MMP), may want to be consistent and this is just a comment.</w:t>
      </w:r>
    </w:p>
  </w:comment>
  <w:comment w:id="4" w:author="Doreen Vega" w:date="2023-05-22T09:55:59Z">
    <w:p w14:paraId="475A1E4E">
      <w:r>
        <w:rPr>
          <w:color w:val="auto"/>
          <w:szCs w:val="24"/>
        </w:rPr>
        <w:t>Document has been reviewed all MMD &amp; Marine Minerals Division content has been changed to MMP &amp; Marine Minerals Program.</w:t>
      </w:r>
    </w:p>
  </w:comment>
  <w:comment w:id="5" w:author="Doreen Vega" w:date="2023-05-22T09:42:54Z">
    <w:p w14:paraId="58C7443D">
      <w:r>
        <w:rPr>
          <w:color w:val="auto"/>
          <w:szCs w:val="24"/>
        </w:rPr>
        <w:t>Thanks Dominique, I agree Program would be more consistent since marine minerals is not just a program in our division, I have updated "division" to "program".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84CD611" w15:done="0"/>
  <w15:commentEx w15:paraId="475A1E4E" w15:paraIdParent="284CD611" w15:done="0"/>
  <w15:commentEx w15:paraId="58C7443D" w15:paraIdParent="284CD61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subsetted="1" w:fontKey="{724A797F-76D5-4B24-83EF-5E9C2C61350F}"/>
    <w:embedBold r:id="rId2" w:subsetted="1" w:fontKey="{D78DE627-F165-4B33-8DF2-C5EC4B8B7CE4}"/>
    <w:embedItalic r:id="rId3" w:subsetted="1" w:fontKey="{5379A2AF-0A59-4EC2-AC38-1BD0EBA1003B}"/>
    <w:embedBoldItalic r:id="rId4" w:subsetted="1" w:fontKey="{F10D3D30-5061-4154-A11E-30FB25CB2255}"/>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Helvetica">
    <w:charset w:val="00"/>
    <w:family w:val="auto"/>
    <w:pitch w:val="default"/>
  </w:font>
  <w:font w:name="Time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94C" w14:paraId="6BC5749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04D4" w:rsidRPr="008A694C" w:rsidP="008A694C" w14:paraId="06F02D5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94C" w14:paraId="5FDCBADF" w14:textId="77777777">
    <w:pPr>
      <w:pStyle w:val="Footer"/>
    </w:pPr>
  </w:p>
  <w:p w:rsidR="008A694C">
    <w:pPr>
      <w:pStyle w:val="Footer"/>
    </w:pPr>
    <w:r>
      <w:pict>
        <v:line id="_x0000_s2049" style="position:absolute;z-index:251658240" from="0,0" to="280pt,0" strokeweight="1pt"/>
      </w:pict>
    </w:r>
    <w:r>
      <w:pict>
        <v:line id="_x0000_s2050" style="position:absolute;z-index:251659264" from="300pt,0" to="440pt,0" strokeweight="1pt"/>
      </w:pict>
    </w:r>
    <w:r>
      <w:t>Signature                                                                                     Date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3113"/>
      <w:gridCol w:w="3113"/>
      <w:gridCol w:w="3113"/>
    </w:tblGrid>
    <w:tr>
      <w:tblPrEx>
        <w:tblW w:w="5000" w:type="pct"/>
        <w:tblCellMar>
          <w:left w:w="108" w:type="dxa"/>
          <w:right w:w="108" w:type="dxa"/>
        </w:tblCellMar>
      </w:tblPrEx>
      <w:tc>
        <w:tcPr>
          <w:tcW w:w="1650" w:type="pct"/>
        </w:tcPr>
        <w:p>
          <w:pPr>
            <w:jc w:val="center"/>
          </w:pPr>
        </w:p>
      </w:tc>
      <w:tc>
        <w:tcPr>
          <w:tcW w:w="1650" w:type="pct"/>
        </w:tcPr>
        <w:p>
          <w:pPr>
            <w:jc w:val="center"/>
          </w:pPr>
        </w:p>
      </w:tc>
      <w:tc>
        <w:tcPr>
          <w:tcW w:w="1650" w:type="pct"/>
        </w:tcPr>
        <w:p>
          <w:pPr>
            <w:jc w:val="center"/>
          </w:pPr>
          <w:r>
            <w:t xml:space="preserve">Page </w:t>
          </w:r>
          <w:r>
            <w:fldChar w:fldCharType="begin"/>
          </w:r>
          <w:r>
            <w:instrText xml:space="preserve"> PAGE </w:instrText>
          </w:r>
          <w:r>
            <w:fldChar w:fldCharType="separate"/>
          </w:r>
          <w:r>
            <w:t>24</w:t>
          </w:r>
          <w:r>
            <w:fldChar w:fldCharType="end"/>
          </w:r>
          <w:r>
            <w:t xml:space="preserve"> of </w:t>
          </w:r>
          <w:r>
            <w:fldChar w:fldCharType="begin"/>
          </w:r>
          <w:r>
            <w:instrText xml:space="preserve"> </w:instrText>
          </w:r>
          <w:r>
            <w:instrText>=</w:instrText>
          </w:r>
          <w:r>
            <w:instrText xml:space="preserve"> </w:instrText>
          </w:r>
          <w:r>
            <w:fldChar w:fldCharType="begin"/>
          </w:r>
          <w:r>
            <w:instrText xml:space="preserve"> </w:instrText>
          </w:r>
          <w:r>
            <w:instrText>NUMPAGES</w:instrText>
          </w:r>
          <w:r>
            <w:instrText xml:space="preserve"> </w:instrText>
          </w:r>
          <w:r>
            <w:fldChar w:fldCharType="separate"/>
          </w:r>
          <w:r>
            <w:instrText>25</w:instrText>
          </w:r>
          <w:r>
            <w:fldChar w:fldCharType="end"/>
          </w:r>
          <w:r>
            <w:instrText xml:space="preserve"> </w:instrText>
          </w:r>
          <w:r>
            <w:instrText>-</w:instrText>
          </w:r>
          <w:r>
            <w:instrText xml:space="preserve"> </w:instrText>
          </w:r>
          <w:r>
            <w:instrText>1</w:instrText>
          </w:r>
          <w:r>
            <w:instrText xml:space="preserve"> </w:instrText>
          </w:r>
          <w:r>
            <w:fldChar w:fldCharType="separate"/>
          </w:r>
          <w:r>
            <w:t>24</w:t>
          </w:r>
          <w:r>
            <w:fldChar w:fldCharType="end"/>
          </w:r>
        </w:p>
      </w:tc>
    </w:tr>
  </w:tbl>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94C" w14:paraId="2F2F4F0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94C" w14:paraId="0CE0A1E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694C" w14:paraId="069B0EC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0C56CB"/>
    <w:multiLevelType w:val="hybridMultilevel"/>
    <w:tmpl w:val="DEAE6F06"/>
    <w:lvl w:ilvl="0">
      <w:start w:val="1"/>
      <w:numFmt w:val="bullet"/>
      <w:lvlText w:val=""/>
      <w:lvlJc w:val="left"/>
      <w:pPr>
        <w:ind w:left="783" w:hanging="360"/>
      </w:pPr>
      <w:rPr>
        <w:rFonts w:ascii="Symbol" w:hAnsi="Symbol" w:hint="default"/>
      </w:rPr>
    </w:lvl>
    <w:lvl w:ilvl="1" w:tentative="1">
      <w:start w:val="1"/>
      <w:numFmt w:val="bullet"/>
      <w:lvlText w:val="o"/>
      <w:lvlJc w:val="left"/>
      <w:pPr>
        <w:ind w:left="1503" w:hanging="360"/>
      </w:pPr>
      <w:rPr>
        <w:rFonts w:ascii="Courier New" w:hAnsi="Courier New" w:cs="Courier New" w:hint="default"/>
      </w:rPr>
    </w:lvl>
    <w:lvl w:ilvl="2" w:tentative="1">
      <w:start w:val="1"/>
      <w:numFmt w:val="bullet"/>
      <w:lvlText w:val=""/>
      <w:lvlJc w:val="left"/>
      <w:pPr>
        <w:ind w:left="2223" w:hanging="360"/>
      </w:pPr>
      <w:rPr>
        <w:rFonts w:ascii="Wingdings" w:hAnsi="Wingdings" w:hint="default"/>
      </w:rPr>
    </w:lvl>
    <w:lvl w:ilvl="3" w:tentative="1">
      <w:start w:val="1"/>
      <w:numFmt w:val="bullet"/>
      <w:lvlText w:val=""/>
      <w:lvlJc w:val="left"/>
      <w:pPr>
        <w:ind w:left="2943" w:hanging="360"/>
      </w:pPr>
      <w:rPr>
        <w:rFonts w:ascii="Symbol" w:hAnsi="Symbol" w:hint="default"/>
      </w:rPr>
    </w:lvl>
    <w:lvl w:ilvl="4" w:tentative="1">
      <w:start w:val="1"/>
      <w:numFmt w:val="bullet"/>
      <w:lvlText w:val="o"/>
      <w:lvlJc w:val="left"/>
      <w:pPr>
        <w:ind w:left="3663" w:hanging="360"/>
      </w:pPr>
      <w:rPr>
        <w:rFonts w:ascii="Courier New" w:hAnsi="Courier New" w:cs="Courier New" w:hint="default"/>
      </w:rPr>
    </w:lvl>
    <w:lvl w:ilvl="5" w:tentative="1">
      <w:start w:val="1"/>
      <w:numFmt w:val="bullet"/>
      <w:lvlText w:val=""/>
      <w:lvlJc w:val="left"/>
      <w:pPr>
        <w:ind w:left="4383" w:hanging="360"/>
      </w:pPr>
      <w:rPr>
        <w:rFonts w:ascii="Wingdings" w:hAnsi="Wingdings" w:hint="default"/>
      </w:rPr>
    </w:lvl>
    <w:lvl w:ilvl="6" w:tentative="1">
      <w:start w:val="1"/>
      <w:numFmt w:val="bullet"/>
      <w:lvlText w:val=""/>
      <w:lvlJc w:val="left"/>
      <w:pPr>
        <w:ind w:left="5103" w:hanging="360"/>
      </w:pPr>
      <w:rPr>
        <w:rFonts w:ascii="Symbol" w:hAnsi="Symbol" w:hint="default"/>
      </w:rPr>
    </w:lvl>
    <w:lvl w:ilvl="7" w:tentative="1">
      <w:start w:val="1"/>
      <w:numFmt w:val="bullet"/>
      <w:lvlText w:val="o"/>
      <w:lvlJc w:val="left"/>
      <w:pPr>
        <w:ind w:left="5823" w:hanging="360"/>
      </w:pPr>
      <w:rPr>
        <w:rFonts w:ascii="Courier New" w:hAnsi="Courier New" w:cs="Courier New" w:hint="default"/>
      </w:rPr>
    </w:lvl>
    <w:lvl w:ilvl="8" w:tentative="1">
      <w:start w:val="1"/>
      <w:numFmt w:val="bullet"/>
      <w:lvlText w:val=""/>
      <w:lvlJc w:val="left"/>
      <w:pPr>
        <w:ind w:left="6543" w:hanging="360"/>
      </w:pPr>
      <w:rPr>
        <w:rFonts w:ascii="Wingdings" w:hAnsi="Wingdings" w:hint="default"/>
      </w:rPr>
    </w:lvl>
  </w:abstractNum>
  <w:abstractNum w:abstractNumId="1">
    <w:nsid w:val="08025E21"/>
    <w:multiLevelType w:val="hybridMultilevel"/>
    <w:tmpl w:val="37E836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DFB6BF4"/>
    <w:multiLevelType w:val="hybridMultilevel"/>
    <w:tmpl w:val="D780DCE2"/>
    <w:lvl w:ilvl="0">
      <w:start w:val="1"/>
      <w:numFmt w:val="bullet"/>
      <w:pStyle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3">
    <w:nsid w:val="22E84D12"/>
    <w:multiLevelType w:val="hybridMultilevel"/>
    <w:tmpl w:val="1686870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23105D2C"/>
    <w:multiLevelType w:val="hybridMultilevel"/>
    <w:tmpl w:val="5010F3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AFD5771"/>
    <w:multiLevelType w:val="hybridMultilevel"/>
    <w:tmpl w:val="AE64D2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BAC7556"/>
    <w:multiLevelType w:val="hybridMultilevel"/>
    <w:tmpl w:val="624ECE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C5E2AB5"/>
    <w:multiLevelType w:val="multilevel"/>
    <w:tmpl w:val="2DFCA6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4FCC1E5B"/>
    <w:multiLevelType w:val="hybridMultilevel"/>
    <w:tmpl w:val="66FAFD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9B0054B"/>
    <w:multiLevelType w:val="hybridMultilevel"/>
    <w:tmpl w:val="9BE67068"/>
    <w:lvl w:ilvl="0">
      <w:start w:val="1"/>
      <w:numFmt w:val="bullet"/>
      <w:pStyle w:val="DoubleIndentedBullet"/>
      <w:lvlText w:val=""/>
      <w:lvlJc w:val="left"/>
      <w:pPr>
        <w:ind w:left="1584" w:hanging="360"/>
      </w:pPr>
      <w:rPr>
        <w:rFonts w:ascii="Symbol" w:hAnsi="Symbol" w:hint="default"/>
      </w:rPr>
    </w:lvl>
    <w:lvl w:ilvl="1" w:tentative="1">
      <w:start w:val="1"/>
      <w:numFmt w:val="bullet"/>
      <w:lvlText w:val="o"/>
      <w:lvlJc w:val="left"/>
      <w:pPr>
        <w:ind w:left="2304" w:hanging="360"/>
      </w:pPr>
      <w:rPr>
        <w:rFonts w:ascii="Courier New" w:hAnsi="Courier New" w:hint="default"/>
      </w:rPr>
    </w:lvl>
    <w:lvl w:ilvl="2" w:tentative="1">
      <w:start w:val="1"/>
      <w:numFmt w:val="bullet"/>
      <w:lvlText w:val=""/>
      <w:lvlJc w:val="left"/>
      <w:pPr>
        <w:ind w:left="3024" w:hanging="360"/>
      </w:pPr>
      <w:rPr>
        <w:rFonts w:ascii="Wingdings" w:hAnsi="Wingdings" w:hint="default"/>
      </w:rPr>
    </w:lvl>
    <w:lvl w:ilvl="3" w:tentative="1">
      <w:start w:val="1"/>
      <w:numFmt w:val="bullet"/>
      <w:lvlText w:val=""/>
      <w:lvlJc w:val="left"/>
      <w:pPr>
        <w:ind w:left="3744" w:hanging="360"/>
      </w:pPr>
      <w:rPr>
        <w:rFonts w:ascii="Symbol" w:hAnsi="Symbol" w:hint="default"/>
      </w:rPr>
    </w:lvl>
    <w:lvl w:ilvl="4" w:tentative="1">
      <w:start w:val="1"/>
      <w:numFmt w:val="bullet"/>
      <w:lvlText w:val="o"/>
      <w:lvlJc w:val="left"/>
      <w:pPr>
        <w:ind w:left="4464" w:hanging="360"/>
      </w:pPr>
      <w:rPr>
        <w:rFonts w:ascii="Courier New" w:hAnsi="Courier New" w:hint="default"/>
      </w:rPr>
    </w:lvl>
    <w:lvl w:ilvl="5" w:tentative="1">
      <w:start w:val="1"/>
      <w:numFmt w:val="bullet"/>
      <w:lvlText w:val=""/>
      <w:lvlJc w:val="left"/>
      <w:pPr>
        <w:ind w:left="5184" w:hanging="360"/>
      </w:pPr>
      <w:rPr>
        <w:rFonts w:ascii="Wingdings" w:hAnsi="Wingdings" w:hint="default"/>
      </w:rPr>
    </w:lvl>
    <w:lvl w:ilvl="6" w:tentative="1">
      <w:start w:val="1"/>
      <w:numFmt w:val="bullet"/>
      <w:lvlText w:val=""/>
      <w:lvlJc w:val="left"/>
      <w:pPr>
        <w:ind w:left="5904" w:hanging="360"/>
      </w:pPr>
      <w:rPr>
        <w:rFonts w:ascii="Symbol" w:hAnsi="Symbol" w:hint="default"/>
      </w:rPr>
    </w:lvl>
    <w:lvl w:ilvl="7" w:tentative="1">
      <w:start w:val="1"/>
      <w:numFmt w:val="bullet"/>
      <w:lvlText w:val="o"/>
      <w:lvlJc w:val="left"/>
      <w:pPr>
        <w:ind w:left="6624" w:hanging="360"/>
      </w:pPr>
      <w:rPr>
        <w:rFonts w:ascii="Courier New" w:hAnsi="Courier New" w:hint="default"/>
      </w:rPr>
    </w:lvl>
    <w:lvl w:ilvl="8" w:tentative="1">
      <w:start w:val="1"/>
      <w:numFmt w:val="bullet"/>
      <w:lvlText w:val=""/>
      <w:lvlJc w:val="left"/>
      <w:pPr>
        <w:ind w:left="7344" w:hanging="360"/>
      </w:pPr>
      <w:rPr>
        <w:rFonts w:ascii="Wingdings" w:hAnsi="Wingdings" w:hint="default"/>
      </w:rPr>
    </w:lvl>
  </w:abstractNum>
  <w:abstractNum w:abstractNumId="11">
    <w:nsid w:val="5B5D4D46"/>
    <w:multiLevelType w:val="hybridMultilevel"/>
    <w:tmpl w:val="C3A651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6093E66"/>
    <w:multiLevelType w:val="hybridMultilevel"/>
    <w:tmpl w:val="37DA2D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AD71B05"/>
    <w:multiLevelType w:val="hybridMultilevel"/>
    <w:tmpl w:val="6B1EC6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76823451"/>
    <w:multiLevelType w:val="hybridMultilevel"/>
    <w:tmpl w:val="A92817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9CF54E8"/>
    <w:multiLevelType w:val="hybridMultilevel"/>
    <w:tmpl w:val="01E4CE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9CF54E9"/>
    <w:multiLevelType w:val="hybridMultilevel"/>
    <w:tmpl w:val="79CF54E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79CF54EA"/>
    <w:multiLevelType w:val="multilevel"/>
    <w:tmpl w:val="79CF54E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79CF54EB"/>
    <w:multiLevelType w:val="hybridMultilevel"/>
    <w:tmpl w:val="79CF54E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79CF54EC"/>
    <w:multiLevelType w:val="hybridMultilevel"/>
    <w:tmpl w:val="79CF54E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79CF54ED"/>
    <w:multiLevelType w:val="hybridMultilevel"/>
    <w:tmpl w:val="79CF54E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79CF54EE"/>
    <w:multiLevelType w:val="multilevel"/>
    <w:tmpl w:val="79CF54E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3"/>
  </w:num>
  <w:num w:numId="4">
    <w:abstractNumId w:val="4"/>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
  </w:num>
  <w:num w:numId="8">
    <w:abstractNumId w:val="10"/>
  </w:num>
  <w:num w:numId="9">
    <w:abstractNumId w:val="11"/>
  </w:num>
  <w:num w:numId="10">
    <w:abstractNumId w:val="13"/>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5"/>
  </w:num>
  <w:num w:numId="15">
    <w:abstractNumId w:val="1"/>
  </w:num>
  <w:num w:numId="16">
    <w:abstractNumId w:val="7"/>
  </w:num>
  <w:num w:numId="17">
    <w:abstractNumId w:val="12"/>
  </w:num>
  <w:num w:numId="18">
    <w:abstractNumId w:val="9"/>
  </w:num>
  <w:num w:numId="19">
    <w:abstractNumId w:val="0"/>
  </w:num>
  <w:num w:numId="20">
    <w:abstractNumId w:val="16"/>
  </w:num>
  <w:num w:numId="21">
    <w:abstractNumId w:val="17"/>
  </w:num>
  <w:num w:numId="22">
    <w:abstractNumId w:val="18"/>
  </w:num>
  <w:num w:numId="23">
    <w:abstractNumId w:val="19"/>
  </w:num>
  <w:num w:numId="24">
    <w:abstractNumId w:val="20"/>
  </w:num>
  <w:num w:numId="25">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TrueTypeFonts/>
  <w:embedSystemFonts/>
  <w:saveSubsetFonts/>
  <w:proofState w:spelling="clean" w:grammar="clean"/>
  <w:doNotTrackFormatting/>
  <w:documentProtection w:edit="comments" w:formatting="1" w:enforcement="0"/>
  <w:defaultTabStop w:val="720"/>
  <w:defaultTableStyle w:val="TableGrid"/>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3039"/>
    <w:rsid w:val="0030369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10EA"/>
    <w:rsid w:val="00371B86"/>
    <w:rsid w:val="0037227E"/>
    <w:rsid w:val="00374B44"/>
    <w:rsid w:val="00375384"/>
    <w:rsid w:val="003763B6"/>
    <w:rsid w:val="00377488"/>
    <w:rsid w:val="00377EFF"/>
    <w:rsid w:val="0038082E"/>
    <w:rsid w:val="00381028"/>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67E94"/>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8E0"/>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711D"/>
    <w:rsid w:val="00E671DE"/>
    <w:rsid w:val="00E6762F"/>
    <w:rsid w:val="00E720A8"/>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locked="0" w:semiHidden="1" w:unhideWhenUsed="1"/>
    <w:lsdException w:name="Table Grid" w:locked="0" w:uiPriority="59"/>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374"/>
    <w:rPr>
      <w:color w:val="000000"/>
      <w:sz w:val="24"/>
      <w:szCs w:val="26"/>
    </w:rPr>
  </w:style>
  <w:style w:type="paragraph" w:styleId="Heading1">
    <w:name w:val="heading 1"/>
    <w:next w:val="Normal"/>
    <w:link w:val="Heading1Char"/>
    <w:autoRedefine/>
    <w:uiPriority w:val="9"/>
    <w:qFormat/>
    <w:locked/>
    <w:rsid w:val="00722CEB"/>
    <w:pPr>
      <w:widowControl w:val="0"/>
      <w:spacing w:before="200" w:after="80"/>
      <w:outlineLvl w:val="0"/>
    </w:pPr>
    <w:rPr>
      <w:rFonts w:cs="Arial"/>
      <w:b/>
      <w:bCs/>
      <w:kern w:val="32"/>
      <w:sz w:val="32"/>
      <w:szCs w:val="36"/>
      <w:lang w:val="x-none" w:eastAsia="x-none"/>
    </w:rPr>
  </w:style>
  <w:style w:type="paragraph" w:styleId="Heading2">
    <w:name w:val="heading 2"/>
    <w:next w:val="Normal"/>
    <w:link w:val="Heading2Char"/>
    <w:autoRedefine/>
    <w:uiPriority w:val="9"/>
    <w:qFormat/>
    <w:locked/>
    <w:rsid w:val="00470374"/>
    <w:pPr>
      <w:keepNext/>
      <w:spacing w:before="120" w:after="60"/>
      <w:outlineLvl w:val="1"/>
    </w:pPr>
    <w:rPr>
      <w:rFonts w:cs="Arial"/>
      <w:b/>
      <w:bCs/>
      <w:iCs/>
      <w:sz w:val="32"/>
      <w:szCs w:val="32"/>
      <w:lang w:val="x-none" w:eastAsia="x-none"/>
    </w:rPr>
  </w:style>
  <w:style w:type="paragraph" w:styleId="Heading3">
    <w:name w:val="heading 3"/>
    <w:basedOn w:val="Normal"/>
    <w:next w:val="Normal"/>
    <w:link w:val="Heading3Char"/>
    <w:autoRedefine/>
    <w:uiPriority w:val="9"/>
    <w:locked/>
    <w:rsid w:val="0045300F"/>
    <w:pPr>
      <w:keepNext/>
      <w:tabs>
        <w:tab w:val="right" w:pos="9360"/>
      </w:tabs>
      <w:spacing w:before="80"/>
      <w:outlineLvl w:val="2"/>
    </w:pPr>
    <w:rPr>
      <w:rFonts w:eastAsia="+mn-ea" w:cs="Arial"/>
      <w:b/>
      <w:bCs/>
      <w:sz w:val="28"/>
      <w:szCs w:val="28"/>
      <w:lang w:val="x-none" w:eastAsia="x-none"/>
    </w:rPr>
  </w:style>
  <w:style w:type="paragraph" w:styleId="Heading4">
    <w:name w:val="heading 4"/>
    <w:basedOn w:val="Normal"/>
    <w:next w:val="Normal"/>
    <w:link w:val="Heading4Char"/>
    <w:uiPriority w:val="9"/>
    <w:qFormat/>
    <w:rsid w:val="0045300F"/>
    <w:pPr>
      <w:outlineLvl w:val="3"/>
    </w:pPr>
    <w:rPr>
      <w:b/>
      <w:szCs w:val="24"/>
      <w:lang w:val="x-none" w:eastAsia="x-none"/>
    </w:rPr>
  </w:style>
  <w:style w:type="paragraph" w:styleId="Heading6">
    <w:name w:val="heading 6"/>
    <w:basedOn w:val="Normal"/>
    <w:next w:val="Normal"/>
    <w:link w:val="Heading6Char"/>
    <w:autoRedefine/>
    <w:locked/>
    <w:rsid w:val="00C62CA0"/>
    <w:pPr>
      <w:spacing w:before="80"/>
      <w:outlineLvl w:val="5"/>
    </w:pPr>
    <w:rPr>
      <w:b/>
      <w:bCs/>
      <w:i/>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8F389E"/>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22CEB"/>
    <w:rPr>
      <w:rFonts w:cs="Arial"/>
      <w:b/>
      <w:bCs/>
      <w:kern w:val="32"/>
      <w:sz w:val="32"/>
      <w:szCs w:val="36"/>
      <w:lang w:val="x-none" w:eastAsia="x-none"/>
    </w:rPr>
  </w:style>
  <w:style w:type="character" w:customStyle="1" w:styleId="Heading2Char">
    <w:name w:val="Heading 2 Char"/>
    <w:link w:val="Heading2"/>
    <w:uiPriority w:val="9"/>
    <w:rsid w:val="00470374"/>
    <w:rPr>
      <w:rFonts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45300F"/>
    <w:rPr>
      <w:rFonts w:ascii="Verdana" w:hAnsi="Verdana"/>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8F389E"/>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3F33C8"/>
    <w:pPr>
      <w:spacing w:before="60" w:after="60"/>
      <w:outlineLvl w:val="0"/>
    </w:pPr>
    <w:rPr>
      <w:rFonts w:ascii="Cambria" w:hAnsi="Cambria"/>
      <w:b/>
      <w:bCs/>
      <w:color w:val="auto"/>
      <w:kern w:val="28"/>
      <w:sz w:val="32"/>
      <w:szCs w:val="32"/>
      <w:lang w:val="x-none" w:eastAsia="x-none"/>
    </w:rPr>
  </w:style>
  <w:style w:type="character" w:customStyle="1" w:styleId="TitleChar">
    <w:name w:val="Title Char"/>
    <w:link w:val="Title"/>
    <w:uiPriority w:val="10"/>
    <w:rsid w:val="003F33C8"/>
    <w:rPr>
      <w:rFonts w:ascii="Cambria" w:hAnsi="Cambria"/>
      <w:b/>
      <w:bCs/>
      <w:kern w:val="28"/>
      <w:sz w:val="32"/>
      <w:szCs w:val="32"/>
      <w:lang w:val="x-none" w:eastAsia="x-none"/>
    </w:rPr>
  </w:style>
  <w:style w:type="character" w:styleId="Emphasis">
    <w:name w:val="Emphasis"/>
    <w:uiPriority w:val="20"/>
    <w:qFormat/>
    <w:rsid w:val="0045300F"/>
    <w:rPr>
      <w:rFonts w:cs="Times New Roman"/>
      <w:i/>
      <w:iCs/>
    </w:rPr>
  </w:style>
  <w:style w:type="paragraph" w:styleId="ListParagraph">
    <w:name w:val="List Paragraph"/>
    <w:basedOn w:val="Normal"/>
    <w:uiPriority w:val="34"/>
    <w:qFormat/>
    <w:rsid w:val="0045300F"/>
    <w:pPr>
      <w:ind w:left="432"/>
    </w:pPr>
  </w:style>
  <w:style w:type="paragraph" w:styleId="Subtitle">
    <w:name w:val="Subtitle"/>
    <w:basedOn w:val="Normal"/>
    <w:next w:val="Normal"/>
    <w:link w:val="SubtitleChar"/>
    <w:uiPriority w:val="11"/>
    <w:locked/>
    <w:rsid w:val="00C62CA0"/>
    <w:pPr>
      <w:spacing w:after="60"/>
      <w:jc w:val="center"/>
      <w:outlineLvl w:val="1"/>
    </w:pPr>
    <w:rPr>
      <w:rFonts w:ascii="Cambria" w:hAnsi="Cambria"/>
    </w:rPr>
  </w:style>
  <w:style w:type="character" w:customStyle="1" w:styleId="SubtitleChar">
    <w:name w:val="Subtitle Char"/>
    <w:link w:val="Subtitle"/>
    <w:uiPriority w:val="11"/>
    <w:rsid w:val="00C62CA0"/>
    <w:rPr>
      <w:rFonts w:ascii="Cambria" w:eastAsia="Times New Roman" w:hAnsi="Cambria" w:cs="Times New Roman"/>
      <w:sz w:val="24"/>
      <w:szCs w:val="24"/>
    </w:rPr>
  </w:style>
  <w:style w:type="paragraph" w:customStyle="1" w:styleId="Hidden">
    <w:name w:val="Hidden"/>
    <w:next w:val="Normal"/>
    <w:link w:val="HiddenChar"/>
    <w:qFormat/>
    <w:locked/>
    <w:rsid w:val="00470374"/>
    <w:pPr>
      <w:keepNext/>
      <w:keepLines/>
      <w:spacing w:beforeLines="40" w:afterLines="40" w:line="276" w:lineRule="auto"/>
      <w:contextualSpacing/>
      <w:outlineLvl w:val="3"/>
    </w:pPr>
    <w:rPr>
      <w:rFonts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470374"/>
    <w:rPr>
      <w:rFonts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0C01B0"/>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0C01B0"/>
    <w:rPr>
      <w:rFonts w:ascii="Arial" w:hAnsi="Arial"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45300F"/>
    <w:rPr>
      <w:rFonts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45300F"/>
    <w:pPr>
      <w:widowControl w:val="0"/>
      <w:numPr>
        <w:numId w:val="7"/>
      </w:numPr>
      <w:ind w:left="432"/>
    </w:pPr>
    <w:rPr>
      <w:rFonts w:ascii="Verdana" w:hAnsi="Verdana"/>
      <w:color w:val="000000"/>
      <w:sz w:val="18"/>
      <w:szCs w:val="26"/>
    </w:rPr>
  </w:style>
  <w:style w:type="character" w:styleId="Strong">
    <w:name w:val="Strong"/>
    <w:uiPriority w:val="22"/>
    <w:qFormat/>
    <w:rsid w:val="0045300F"/>
    <w:rPr>
      <w:rFonts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45300F"/>
    <w:pPr>
      <w:numPr>
        <w:numId w:val="8"/>
      </w:numPr>
    </w:pPr>
    <w:rPr>
      <w:rFonts w:ascii="Verdana" w:hAnsi="Verdana"/>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45300F"/>
    <w:rPr>
      <w:b/>
      <w:bCs/>
      <w:smallCaps/>
      <w:spacing w:val="5"/>
    </w:rPr>
  </w:style>
  <w:style w:type="character" w:customStyle="1" w:styleId="Hidden-Character">
    <w:name w:val="Hidden - Character"/>
    <w:uiPriority w:val="1"/>
    <w:qFormat/>
    <w:locked/>
    <w:rsid w:val="00470374"/>
    <w:rPr>
      <w:rFonts w:ascii="Times New Roman" w:hAnsi="Times New Roman"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2"/>
      </w:numPr>
    </w:pPr>
  </w:style>
  <w:style w:type="character" w:customStyle="1" w:styleId="apple-style-span">
    <w:name w:val="apple-style-span"/>
    <w:locked/>
    <w:rsid w:val="0090270A"/>
  </w:style>
  <w:style w:type="character" w:customStyle="1" w:styleId="regulartext1">
    <w:name w:val="regulartext1"/>
    <w:locked/>
    <w:rsid w:val="00527534"/>
  </w:style>
  <w:style w:type="character" w:customStyle="1" w:styleId="apple-converted-space">
    <w:name w:val="apple-converted-space"/>
    <w:locked/>
    <w:rsid w:val="00527534"/>
  </w:style>
  <w:style w:type="character" w:customStyle="1" w:styleId="Subscript">
    <w:name w:val="Subscript"/>
    <w:uiPriority w:val="1"/>
    <w:qFormat/>
    <w:rsid w:val="0045300F"/>
    <w:rPr>
      <w:caps w:val="0"/>
      <w:smallCaps w:val="0"/>
      <w:strike w:val="0"/>
      <w:dstrike w:val="0"/>
      <w:vanish w:val="0"/>
      <w:color w:val="000000"/>
      <w:vertAlign w:val="subscript"/>
    </w:rPr>
  </w:style>
  <w:style w:type="character" w:customStyle="1" w:styleId="Superscript">
    <w:name w:val="Superscript"/>
    <w:uiPriority w:val="1"/>
    <w:qFormat/>
    <w:rsid w:val="0045300F"/>
    <w:rPr>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C9570A"/>
    <w:pPr>
      <w:keepNext/>
      <w:spacing w:line="276" w:lineRule="auto"/>
    </w:pPr>
    <w:rPr>
      <w:rFonts w:ascii="Arial" w:eastAsia="Calibri" w:hAnsi="Arial" w:cs="Arial"/>
      <w:color w:val="00B050"/>
      <w:szCs w:val="24"/>
    </w:rPr>
  </w:style>
  <w:style w:type="paragraph" w:customStyle="1" w:styleId="MainHeading">
    <w:name w:val="Main Heading"/>
    <w:link w:val="MainHeadingChar"/>
    <w:autoRedefine/>
    <w:qFormat/>
    <w:rsid w:val="00470374"/>
    <w:rPr>
      <w:rFonts w:cs="Arial"/>
      <w:b/>
      <w:bCs/>
      <w:kern w:val="32"/>
      <w:sz w:val="36"/>
      <w:szCs w:val="36"/>
      <w:lang w:val="x-none" w:eastAsia="x-none"/>
    </w:rPr>
  </w:style>
  <w:style w:type="character" w:customStyle="1" w:styleId="MainHeadingChar">
    <w:name w:val="Main Heading Char"/>
    <w:basedOn w:val="DefaultParagraphFont"/>
    <w:link w:val="MainHeading"/>
    <w:rsid w:val="00470374"/>
    <w:rPr>
      <w:rFonts w:cs="Arial"/>
      <w:b/>
      <w:bCs/>
      <w:kern w:val="32"/>
      <w:sz w:val="36"/>
      <w:szCs w:val="36"/>
      <w:lang w:val="x-none" w:eastAsia="x-none"/>
    </w:rPr>
  </w:style>
  <w:style w:type="paragraph" w:customStyle="1" w:styleId="Heading">
    <w:name w:val="Heading"/>
    <w:link w:val="HeadingChar"/>
    <w:autoRedefine/>
    <w:qFormat/>
    <w:rsid w:val="00470374"/>
    <w:rPr>
      <w:b/>
      <w:color w:val="000000"/>
      <w:sz w:val="24"/>
      <w:szCs w:val="24"/>
      <w:lang w:val="x-none" w:eastAsia="x-none"/>
    </w:rPr>
  </w:style>
  <w:style w:type="character" w:customStyle="1" w:styleId="HeadingChar">
    <w:name w:val="Heading Char"/>
    <w:basedOn w:val="Heading4Char"/>
    <w:link w:val="Heading"/>
    <w:rsid w:val="00470374"/>
    <w:rPr>
      <w:rFonts w:ascii="Verdana" w:hAnsi="Verdana"/>
      <w:b/>
      <w:color w:val="000000"/>
      <w:sz w:val="24"/>
      <w:szCs w:val="24"/>
      <w:lang w:val="x-none" w:eastAsia="x-none"/>
    </w:rPr>
  </w:style>
  <w:style w:type="paragraph" w:customStyle="1" w:styleId="Label">
    <w:name w:val="Label"/>
    <w:link w:val="LabelChar"/>
    <w:qFormat/>
    <w:rsid w:val="00470374"/>
    <w:rPr>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470374"/>
    <w:rPr>
      <w:rFonts w:ascii="Verdana" w:hAnsi="Verdana"/>
      <w:b/>
      <w:color w:val="000000"/>
      <w:sz w:val="24"/>
      <w:szCs w:val="24"/>
      <w:lang w:val="x-none" w:eastAsia="x-none"/>
    </w:rPr>
  </w:style>
  <w:style w:type="table" w:styleId="GridTable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iv">
    <w:name w:val="div"/>
    <w:basedOn w:val="Normal"/>
    <w:rPr>
      <w:rFonts w:ascii="Times New Roman" w:eastAsia="Times New Roman" w:hAnsi="Times New Roman" w:cs="Times New Roman"/>
      <w:sz w:val="24"/>
      <w:szCs w:val="24"/>
    </w:rPr>
  </w:style>
  <w:style w:type="paragraph" w:customStyle="1" w:styleId="h1Heading1">
    <w:name w:val="h1_Heading1"/>
    <w:basedOn w:val="Heading1"/>
    <w:pPr>
      <w:pBdr>
        <w:top w:val="none" w:sz="0" w:space="2" w:color="auto"/>
        <w:left w:val="none" w:sz="0" w:space="2" w:color="auto"/>
        <w:bottom w:val="none" w:sz="0" w:space="2" w:color="auto"/>
        <w:right w:val="none" w:sz="0" w:space="2" w:color="auto"/>
      </w:pBdr>
      <w:shd w:val="clear" w:color="auto" w:fill="BCDFFB"/>
    </w:pPr>
    <w:rPr>
      <w:rFonts w:ascii="Times New Roman" w:eastAsia="Times New Roman" w:hAnsi="Times New Roman" w:cs="Times New Roman"/>
      <w:b/>
      <w:bCs/>
      <w:sz w:val="24"/>
      <w:szCs w:val="24"/>
      <w:shd w:val="clear" w:color="auto" w:fill="BCDFFB"/>
    </w:rPr>
  </w:style>
  <w:style w:type="paragraph" w:customStyle="1" w:styleId="Normal0">
    <w:name w:val="Normal_0"/>
    <w:basedOn w:val="Normal"/>
    <w:rPr>
      <w:rFonts w:ascii="Helvetica" w:eastAsia="Helvetica" w:hAnsi="Helvetica" w:cs="Helvetica"/>
      <w:sz w:val="20"/>
      <w:szCs w:val="20"/>
    </w:rPr>
  </w:style>
  <w:style w:type="paragraph" w:customStyle="1" w:styleId="h2Heading2">
    <w:name w:val="h2_Heading2"/>
    <w:basedOn w:val="Heading2"/>
    <w:pPr>
      <w:pBdr>
        <w:top w:val="none" w:sz="0" w:space="2" w:color="auto"/>
        <w:left w:val="none" w:sz="0" w:space="2" w:color="auto"/>
        <w:bottom w:val="none" w:sz="0" w:space="2" w:color="auto"/>
        <w:right w:val="none" w:sz="0" w:space="2" w:color="auto"/>
      </w:pBdr>
      <w:shd w:val="clear" w:color="auto" w:fill="E0E0E0"/>
    </w:pPr>
    <w:rPr>
      <w:rFonts w:ascii="Times New Roman" w:eastAsia="Times New Roman" w:hAnsi="Times New Roman" w:cs="Times New Roman"/>
      <w:b/>
      <w:bCs/>
      <w:sz w:val="24"/>
      <w:szCs w:val="24"/>
      <w:shd w:val="clear" w:color="auto" w:fill="E0E0E0"/>
    </w:rPr>
  </w:style>
  <w:style w:type="paragraph" w:customStyle="1" w:styleId="p">
    <w:name w:val="p"/>
    <w:basedOn w:val="Normal"/>
    <w:rPr>
      <w:rFonts w:ascii="Helvetica" w:eastAsia="Helvetica" w:hAnsi="Helvetica" w:cs="Helvetica"/>
      <w:sz w:val="20"/>
      <w:szCs w:val="20"/>
    </w:rPr>
  </w:style>
  <w:style w:type="character" w:customStyle="1" w:styleId="ahref">
    <w:name w:val="a_|href"/>
    <w:basedOn w:val="DefaultParagraphFont"/>
    <w:rPr>
      <w:color w:val="0000FF"/>
    </w:rPr>
  </w:style>
  <w:style w:type="paragraph" w:customStyle="1" w:styleId="p0">
    <w:name w:val="p_0"/>
    <w:basedOn w:val="Hidden"/>
    <w:rPr>
      <w:rFonts w:ascii="Helvetica" w:eastAsia="Helvetica" w:hAnsi="Helvetica" w:cs="Helvetica"/>
      <w:sz w:val="20"/>
      <w:szCs w:val="20"/>
    </w:rPr>
  </w:style>
  <w:style w:type="character" w:customStyle="1" w:styleId="criteria-linked-elementdata-modeexportcriteria-score">
    <w:name w:val="criteria-linked-element_|data-mode=export_criteria-score"/>
    <w:basedOn w:val="DefaultParagraphFont"/>
    <w:rPr>
      <w:bdr w:val="none" w:sz="0" w:space="0" w:color="auto"/>
    </w:rPr>
  </w:style>
  <w:style w:type="table" w:customStyle="1" w:styleId="tablecriteria-linked-element">
    <w:name w:val="table_criteria-linked-element"/>
    <w:basedOn w:val="TableNormal"/>
    <w:tbl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microsoft.com/office/2011/relationships/commentsExtended" Target="commentsExtended.xml" /><Relationship Id="rId16" Type="http://schemas.openxmlformats.org/officeDocument/2006/relationships/comments" Target="comments.xml" /><Relationship Id="rId17" Type="http://schemas.openxmlformats.org/officeDocument/2006/relationships/hyperlink" Target="http://www.Grants.gov/" TargetMode="External" /><Relationship Id="rId18" Type="http://schemas.openxmlformats.org/officeDocument/2006/relationships/hyperlink" Target="https://www.doi.gov/grants/doi-standard-terms-and-conditions" TargetMode="External" /><Relationship Id="rId19" Type="http://schemas.openxmlformats.org/officeDocument/2006/relationships/hyperlink" Target="https://www.ecfr.gov/cgi-bin/text-idx?SID=2cb9f6d1c1c131ed576a5e65845ef3fa&amp;mc=true&amp;node=se2.1.1402_1112&amp;rgn=div8" TargetMode="External" /><Relationship Id="rId2" Type="http://schemas.openxmlformats.org/officeDocument/2006/relationships/webSettings" Target="webSettings.xml" /><Relationship Id="rId20" Type="http://schemas.openxmlformats.org/officeDocument/2006/relationships/hyperlink" Target="https://www.doi.gov/pam/programs/acquisition/fair-activities-inventory-reform-act" TargetMode="External" /><Relationship Id="rId21" Type="http://schemas.openxmlformats.org/officeDocument/2006/relationships/hyperlink" Target="https://harvester.census.gov/facides/Account/Login.aspx" TargetMode="External" /><Relationship Id="rId22" Type="http://schemas.openxmlformats.org/officeDocument/2006/relationships/hyperlink" Target="https://harvester.census.gov/facdissem/Main.aspx" TargetMode="External" /><Relationship Id="rId23" Type="http://schemas.openxmlformats.org/officeDocument/2006/relationships/hyperlink" Target="http://www.ecfr.gov/cgi-bin/text-idx?SID=683823273fc0da6a1060883eda593fb8&amp;mc=true&amp;node=pt43.1.18&amp;rgn=div5" TargetMode="External" /><Relationship Id="rId24" Type="http://schemas.openxmlformats.org/officeDocument/2006/relationships/hyperlink" Target="https://www.gsa.gov/about-us/organization/federal-acquisition-service/office-of-systems-management/integrated-award-environment-iae/iae-systems-information-kit/unique-entity-identifier-update" TargetMode="External" /><Relationship Id="rId25" Type="http://schemas.openxmlformats.org/officeDocument/2006/relationships/hyperlink" Target="http://www.sam.gov" TargetMode="External" /><Relationship Id="rId26" Type="http://schemas.openxmlformats.org/officeDocument/2006/relationships/hyperlink" Target="https://www.grants.gov/help/html/help/Register/RegisterWithSAM.htm" TargetMode="External" /><Relationship Id="rId27" Type="http://schemas.openxmlformats.org/officeDocument/2006/relationships/hyperlink" Target="mailto:support@grants.gov" TargetMode="External" /><Relationship Id="rId28" Type="http://schemas.openxmlformats.org/officeDocument/2006/relationships/hyperlink" Target="https://www.ecfr.gov/cgi-bin/text-idx?SID=2cb9f6d1c1c131ed576a5e65845ef3fa&amp;mc=true&amp;node=se2.1.1402_1315&amp;rgn=div8" TargetMode="External" /><Relationship Id="rId29" Type="http://schemas.openxmlformats.org/officeDocument/2006/relationships/hyperlink" Target="https://gcc02.safelinks.protection.outlook.com/?url=http%3A%2F%2Fwww.fgdc.gov%2F&amp;data=05%7C01%7CYong.Kong%40boem.gov%7Cf00810e6e58f400bfb7708da64facfad%7C0693b5ba4b184d7b9341f32f400a5494%7C0%7C0%7C637933325649220940%7CUnknown%7CTWFpbGZsb3d8eyJWIjoiMC4wLjAwMDAiLCJQIjoiV2luMzIiLCJBTiI6Ik1haWwiLCJXVCI6Mn0%3D%7C3000%7C%7C%7C&amp;sdata=xM9BlemhxYhri%2Fl1ek2KMpCAKoVtKWipiGqEu1KAkeY%3D&amp;reserved=0" TargetMode="External" /><Relationship Id="rId3" Type="http://schemas.openxmlformats.org/officeDocument/2006/relationships/fontTable" Target="fontTable.xml" /><Relationship Id="rId30" Type="http://schemas.openxmlformats.org/officeDocument/2006/relationships/footer" Target="footer4.xml" /><Relationship Id="rId31" Type="http://schemas.openxmlformats.org/officeDocument/2006/relationships/theme" Target="theme/theme1.xml" /><Relationship Id="rId32" Type="http://schemas.openxmlformats.org/officeDocument/2006/relationships/numbering" Target="numbering.xml" /><Relationship Id="rId33"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5.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Props1.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2.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customXml/itemProps4.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5.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Research</vt:lpstr>
    </vt:vector>
  </TitlesOfParts>
  <Company>Microsoft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Adetayo, Kemi (NIH/OD) [C]</dc:creator>
  <cp:lastModifiedBy>Silverman, Joshua (NIH/OD) [C]</cp:lastModifiedBy>
  <cp:revision>28</cp:revision>
  <cp:lastPrinted>2015-12-22T13:15:00Z</cp:lastPrinted>
  <dcterms:created xsi:type="dcterms:W3CDTF">2016-12-20T14:59:00Z</dcterms:created>
  <dcterms:modified xsi:type="dcterms:W3CDTF">2023-02-15T17:20:00Z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