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4015" w:rsidR="00EC0F2E" w:rsidP="00194E8B" w:rsidRDefault="00EC0F2E" w14:paraId="04264D16" w14:textId="411AFE47">
      <w:pPr>
        <w:pStyle w:val="Heading2"/>
        <w:rPr>
          <w:rFonts w:ascii="Calibri" w:hAnsi="Calibri" w:eastAsia="Times New Roman" w:cs="Calibri"/>
          <w:b w:val="1"/>
          <w:bCs w:val="1"/>
          <w:sz w:val="28"/>
          <w:szCs w:val="28"/>
        </w:rPr>
      </w:pPr>
      <w:r w:rsidRPr="52223881" w:rsidR="00EC0F2E">
        <w:rPr>
          <w:rFonts w:ascii="Calibri" w:hAnsi="Calibri" w:eastAsia="Times New Roman" w:cs="Calibri"/>
          <w:b w:val="1"/>
          <w:bCs w:val="1"/>
          <w:sz w:val="28"/>
          <w:szCs w:val="28"/>
        </w:rPr>
        <w:t xml:space="preserve">Statement of </w:t>
      </w:r>
      <w:r w:rsidRPr="52223881" w:rsidR="005A4CF7">
        <w:rPr>
          <w:rFonts w:ascii="Calibri" w:hAnsi="Calibri" w:eastAsia="Times New Roman" w:cs="Calibri"/>
          <w:b w:val="1"/>
          <w:bCs w:val="1"/>
          <w:sz w:val="28"/>
          <w:szCs w:val="28"/>
        </w:rPr>
        <w:t xml:space="preserve">Local </w:t>
      </w:r>
      <w:r w:rsidRPr="52223881" w:rsidR="00EC0F2E">
        <w:rPr>
          <w:rFonts w:ascii="Calibri" w:hAnsi="Calibri" w:eastAsia="Times New Roman" w:cs="Calibri"/>
          <w:b w:val="1"/>
          <w:bCs w:val="1"/>
          <w:sz w:val="28"/>
          <w:szCs w:val="28"/>
        </w:rPr>
        <w:t xml:space="preserve">Rates of Opioid </w:t>
      </w:r>
      <w:r w:rsidRPr="52223881" w:rsidR="1AD95308">
        <w:rPr>
          <w:rFonts w:ascii="Calibri" w:hAnsi="Calibri" w:eastAsia="Times New Roman" w:cs="Calibri"/>
          <w:b w:val="1"/>
          <w:bCs w:val="1"/>
          <w:sz w:val="28"/>
          <w:szCs w:val="28"/>
        </w:rPr>
        <w:t>and/</w:t>
      </w:r>
      <w:r w:rsidRPr="52223881" w:rsidR="00EC0F2E">
        <w:rPr>
          <w:rFonts w:ascii="Calibri" w:hAnsi="Calibri" w:eastAsia="Times New Roman" w:cs="Calibri"/>
          <w:b w:val="1"/>
          <w:bCs w:val="1"/>
          <w:sz w:val="28"/>
          <w:szCs w:val="28"/>
        </w:rPr>
        <w:t>or Methamphetamine</w:t>
      </w:r>
      <w:r w:rsidRPr="52223881" w:rsidR="005A4CF7">
        <w:rPr>
          <w:rFonts w:ascii="Calibri" w:hAnsi="Calibri" w:eastAsia="Times New Roman" w:cs="Calibri"/>
          <w:b w:val="1"/>
          <w:bCs w:val="1"/>
          <w:sz w:val="28"/>
          <w:szCs w:val="28"/>
        </w:rPr>
        <w:t xml:space="preserve"> Use</w:t>
      </w:r>
    </w:p>
    <w:p w:rsidR="66287DB7" w:rsidP="66287DB7" w:rsidRDefault="7EC62FBB" w14:paraId="5F3C80E6" w14:textId="560B48C9">
      <w:pPr>
        <w:spacing w:before="120" w:after="120"/>
        <w:rPr>
          <w:b w:val="1"/>
          <w:bCs w:val="1"/>
          <w:sz w:val="24"/>
          <w:szCs w:val="24"/>
        </w:rPr>
      </w:pPr>
      <w:r w:rsidRPr="52223881" w:rsidR="7EC62FBB">
        <w:rPr>
          <w:rFonts w:eastAsia="Times New Roman"/>
          <w:b w:val="1"/>
          <w:bCs w:val="1"/>
          <w:sz w:val="24"/>
          <w:szCs w:val="24"/>
        </w:rPr>
        <w:t xml:space="preserve">Applicants must </w:t>
      </w:r>
      <w:r w:rsidRPr="52223881" w:rsidR="00A00045">
        <w:rPr>
          <w:rFonts w:eastAsia="Times New Roman"/>
          <w:b w:val="1"/>
          <w:bCs w:val="1"/>
          <w:sz w:val="24"/>
          <w:szCs w:val="24"/>
        </w:rPr>
        <w:t xml:space="preserve">be able to </w:t>
      </w:r>
      <w:r w:rsidRPr="52223881" w:rsidR="00A00045">
        <w:rPr>
          <w:rFonts w:eastAsia="Times New Roman"/>
          <w:b w:val="1"/>
          <w:bCs w:val="1"/>
          <w:sz w:val="24"/>
          <w:szCs w:val="24"/>
        </w:rPr>
        <w:t>demonstrate</w:t>
      </w:r>
      <w:r w:rsidRPr="52223881" w:rsidR="00A00045">
        <w:rPr>
          <w:rFonts w:eastAsia="Times New Roman"/>
          <w:b w:val="1"/>
          <w:bCs w:val="1"/>
          <w:sz w:val="24"/>
          <w:szCs w:val="24"/>
        </w:rPr>
        <w:t xml:space="preserve"> that the local rate of opioid and/or methamphetamine </w:t>
      </w:r>
      <w:r w:rsidRPr="52223881" w:rsidR="1C6850BC">
        <w:rPr>
          <w:rFonts w:eastAsia="Times New Roman"/>
          <w:b w:val="1"/>
          <w:bCs w:val="1"/>
          <w:sz w:val="24"/>
          <w:szCs w:val="24"/>
        </w:rPr>
        <w:t xml:space="preserve">use </w:t>
      </w:r>
      <w:r w:rsidRPr="52223881" w:rsidR="00A00045">
        <w:rPr>
          <w:rFonts w:eastAsia="Times New Roman"/>
          <w:b w:val="1"/>
          <w:bCs w:val="1"/>
          <w:sz w:val="24"/>
          <w:szCs w:val="24"/>
        </w:rPr>
        <w:t>is significantly higher than the national average</w:t>
      </w:r>
      <w:r w:rsidRPr="52223881" w:rsidR="00A00045">
        <w:rPr>
          <w:rFonts w:eastAsia="Times New Roman"/>
          <w:b w:val="1"/>
          <w:bCs w:val="1"/>
          <w:sz w:val="24"/>
          <w:szCs w:val="24"/>
        </w:rPr>
        <w:t xml:space="preserve"> or </w:t>
      </w:r>
      <w:r w:rsidRPr="52223881" w:rsidR="5FD3DF1B">
        <w:rPr>
          <w:rFonts w:eastAsia="Times New Roman"/>
          <w:b w:val="1"/>
          <w:bCs w:val="1"/>
          <w:sz w:val="24"/>
          <w:szCs w:val="24"/>
        </w:rPr>
        <w:t xml:space="preserve">has </w:t>
      </w:r>
      <w:r w:rsidRPr="52223881" w:rsidR="00A00045">
        <w:rPr>
          <w:rFonts w:eastAsia="Times New Roman"/>
          <w:b w:val="1"/>
          <w:bCs w:val="1"/>
          <w:sz w:val="24"/>
          <w:szCs w:val="24"/>
        </w:rPr>
        <w:t xml:space="preserve">rates higher than the national average sustained over </w:t>
      </w:r>
      <w:r w:rsidRPr="52223881" w:rsidR="00A00045">
        <w:rPr>
          <w:rFonts w:eastAsia="Times New Roman"/>
          <w:b w:val="1"/>
          <w:bCs w:val="1"/>
          <w:sz w:val="24"/>
          <w:szCs w:val="24"/>
        </w:rPr>
        <w:t>a long period</w:t>
      </w:r>
      <w:r w:rsidRPr="52223881" w:rsidR="00A00045">
        <w:rPr>
          <w:rFonts w:eastAsia="Times New Roman"/>
          <w:b w:val="1"/>
          <w:bCs w:val="1"/>
          <w:sz w:val="24"/>
          <w:szCs w:val="24"/>
        </w:rPr>
        <w:t xml:space="preserve"> of </w:t>
      </w:r>
      <w:r w:rsidRPr="52223881" w:rsidR="00A00045">
        <w:rPr>
          <w:rFonts w:eastAsia="Times New Roman"/>
          <w:b w:val="1"/>
          <w:bCs w:val="1"/>
          <w:sz w:val="24"/>
          <w:szCs w:val="24"/>
        </w:rPr>
        <w:t>time.</w:t>
      </w:r>
      <w:r w:rsidRPr="52223881" w:rsidR="00AF1415">
        <w:rPr>
          <w:rFonts w:eastAsia="Times New Roman"/>
          <w:b w:val="1"/>
          <w:bCs w:val="1"/>
          <w:sz w:val="24"/>
          <w:szCs w:val="24"/>
        </w:rPr>
        <w:t>*</w:t>
      </w:r>
    </w:p>
    <w:p w:rsidR="66287DB7" w:rsidP="52223881" w:rsidRDefault="3375B026" w14:paraId="3FFAE033" w14:textId="6DF77550">
      <w:pPr>
        <w:pStyle w:val="Default"/>
        <w:spacing w:before="120" w:after="120"/>
        <w:rPr>
          <w:rFonts w:ascii="Calibri" w:hAnsi="Calibri" w:eastAsia="Times New Roman" w:cs="" w:asciiTheme="minorAscii" w:hAnsiTheme="minorAscii" w:cstheme="minorBidi"/>
        </w:rPr>
      </w:pPr>
      <w:r w:rsidRPr="52223881" w:rsidR="3375B026">
        <w:rPr>
          <w:rFonts w:ascii="Calibri" w:hAnsi="Calibri" w:eastAsia="Times New Roman" w:cs="" w:asciiTheme="minorAscii" w:hAnsiTheme="minorAscii" w:cstheme="minorBidi"/>
        </w:rPr>
        <w:t xml:space="preserve">Complete the table below to document that your local rate of </w:t>
      </w:r>
      <w:r w:rsidRPr="52223881" w:rsidR="3375B026">
        <w:rPr>
          <w:rFonts w:ascii="Calibri" w:hAnsi="Calibri" w:eastAsia="Times New Roman" w:cs="" w:asciiTheme="minorAscii" w:hAnsiTheme="minorAscii" w:cstheme="minorBidi"/>
          <w:b w:val="1"/>
          <w:bCs w:val="1"/>
        </w:rPr>
        <w:t xml:space="preserve">opioid </w:t>
      </w:r>
      <w:r w:rsidRPr="52223881" w:rsidR="00A12551">
        <w:rPr>
          <w:rFonts w:ascii="Calibri" w:hAnsi="Calibri" w:eastAsia="Times New Roman" w:cs="" w:asciiTheme="minorAscii" w:hAnsiTheme="minorAscii" w:cstheme="minorBidi"/>
          <w:b w:val="1"/>
          <w:bCs w:val="1"/>
        </w:rPr>
        <w:t>and/</w:t>
      </w:r>
      <w:r w:rsidRPr="52223881" w:rsidR="3375B026">
        <w:rPr>
          <w:rFonts w:ascii="Calibri" w:hAnsi="Calibri" w:eastAsia="Times New Roman" w:cs="" w:asciiTheme="minorAscii" w:hAnsiTheme="minorAscii" w:cstheme="minorBidi"/>
          <w:b w:val="1"/>
          <w:bCs w:val="1"/>
        </w:rPr>
        <w:t xml:space="preserve">or methamphetamine use is higher than the national </w:t>
      </w:r>
      <w:r w:rsidRPr="52223881" w:rsidR="1DE05D4B">
        <w:rPr>
          <w:rFonts w:ascii="Calibri" w:hAnsi="Calibri" w:eastAsia="Times New Roman" w:cs="" w:asciiTheme="minorAscii" w:hAnsiTheme="minorAscii" w:cstheme="minorBidi"/>
        </w:rPr>
        <w:t>average. National</w:t>
      </w:r>
      <w:r w:rsidRPr="52223881" w:rsidR="66A6E4DA">
        <w:rPr>
          <w:rFonts w:ascii="Calibri" w:hAnsi="Calibri" w:eastAsia="Times New Roman" w:cs="" w:asciiTheme="minorAscii" w:hAnsiTheme="minorAscii" w:cstheme="minorBidi"/>
        </w:rPr>
        <w:t xml:space="preserve"> averages are provided across </w:t>
      </w:r>
      <w:r w:rsidRPr="52223881" w:rsidR="002B35DC">
        <w:rPr>
          <w:rFonts w:ascii="Calibri" w:hAnsi="Calibri" w:eastAsia="Times New Roman" w:cs="" w:asciiTheme="minorAscii" w:hAnsiTheme="minorAscii" w:cstheme="minorBidi"/>
        </w:rPr>
        <w:t>two</w:t>
      </w:r>
      <w:r w:rsidRPr="52223881" w:rsidR="66A6E4DA">
        <w:rPr>
          <w:rFonts w:ascii="Calibri" w:hAnsi="Calibri" w:eastAsia="Times New Roman" w:cs="" w:asciiTheme="minorAscii" w:hAnsiTheme="minorAscii" w:cstheme="minorBidi"/>
        </w:rPr>
        <w:t xml:space="preserve"> data sources. </w:t>
      </w:r>
    </w:p>
    <w:p w:rsidRPr="00194E8B" w:rsidR="00BD76C9" w:rsidP="001E40AF" w:rsidRDefault="00BD76C9" w14:paraId="665FE27D" w14:textId="32146516">
      <w:pPr>
        <w:pStyle w:val="ListParagraph"/>
        <w:numPr>
          <w:ilvl w:val="0"/>
          <w:numId w:val="6"/>
        </w:numPr>
        <w:spacing w:before="120" w:after="120"/>
      </w:pPr>
      <w:r w:rsidRPr="00194E8B">
        <w:t>Monitoring the Future Survey (</w:t>
      </w:r>
      <w:r w:rsidR="46BB4ADC">
        <w:t>MTF)</w:t>
      </w:r>
    </w:p>
    <w:p w:rsidRPr="00194E8B" w:rsidR="00BD76C9" w:rsidP="001E40AF" w:rsidRDefault="00BD76C9" w14:paraId="0780C2BC" w14:textId="77777777">
      <w:pPr>
        <w:pStyle w:val="ListParagraph"/>
        <w:spacing w:before="120" w:after="120"/>
      </w:pPr>
      <w:hyperlink w:history="1" r:id="rId10">
        <w:r w:rsidRPr="001E40AF">
          <w:rPr>
            <w:rStyle w:val="Hyperlink"/>
          </w:rPr>
          <w:t>National Survey Results on Drug Use, 1975-2023: Overview and Detailed Results for Secondary School Students | Monitoring the Future</w:t>
        </w:r>
      </w:hyperlink>
    </w:p>
    <w:p w:rsidR="001E40AF" w:rsidP="001E40AF" w:rsidRDefault="00BD76C9" w14:paraId="71BB5A4B" w14:textId="0C904F6E">
      <w:pPr>
        <w:pStyle w:val="ListParagraph"/>
        <w:numPr>
          <w:ilvl w:val="0"/>
          <w:numId w:val="6"/>
        </w:numPr>
        <w:spacing w:before="120" w:after="120"/>
      </w:pPr>
      <w:r w:rsidRPr="00194E8B">
        <w:t>National Survey on Drug Use and Health (</w:t>
      </w:r>
      <w:r w:rsidR="724B6EF9">
        <w:t>NSDUH)</w:t>
      </w:r>
    </w:p>
    <w:p w:rsidR="00D441A4" w:rsidP="00D556CC" w:rsidRDefault="00194E8B" w14:paraId="47571AE2" w14:textId="3E359348">
      <w:pPr>
        <w:pStyle w:val="ListParagraph"/>
        <w:spacing w:before="120" w:after="120"/>
      </w:pPr>
      <w:hyperlink w:history="1" r:id="rId11">
        <w:r w:rsidRPr="001E40AF">
          <w:rPr>
            <w:rStyle w:val="Hyperlink"/>
          </w:rPr>
          <w:t>Key Substance Use and Mental Health Indicators in the United States: Results from the 2024 National Survey on Drug Use and Health</w:t>
        </w:r>
      </w:hyperlink>
    </w:p>
    <w:p w:rsidR="00D556CC" w:rsidP="00D556CC" w:rsidRDefault="00D556CC" w14:paraId="066A97A2" w14:textId="77777777">
      <w:pPr>
        <w:pStyle w:val="ListParagraph"/>
        <w:spacing w:before="120" w:after="120"/>
      </w:pPr>
    </w:p>
    <w:tbl>
      <w:tblPr>
        <w:tblStyle w:val="TableGrid1"/>
        <w:tblW w:w="9350" w:type="dxa"/>
        <w:tblInd w:w="0" w:type="dxa"/>
        <w:tblLook w:val="04A0" w:firstRow="1" w:lastRow="0" w:firstColumn="1" w:lastColumn="0" w:noHBand="0" w:noVBand="1"/>
      </w:tblPr>
      <w:tblGrid>
        <w:gridCol w:w="1830"/>
        <w:gridCol w:w="1455"/>
        <w:gridCol w:w="1560"/>
        <w:gridCol w:w="3070"/>
        <w:gridCol w:w="1435"/>
      </w:tblGrid>
      <w:tr w:rsidRPr="00D556CC" w:rsidR="00D556CC" w:rsidTr="143C7435" w14:paraId="3BC38376" w14:textId="18A30B75">
        <w:trPr>
          <w:trHeight w:val="13"/>
        </w:trPr>
        <w:tc>
          <w:tcPr>
            <w:tcW w:w="1830" w:type="dxa"/>
            <w:vMerge w:val="restart"/>
            <w:tcBorders>
              <w:top w:val="single" w:color="auto" w:sz="4" w:space="0"/>
              <w:left w:val="single" w:color="auto" w:sz="4" w:space="0"/>
              <w:bottom w:val="single" w:color="auto" w:sz="4" w:space="0"/>
              <w:right w:val="single" w:color="auto" w:sz="4" w:space="0"/>
            </w:tcBorders>
            <w:vAlign w:val="center"/>
            <w:hideMark/>
          </w:tcPr>
          <w:p w:rsidRPr="000B67C2" w:rsidR="00D556CC" w:rsidP="00FA27D7" w:rsidRDefault="00D556CC" w14:paraId="1038F6C6" w14:textId="77777777">
            <w:pPr>
              <w:rPr>
                <w:b/>
                <w:bCs/>
                <w:sz w:val="24"/>
                <w:szCs w:val="24"/>
              </w:rPr>
            </w:pPr>
            <w:r w:rsidRPr="000B67C2">
              <w:rPr>
                <w:b/>
                <w:bCs/>
                <w:sz w:val="24"/>
                <w:szCs w:val="24"/>
              </w:rPr>
              <w:t>Opioids</w:t>
            </w:r>
          </w:p>
        </w:tc>
        <w:tc>
          <w:tcPr>
            <w:tcW w:w="1455" w:type="dxa"/>
            <w:tcBorders>
              <w:top w:val="single" w:color="auto" w:sz="4" w:space="0"/>
              <w:left w:val="single" w:color="auto" w:sz="4" w:space="0"/>
              <w:bottom w:val="single" w:color="auto" w:sz="4" w:space="0"/>
              <w:right w:val="single" w:color="auto" w:sz="4" w:space="0"/>
            </w:tcBorders>
          </w:tcPr>
          <w:p w:rsidRPr="000B67C2" w:rsidR="00D556CC" w:rsidP="00D556CC" w:rsidRDefault="00D556CC" w14:paraId="745FC532" w14:textId="77777777">
            <w:pPr>
              <w:rPr>
                <w:sz w:val="24"/>
                <w:szCs w:val="24"/>
              </w:rPr>
            </w:pPr>
          </w:p>
        </w:tc>
        <w:tc>
          <w:tcPr>
            <w:tcW w:w="1560" w:type="dxa"/>
            <w:tcBorders>
              <w:top w:val="single" w:color="auto" w:sz="4" w:space="0"/>
              <w:left w:val="single" w:color="auto" w:sz="4" w:space="0"/>
              <w:bottom w:val="single" w:color="auto" w:sz="4" w:space="0"/>
              <w:right w:val="single" w:color="auto" w:sz="4" w:space="0"/>
            </w:tcBorders>
            <w:hideMark/>
          </w:tcPr>
          <w:p w:rsidRPr="000B67C2" w:rsidR="00D556CC" w:rsidP="00D556CC" w:rsidRDefault="00D556CC" w14:paraId="191D0302" w14:textId="339D7FF0">
            <w:pPr>
              <w:rPr>
                <w:b/>
                <w:bCs/>
                <w:sz w:val="24"/>
                <w:szCs w:val="24"/>
              </w:rPr>
            </w:pPr>
            <w:r w:rsidRPr="000B67C2">
              <w:rPr>
                <w:b/>
                <w:bCs/>
                <w:sz w:val="24"/>
                <w:szCs w:val="24"/>
              </w:rPr>
              <w:t xml:space="preserve">Rates of </w:t>
            </w:r>
            <w:r w:rsidR="00FA27D7">
              <w:rPr>
                <w:b/>
                <w:bCs/>
                <w:sz w:val="24"/>
                <w:szCs w:val="24"/>
              </w:rPr>
              <w:t>U</w:t>
            </w:r>
            <w:r w:rsidRPr="000B67C2">
              <w:rPr>
                <w:b/>
                <w:bCs/>
                <w:sz w:val="24"/>
                <w:szCs w:val="24"/>
              </w:rPr>
              <w:t>se</w:t>
            </w:r>
          </w:p>
        </w:tc>
        <w:tc>
          <w:tcPr>
            <w:tcW w:w="3070" w:type="dxa"/>
            <w:tcBorders>
              <w:top w:val="single" w:color="auto" w:sz="4" w:space="0"/>
              <w:left w:val="single" w:color="auto" w:sz="4" w:space="0"/>
              <w:bottom w:val="single" w:color="auto" w:sz="4" w:space="0"/>
              <w:right w:val="single" w:color="auto" w:sz="4" w:space="0"/>
            </w:tcBorders>
            <w:hideMark/>
          </w:tcPr>
          <w:p w:rsidRPr="000B67C2" w:rsidR="00D556CC" w:rsidP="00D556CC" w:rsidRDefault="00D556CC" w14:paraId="09091050" w14:textId="77777777">
            <w:pPr>
              <w:rPr>
                <w:b/>
                <w:bCs/>
                <w:sz w:val="24"/>
                <w:szCs w:val="24"/>
              </w:rPr>
            </w:pPr>
            <w:r w:rsidRPr="000B67C2">
              <w:rPr>
                <w:b/>
                <w:bCs/>
                <w:sz w:val="24"/>
                <w:szCs w:val="24"/>
              </w:rPr>
              <w:t>Source of Data</w:t>
            </w:r>
          </w:p>
        </w:tc>
        <w:tc>
          <w:tcPr>
            <w:tcW w:w="1435" w:type="dxa"/>
            <w:tcBorders>
              <w:top w:val="single" w:color="auto" w:sz="4" w:space="0"/>
              <w:left w:val="single" w:color="auto" w:sz="4" w:space="0"/>
              <w:bottom w:val="single" w:color="auto" w:sz="4" w:space="0"/>
              <w:right w:val="single" w:color="auto" w:sz="4" w:space="0"/>
            </w:tcBorders>
          </w:tcPr>
          <w:p w:rsidRPr="00D556CC" w:rsidR="00D556CC" w:rsidP="00D556CC" w:rsidRDefault="00D556CC" w14:paraId="41FB3CA1" w14:textId="4CEA2F38">
            <w:pPr>
              <w:rPr>
                <w:b/>
                <w:bCs/>
                <w:sz w:val="24"/>
                <w:szCs w:val="24"/>
              </w:rPr>
            </w:pPr>
            <w:r w:rsidRPr="00D556CC">
              <w:rPr>
                <w:b/>
                <w:bCs/>
                <w:sz w:val="24"/>
                <w:szCs w:val="24"/>
              </w:rPr>
              <w:t>Year</w:t>
            </w:r>
          </w:p>
        </w:tc>
      </w:tr>
      <w:tr w:rsidRPr="00D556CC" w:rsidR="00D556CC" w:rsidTr="143C7435" w14:paraId="33225DFC" w14:textId="0F995EF7">
        <w:trPr>
          <w:trHeight w:val="13"/>
        </w:trPr>
        <w:tc>
          <w:tcPr>
            <w:tcW w:w="1830" w:type="dxa"/>
            <w:vMerge/>
            <w:vAlign w:val="center"/>
            <w:hideMark/>
          </w:tcPr>
          <w:p w:rsidRPr="000B67C2" w:rsidR="00D556CC" w:rsidP="00D556CC" w:rsidRDefault="00D556CC" w14:paraId="56971AC3" w14:textId="77777777">
            <w:pPr>
              <w:rPr>
                <w:b/>
                <w:bCs/>
                <w:sz w:val="24"/>
                <w:szCs w:val="24"/>
              </w:rPr>
            </w:pPr>
          </w:p>
        </w:tc>
        <w:tc>
          <w:tcPr>
            <w:tcW w:w="1455" w:type="dxa"/>
            <w:tcBorders>
              <w:top w:val="single" w:color="auto" w:sz="4" w:space="0"/>
              <w:left w:val="single" w:color="auto" w:sz="4" w:space="0"/>
              <w:bottom w:val="single" w:color="auto" w:sz="4" w:space="0"/>
              <w:right w:val="single" w:color="auto" w:sz="4" w:space="0"/>
            </w:tcBorders>
            <w:hideMark/>
          </w:tcPr>
          <w:p w:rsidRPr="000B67C2" w:rsidR="00D556CC" w:rsidP="00D556CC" w:rsidRDefault="00D556CC" w14:paraId="7DEA7CF5" w14:textId="77777777">
            <w:pPr>
              <w:rPr>
                <w:b/>
                <w:bCs/>
                <w:sz w:val="24"/>
                <w:szCs w:val="24"/>
              </w:rPr>
            </w:pPr>
            <w:r w:rsidRPr="000B67C2">
              <w:rPr>
                <w:b/>
                <w:bCs/>
                <w:sz w:val="24"/>
                <w:szCs w:val="24"/>
              </w:rPr>
              <w:t>National Rates</w:t>
            </w:r>
          </w:p>
        </w:tc>
        <w:tc>
          <w:tcPr>
            <w:tcW w:w="1560" w:type="dxa"/>
            <w:tcBorders>
              <w:top w:val="single" w:color="auto" w:sz="4" w:space="0"/>
              <w:left w:val="single" w:color="auto" w:sz="4" w:space="0"/>
              <w:bottom w:val="single" w:color="auto" w:sz="4" w:space="0"/>
              <w:right w:val="single" w:color="auto" w:sz="4" w:space="0"/>
            </w:tcBorders>
          </w:tcPr>
          <w:p w:rsidRPr="000B67C2" w:rsidR="00D556CC" w:rsidP="00D556CC" w:rsidRDefault="00D556CC" w14:paraId="27C8C635" w14:textId="77777777">
            <w:pPr>
              <w:rPr>
                <w:sz w:val="24"/>
                <w:szCs w:val="24"/>
              </w:rPr>
            </w:pPr>
          </w:p>
        </w:tc>
        <w:tc>
          <w:tcPr>
            <w:tcW w:w="3070" w:type="dxa"/>
            <w:tcBorders>
              <w:top w:val="single" w:color="auto" w:sz="4" w:space="0"/>
              <w:left w:val="single" w:color="auto" w:sz="4" w:space="0"/>
              <w:bottom w:val="single" w:color="auto" w:sz="4" w:space="0"/>
              <w:right w:val="single" w:color="auto" w:sz="4" w:space="0"/>
            </w:tcBorders>
          </w:tcPr>
          <w:p w:rsidRPr="000B67C2" w:rsidR="00D556CC" w:rsidP="00D556CC" w:rsidRDefault="00D556CC" w14:paraId="5C6894D4" w14:textId="77777777">
            <w:pPr>
              <w:rPr>
                <w:sz w:val="24"/>
                <w:szCs w:val="24"/>
              </w:rPr>
            </w:pPr>
          </w:p>
        </w:tc>
        <w:tc>
          <w:tcPr>
            <w:tcW w:w="1435" w:type="dxa"/>
            <w:tcBorders>
              <w:top w:val="single" w:color="auto" w:sz="4" w:space="0"/>
              <w:left w:val="single" w:color="auto" w:sz="4" w:space="0"/>
              <w:bottom w:val="single" w:color="auto" w:sz="4" w:space="0"/>
              <w:right w:val="single" w:color="auto" w:sz="4" w:space="0"/>
            </w:tcBorders>
          </w:tcPr>
          <w:p w:rsidRPr="00D556CC" w:rsidR="00D556CC" w:rsidP="00D556CC" w:rsidRDefault="00D556CC" w14:paraId="09DCF4BD" w14:textId="77777777">
            <w:pPr>
              <w:rPr>
                <w:sz w:val="24"/>
                <w:szCs w:val="24"/>
              </w:rPr>
            </w:pPr>
          </w:p>
        </w:tc>
      </w:tr>
      <w:tr w:rsidRPr="00D556CC" w:rsidR="00D556CC" w:rsidTr="143C7435" w14:paraId="5EAD50D5" w14:textId="0DD0D3A3">
        <w:trPr>
          <w:trHeight w:val="13"/>
        </w:trPr>
        <w:tc>
          <w:tcPr>
            <w:tcW w:w="1830" w:type="dxa"/>
            <w:vMerge/>
            <w:vAlign w:val="center"/>
            <w:hideMark/>
          </w:tcPr>
          <w:p w:rsidRPr="000B67C2" w:rsidR="00D556CC" w:rsidP="00D556CC" w:rsidRDefault="00D556CC" w14:paraId="487C65A3" w14:textId="77777777">
            <w:pPr>
              <w:rPr>
                <w:b/>
                <w:bCs/>
                <w:sz w:val="24"/>
                <w:szCs w:val="24"/>
              </w:rPr>
            </w:pPr>
          </w:p>
        </w:tc>
        <w:tc>
          <w:tcPr>
            <w:tcW w:w="1455" w:type="dxa"/>
            <w:tcBorders>
              <w:top w:val="single" w:color="auto" w:sz="4" w:space="0"/>
              <w:left w:val="single" w:color="auto" w:sz="4" w:space="0"/>
              <w:bottom w:val="single" w:color="auto" w:sz="4" w:space="0"/>
              <w:right w:val="single" w:color="auto" w:sz="4" w:space="0"/>
            </w:tcBorders>
            <w:hideMark/>
          </w:tcPr>
          <w:p w:rsidRPr="000B67C2" w:rsidR="00D556CC" w:rsidP="00D556CC" w:rsidRDefault="00D556CC" w14:paraId="6753F6EE" w14:textId="77777777">
            <w:pPr>
              <w:rPr>
                <w:b/>
                <w:bCs/>
                <w:sz w:val="24"/>
                <w:szCs w:val="24"/>
              </w:rPr>
            </w:pPr>
            <w:r w:rsidRPr="000B67C2">
              <w:rPr>
                <w:b/>
                <w:bCs/>
                <w:sz w:val="24"/>
                <w:szCs w:val="24"/>
              </w:rPr>
              <w:t>Local Rates</w:t>
            </w:r>
          </w:p>
        </w:tc>
        <w:tc>
          <w:tcPr>
            <w:tcW w:w="1560" w:type="dxa"/>
            <w:tcBorders>
              <w:top w:val="single" w:color="auto" w:sz="4" w:space="0"/>
              <w:left w:val="single" w:color="auto" w:sz="4" w:space="0"/>
              <w:bottom w:val="single" w:color="auto" w:sz="4" w:space="0"/>
              <w:right w:val="single" w:color="auto" w:sz="4" w:space="0"/>
            </w:tcBorders>
          </w:tcPr>
          <w:p w:rsidRPr="000B67C2" w:rsidR="00D556CC" w:rsidP="00D556CC" w:rsidRDefault="00D556CC" w14:paraId="1B34E4B3" w14:textId="77777777">
            <w:pPr>
              <w:rPr>
                <w:sz w:val="24"/>
                <w:szCs w:val="24"/>
              </w:rPr>
            </w:pPr>
          </w:p>
        </w:tc>
        <w:tc>
          <w:tcPr>
            <w:tcW w:w="3070" w:type="dxa"/>
            <w:tcBorders>
              <w:top w:val="single" w:color="auto" w:sz="4" w:space="0"/>
              <w:left w:val="single" w:color="auto" w:sz="4" w:space="0"/>
              <w:bottom w:val="single" w:color="auto" w:sz="4" w:space="0"/>
              <w:right w:val="single" w:color="auto" w:sz="4" w:space="0"/>
            </w:tcBorders>
          </w:tcPr>
          <w:p w:rsidRPr="000B67C2" w:rsidR="00D556CC" w:rsidP="00D556CC" w:rsidRDefault="00D556CC" w14:paraId="57367181" w14:textId="77777777">
            <w:pPr>
              <w:rPr>
                <w:sz w:val="24"/>
                <w:szCs w:val="24"/>
              </w:rPr>
            </w:pPr>
          </w:p>
        </w:tc>
        <w:tc>
          <w:tcPr>
            <w:tcW w:w="1435" w:type="dxa"/>
            <w:tcBorders>
              <w:top w:val="single" w:color="auto" w:sz="4" w:space="0"/>
              <w:left w:val="single" w:color="auto" w:sz="4" w:space="0"/>
              <w:bottom w:val="single" w:color="auto" w:sz="4" w:space="0"/>
              <w:right w:val="single" w:color="auto" w:sz="4" w:space="0"/>
            </w:tcBorders>
          </w:tcPr>
          <w:p w:rsidRPr="00D556CC" w:rsidR="00D556CC" w:rsidP="00D556CC" w:rsidRDefault="00D556CC" w14:paraId="1F53CAD7" w14:textId="77777777">
            <w:pPr>
              <w:rPr>
                <w:sz w:val="24"/>
                <w:szCs w:val="24"/>
              </w:rPr>
            </w:pPr>
          </w:p>
        </w:tc>
      </w:tr>
    </w:tbl>
    <w:p w:rsidRPr="00D556CC" w:rsidR="00D556CC" w:rsidP="00D556CC" w:rsidRDefault="00D556CC" w14:paraId="11E5FB94" w14:textId="77777777">
      <w:pPr>
        <w:spacing w:after="0" w:line="256" w:lineRule="auto"/>
        <w:rPr>
          <w:rFonts w:ascii="Calibri" w:hAnsi="Calibri" w:eastAsia="Calibri" w:cs="Times New Roman"/>
          <w:b/>
          <w:bCs/>
          <w:sz w:val="24"/>
          <w:szCs w:val="24"/>
        </w:rPr>
      </w:pPr>
    </w:p>
    <w:p w:rsidRPr="00D556CC" w:rsidR="000B67C2" w:rsidP="00D556CC" w:rsidRDefault="000B67C2" w14:paraId="3A02D598" w14:textId="6EC4E083">
      <w:pPr>
        <w:spacing w:after="0" w:line="256" w:lineRule="auto"/>
        <w:rPr>
          <w:rFonts w:ascii="Calibri" w:hAnsi="Calibri" w:eastAsia="Calibri" w:cs="Times New Roman"/>
          <w:b/>
          <w:bCs/>
          <w:sz w:val="24"/>
          <w:szCs w:val="24"/>
        </w:rPr>
      </w:pPr>
      <w:r w:rsidRPr="000B67C2">
        <w:rPr>
          <w:rFonts w:ascii="Calibri" w:hAnsi="Calibri" w:eastAsia="Calibri" w:cs="Times New Roman"/>
          <w:b/>
          <w:bCs/>
          <w:sz w:val="24"/>
          <w:szCs w:val="24"/>
        </w:rPr>
        <w:t>O</w:t>
      </w:r>
      <w:r w:rsidRPr="00D556CC" w:rsidR="00D556CC">
        <w:rPr>
          <w:rFonts w:ascii="Calibri" w:hAnsi="Calibri" w:eastAsia="Calibri" w:cs="Times New Roman"/>
          <w:b/>
          <w:bCs/>
          <w:sz w:val="24"/>
          <w:szCs w:val="24"/>
        </w:rPr>
        <w:t>R</w:t>
      </w:r>
    </w:p>
    <w:p w:rsidRPr="000B67C2" w:rsidR="00D556CC" w:rsidP="00D556CC" w:rsidRDefault="00D556CC" w14:paraId="043134D7" w14:textId="77777777">
      <w:pPr>
        <w:spacing w:after="0" w:line="256" w:lineRule="auto"/>
        <w:rPr>
          <w:rFonts w:ascii="Calibri" w:hAnsi="Calibri" w:eastAsia="Calibri" w:cs="Times New Roman"/>
          <w:b/>
          <w:bCs/>
          <w:sz w:val="24"/>
          <w:szCs w:val="24"/>
        </w:rPr>
      </w:pPr>
    </w:p>
    <w:tbl>
      <w:tblPr>
        <w:tblStyle w:val="TableGrid1"/>
        <w:tblW w:w="9350" w:type="dxa"/>
        <w:tblInd w:w="0" w:type="dxa"/>
        <w:tblLook w:val="04A0" w:firstRow="1" w:lastRow="0" w:firstColumn="1" w:lastColumn="0" w:noHBand="0" w:noVBand="1"/>
      </w:tblPr>
      <w:tblGrid>
        <w:gridCol w:w="1845"/>
        <w:gridCol w:w="1440"/>
        <w:gridCol w:w="1590"/>
        <w:gridCol w:w="3040"/>
        <w:gridCol w:w="1435"/>
      </w:tblGrid>
      <w:tr w:rsidRPr="00D556CC" w:rsidR="00D556CC" w:rsidTr="52223881" w14:paraId="70D71B7C" w14:textId="554EF2F1">
        <w:trPr>
          <w:trHeight w:val="13"/>
        </w:trPr>
        <w:tc>
          <w:tcPr>
            <w:tcW w:w="1845" w:type="dxa"/>
            <w:vMerge w:val="restart"/>
            <w:tcBorders>
              <w:top w:val="single" w:color="auto" w:sz="4" w:space="0"/>
              <w:left w:val="single" w:color="auto" w:sz="4" w:space="0"/>
              <w:bottom w:val="single" w:color="auto" w:sz="4" w:space="0"/>
              <w:right w:val="single" w:color="auto" w:sz="4" w:space="0"/>
            </w:tcBorders>
            <w:tcMar/>
            <w:vAlign w:val="center"/>
            <w:hideMark/>
          </w:tcPr>
          <w:p w:rsidRPr="000B67C2" w:rsidR="00D556CC" w:rsidP="00FA27D7" w:rsidRDefault="00D556CC" w14:paraId="19C8F65F" w14:textId="77777777">
            <w:pPr>
              <w:rPr>
                <w:b/>
                <w:bCs/>
                <w:sz w:val="24"/>
                <w:szCs w:val="24"/>
              </w:rPr>
            </w:pPr>
            <w:r w:rsidRPr="000B67C2">
              <w:rPr>
                <w:b/>
                <w:bCs/>
                <w:sz w:val="24"/>
                <w:szCs w:val="24"/>
              </w:rPr>
              <w:t>Meth-</w:t>
            </w:r>
          </w:p>
          <w:p w:rsidRPr="000B67C2" w:rsidR="00D556CC" w:rsidP="00FA27D7" w:rsidRDefault="00D556CC" w14:paraId="4DA05F4C" w14:textId="2D95644F">
            <w:pPr>
              <w:rPr>
                <w:b w:val="1"/>
                <w:bCs w:val="1"/>
                <w:sz w:val="24"/>
                <w:szCs w:val="24"/>
              </w:rPr>
            </w:pPr>
            <w:r w:rsidRPr="52223881" w:rsidR="00D556CC">
              <w:rPr>
                <w:b w:val="1"/>
                <w:bCs w:val="1"/>
                <w:sz w:val="24"/>
                <w:szCs w:val="24"/>
              </w:rPr>
              <w:t>amphetamine</w:t>
            </w:r>
          </w:p>
        </w:tc>
        <w:tc>
          <w:tcPr>
            <w:tcW w:w="1440" w:type="dxa"/>
            <w:tcBorders>
              <w:top w:val="single" w:color="auto" w:sz="4" w:space="0"/>
              <w:left w:val="single" w:color="auto" w:sz="4" w:space="0"/>
              <w:bottom w:val="single" w:color="auto" w:sz="4" w:space="0"/>
              <w:right w:val="single" w:color="auto" w:sz="4" w:space="0"/>
            </w:tcBorders>
            <w:tcMar/>
          </w:tcPr>
          <w:p w:rsidRPr="000B67C2" w:rsidR="00D556CC" w:rsidP="00D556CC" w:rsidRDefault="00D556CC" w14:paraId="1C74B6B6" w14:textId="77777777">
            <w:pPr>
              <w:rPr>
                <w:sz w:val="24"/>
                <w:szCs w:val="24"/>
              </w:rPr>
            </w:pPr>
          </w:p>
        </w:tc>
        <w:tc>
          <w:tcPr>
            <w:tcW w:w="1590" w:type="dxa"/>
            <w:tcBorders>
              <w:top w:val="single" w:color="auto" w:sz="4" w:space="0"/>
              <w:left w:val="single" w:color="auto" w:sz="4" w:space="0"/>
              <w:bottom w:val="single" w:color="auto" w:sz="4" w:space="0"/>
              <w:right w:val="single" w:color="auto" w:sz="4" w:space="0"/>
            </w:tcBorders>
            <w:tcMar/>
            <w:hideMark/>
          </w:tcPr>
          <w:p w:rsidRPr="000B67C2" w:rsidR="00D556CC" w:rsidP="00D556CC" w:rsidRDefault="00D556CC" w14:paraId="44921E43" w14:textId="05AB556D">
            <w:pPr>
              <w:rPr>
                <w:b/>
                <w:bCs/>
                <w:sz w:val="24"/>
                <w:szCs w:val="24"/>
              </w:rPr>
            </w:pPr>
            <w:r w:rsidRPr="000B67C2">
              <w:rPr>
                <w:b/>
                <w:bCs/>
                <w:sz w:val="24"/>
                <w:szCs w:val="24"/>
              </w:rPr>
              <w:t xml:space="preserve">Rates of </w:t>
            </w:r>
            <w:r w:rsidR="00FA27D7">
              <w:rPr>
                <w:b/>
                <w:bCs/>
                <w:sz w:val="24"/>
                <w:szCs w:val="24"/>
              </w:rPr>
              <w:t>U</w:t>
            </w:r>
            <w:r w:rsidRPr="000B67C2">
              <w:rPr>
                <w:b/>
                <w:bCs/>
                <w:sz w:val="24"/>
                <w:szCs w:val="24"/>
              </w:rPr>
              <w:t>se</w:t>
            </w:r>
          </w:p>
        </w:tc>
        <w:tc>
          <w:tcPr>
            <w:tcW w:w="3040" w:type="dxa"/>
            <w:tcBorders>
              <w:top w:val="single" w:color="auto" w:sz="4" w:space="0"/>
              <w:left w:val="single" w:color="auto" w:sz="4" w:space="0"/>
              <w:bottom w:val="single" w:color="auto" w:sz="4" w:space="0"/>
              <w:right w:val="single" w:color="auto" w:sz="4" w:space="0"/>
            </w:tcBorders>
            <w:tcMar/>
            <w:hideMark/>
          </w:tcPr>
          <w:p w:rsidRPr="000B67C2" w:rsidR="00D556CC" w:rsidP="00D556CC" w:rsidRDefault="00D556CC" w14:paraId="349FC862" w14:textId="77777777">
            <w:pPr>
              <w:rPr>
                <w:b/>
                <w:bCs/>
                <w:sz w:val="24"/>
                <w:szCs w:val="24"/>
              </w:rPr>
            </w:pPr>
            <w:r w:rsidRPr="000B67C2">
              <w:rPr>
                <w:b/>
                <w:bCs/>
                <w:sz w:val="24"/>
                <w:szCs w:val="24"/>
              </w:rPr>
              <w:t>Source of Data</w:t>
            </w:r>
          </w:p>
        </w:tc>
        <w:tc>
          <w:tcPr>
            <w:tcW w:w="1435" w:type="dxa"/>
            <w:tcBorders>
              <w:top w:val="single" w:color="auto" w:sz="4" w:space="0"/>
              <w:left w:val="single" w:color="auto" w:sz="4" w:space="0"/>
              <w:bottom w:val="single" w:color="auto" w:sz="4" w:space="0"/>
              <w:right w:val="single" w:color="auto" w:sz="4" w:space="0"/>
            </w:tcBorders>
            <w:tcMar/>
          </w:tcPr>
          <w:p w:rsidRPr="00D556CC" w:rsidR="00D556CC" w:rsidP="00D556CC" w:rsidRDefault="00D556CC" w14:paraId="50CAE895" w14:textId="41D3886C">
            <w:pPr>
              <w:rPr>
                <w:b/>
                <w:bCs/>
                <w:sz w:val="24"/>
                <w:szCs w:val="24"/>
              </w:rPr>
            </w:pPr>
            <w:r w:rsidRPr="00D556CC">
              <w:rPr>
                <w:b/>
                <w:bCs/>
                <w:sz w:val="24"/>
                <w:szCs w:val="24"/>
              </w:rPr>
              <w:t>Year</w:t>
            </w:r>
          </w:p>
        </w:tc>
      </w:tr>
      <w:tr w:rsidRPr="00D556CC" w:rsidR="00D556CC" w:rsidTr="52223881" w14:paraId="4EF3734F" w14:textId="1C43D605">
        <w:trPr>
          <w:trHeight w:val="13"/>
        </w:trPr>
        <w:tc>
          <w:tcPr>
            <w:tcW w:w="1845" w:type="dxa"/>
            <w:vMerge/>
            <w:tcMar/>
            <w:vAlign w:val="center"/>
            <w:hideMark/>
          </w:tcPr>
          <w:p w:rsidRPr="000B67C2" w:rsidR="00D556CC" w:rsidP="00D556CC" w:rsidRDefault="00D556CC" w14:paraId="0746539E" w14:textId="77777777">
            <w:pPr>
              <w:rPr>
                <w:b/>
                <w:bCs/>
                <w:sz w:val="24"/>
                <w:szCs w:val="24"/>
              </w:rPr>
            </w:pPr>
          </w:p>
        </w:tc>
        <w:tc>
          <w:tcPr>
            <w:tcW w:w="1440" w:type="dxa"/>
            <w:tcBorders>
              <w:top w:val="single" w:color="auto" w:sz="4" w:space="0"/>
              <w:left w:val="single" w:color="auto" w:sz="4" w:space="0"/>
              <w:bottom w:val="single" w:color="auto" w:sz="4" w:space="0"/>
              <w:right w:val="single" w:color="auto" w:sz="4" w:space="0"/>
            </w:tcBorders>
            <w:tcMar/>
            <w:hideMark/>
          </w:tcPr>
          <w:p w:rsidRPr="000B67C2" w:rsidR="00D556CC" w:rsidP="00D556CC" w:rsidRDefault="00D556CC" w14:paraId="300299B5" w14:textId="77777777">
            <w:pPr>
              <w:rPr>
                <w:b/>
                <w:bCs/>
                <w:sz w:val="24"/>
                <w:szCs w:val="24"/>
              </w:rPr>
            </w:pPr>
            <w:r w:rsidRPr="000B67C2">
              <w:rPr>
                <w:b/>
                <w:bCs/>
                <w:sz w:val="24"/>
                <w:szCs w:val="24"/>
              </w:rPr>
              <w:t>National Rates</w:t>
            </w:r>
          </w:p>
        </w:tc>
        <w:tc>
          <w:tcPr>
            <w:tcW w:w="1590" w:type="dxa"/>
            <w:tcBorders>
              <w:top w:val="single" w:color="auto" w:sz="4" w:space="0"/>
              <w:left w:val="single" w:color="auto" w:sz="4" w:space="0"/>
              <w:bottom w:val="single" w:color="auto" w:sz="4" w:space="0"/>
              <w:right w:val="single" w:color="auto" w:sz="4" w:space="0"/>
            </w:tcBorders>
            <w:tcMar/>
          </w:tcPr>
          <w:p w:rsidRPr="000B67C2" w:rsidR="00D556CC" w:rsidP="00D556CC" w:rsidRDefault="00D556CC" w14:paraId="6ECF8F44" w14:textId="77777777">
            <w:pPr>
              <w:rPr>
                <w:sz w:val="24"/>
                <w:szCs w:val="24"/>
              </w:rPr>
            </w:pPr>
          </w:p>
        </w:tc>
        <w:tc>
          <w:tcPr>
            <w:tcW w:w="3040" w:type="dxa"/>
            <w:tcBorders>
              <w:top w:val="single" w:color="auto" w:sz="4" w:space="0"/>
              <w:left w:val="single" w:color="auto" w:sz="4" w:space="0"/>
              <w:bottom w:val="single" w:color="auto" w:sz="4" w:space="0"/>
              <w:right w:val="single" w:color="auto" w:sz="4" w:space="0"/>
            </w:tcBorders>
            <w:tcMar/>
          </w:tcPr>
          <w:p w:rsidRPr="000B67C2" w:rsidR="00D556CC" w:rsidP="00D556CC" w:rsidRDefault="00D556CC" w14:paraId="2BB80DBA" w14:textId="77777777">
            <w:pPr>
              <w:rPr>
                <w:sz w:val="24"/>
                <w:szCs w:val="24"/>
              </w:rPr>
            </w:pPr>
          </w:p>
        </w:tc>
        <w:tc>
          <w:tcPr>
            <w:tcW w:w="1435" w:type="dxa"/>
            <w:tcBorders>
              <w:top w:val="single" w:color="auto" w:sz="4" w:space="0"/>
              <w:left w:val="single" w:color="auto" w:sz="4" w:space="0"/>
              <w:bottom w:val="single" w:color="auto" w:sz="4" w:space="0"/>
              <w:right w:val="single" w:color="auto" w:sz="4" w:space="0"/>
            </w:tcBorders>
            <w:tcMar/>
          </w:tcPr>
          <w:p w:rsidRPr="00D556CC" w:rsidR="00D556CC" w:rsidP="00D556CC" w:rsidRDefault="00D556CC" w14:paraId="717650C2" w14:textId="77777777">
            <w:pPr>
              <w:rPr>
                <w:sz w:val="24"/>
                <w:szCs w:val="24"/>
              </w:rPr>
            </w:pPr>
          </w:p>
        </w:tc>
      </w:tr>
      <w:tr w:rsidRPr="00D556CC" w:rsidR="00D556CC" w:rsidTr="52223881" w14:paraId="7C3188FA" w14:textId="72091EF7">
        <w:trPr>
          <w:trHeight w:val="60"/>
        </w:trPr>
        <w:tc>
          <w:tcPr>
            <w:tcW w:w="1845" w:type="dxa"/>
            <w:vMerge/>
            <w:tcMar/>
            <w:vAlign w:val="center"/>
            <w:hideMark/>
          </w:tcPr>
          <w:p w:rsidRPr="000B67C2" w:rsidR="00D556CC" w:rsidP="00D556CC" w:rsidRDefault="00D556CC" w14:paraId="6C9B7643" w14:textId="77777777">
            <w:pPr>
              <w:rPr>
                <w:b/>
                <w:bCs/>
                <w:sz w:val="24"/>
                <w:szCs w:val="24"/>
              </w:rPr>
            </w:pPr>
          </w:p>
        </w:tc>
        <w:tc>
          <w:tcPr>
            <w:tcW w:w="1440" w:type="dxa"/>
            <w:tcBorders>
              <w:top w:val="single" w:color="auto" w:sz="4" w:space="0"/>
              <w:left w:val="single" w:color="auto" w:sz="4" w:space="0"/>
              <w:bottom w:val="single" w:color="auto" w:sz="4" w:space="0"/>
              <w:right w:val="single" w:color="auto" w:sz="4" w:space="0"/>
            </w:tcBorders>
            <w:tcMar/>
            <w:hideMark/>
          </w:tcPr>
          <w:p w:rsidRPr="000B67C2" w:rsidR="00D556CC" w:rsidP="00D556CC" w:rsidRDefault="00D556CC" w14:paraId="2314DD01" w14:textId="77777777">
            <w:pPr>
              <w:rPr>
                <w:b/>
                <w:bCs/>
                <w:sz w:val="24"/>
                <w:szCs w:val="24"/>
              </w:rPr>
            </w:pPr>
            <w:r w:rsidRPr="000B67C2">
              <w:rPr>
                <w:b/>
                <w:bCs/>
                <w:sz w:val="24"/>
                <w:szCs w:val="24"/>
              </w:rPr>
              <w:t>Local Rates</w:t>
            </w:r>
          </w:p>
        </w:tc>
        <w:tc>
          <w:tcPr>
            <w:tcW w:w="1590" w:type="dxa"/>
            <w:tcBorders>
              <w:top w:val="single" w:color="auto" w:sz="4" w:space="0"/>
              <w:left w:val="single" w:color="auto" w:sz="4" w:space="0"/>
              <w:bottom w:val="single" w:color="auto" w:sz="4" w:space="0"/>
              <w:right w:val="single" w:color="auto" w:sz="4" w:space="0"/>
            </w:tcBorders>
            <w:tcMar/>
          </w:tcPr>
          <w:p w:rsidRPr="000B67C2" w:rsidR="00D556CC" w:rsidP="00D556CC" w:rsidRDefault="00D556CC" w14:paraId="726F4228" w14:textId="77777777">
            <w:pPr>
              <w:rPr>
                <w:sz w:val="24"/>
                <w:szCs w:val="24"/>
              </w:rPr>
            </w:pPr>
          </w:p>
        </w:tc>
        <w:tc>
          <w:tcPr>
            <w:tcW w:w="3040" w:type="dxa"/>
            <w:tcBorders>
              <w:top w:val="single" w:color="auto" w:sz="4" w:space="0"/>
              <w:left w:val="single" w:color="auto" w:sz="4" w:space="0"/>
              <w:bottom w:val="single" w:color="auto" w:sz="4" w:space="0"/>
              <w:right w:val="single" w:color="auto" w:sz="4" w:space="0"/>
            </w:tcBorders>
            <w:tcMar/>
          </w:tcPr>
          <w:p w:rsidRPr="000B67C2" w:rsidR="00D556CC" w:rsidP="00D556CC" w:rsidRDefault="00D556CC" w14:paraId="3149EDB8" w14:textId="77777777">
            <w:pPr>
              <w:rPr>
                <w:sz w:val="24"/>
                <w:szCs w:val="24"/>
              </w:rPr>
            </w:pPr>
          </w:p>
        </w:tc>
        <w:tc>
          <w:tcPr>
            <w:tcW w:w="1435" w:type="dxa"/>
            <w:tcBorders>
              <w:top w:val="single" w:color="auto" w:sz="4" w:space="0"/>
              <w:left w:val="single" w:color="auto" w:sz="4" w:space="0"/>
              <w:bottom w:val="single" w:color="auto" w:sz="4" w:space="0"/>
              <w:right w:val="single" w:color="auto" w:sz="4" w:space="0"/>
            </w:tcBorders>
            <w:tcMar/>
          </w:tcPr>
          <w:p w:rsidRPr="00D556CC" w:rsidR="00D556CC" w:rsidP="00D556CC" w:rsidRDefault="00D556CC" w14:paraId="62F5E4B0" w14:textId="77777777">
            <w:pPr>
              <w:rPr>
                <w:sz w:val="24"/>
                <w:szCs w:val="24"/>
              </w:rPr>
            </w:pPr>
          </w:p>
        </w:tc>
      </w:tr>
    </w:tbl>
    <w:p w:rsidRPr="00B734BA" w:rsidR="00010838" w:rsidP="143C7435" w:rsidRDefault="00010838" w14:paraId="20BC8945" w14:textId="7126DB0F">
      <w:pPr>
        <w:pStyle w:val="Default"/>
        <w:rPr>
          <w:rFonts w:eastAsia="Times New Roman" w:asciiTheme="minorHAnsi" w:hAnsiTheme="minorHAnsi" w:cstheme="minorBidi"/>
          <w:i/>
          <w:iCs/>
          <w:sz w:val="20"/>
          <w:szCs w:val="20"/>
        </w:rPr>
      </w:pPr>
    </w:p>
    <w:p w:rsidR="143C7435" w:rsidP="143C7435" w:rsidRDefault="143C7435" w14:paraId="3E0DE015" w14:textId="738243CF">
      <w:pPr>
        <w:pStyle w:val="Default"/>
        <w:rPr>
          <w:rFonts w:eastAsia="Times New Roman" w:asciiTheme="minorHAnsi" w:hAnsiTheme="minorHAnsi" w:cstheme="minorBidi"/>
        </w:rPr>
      </w:pPr>
    </w:p>
    <w:p w:rsidR="143C7435" w:rsidP="143C7435" w:rsidRDefault="143C7435" w14:paraId="2B1E5D4C" w14:textId="4B66D847">
      <w:pPr>
        <w:pStyle w:val="Default"/>
        <w:rPr>
          <w:rFonts w:eastAsia="Times New Roman" w:asciiTheme="minorHAnsi" w:hAnsiTheme="minorHAnsi" w:cstheme="minorBidi"/>
        </w:rPr>
      </w:pPr>
    </w:p>
    <w:p w:rsidR="1BFFEF12" w:rsidP="143C7435" w:rsidRDefault="1BFFEF12" w14:paraId="54BF1A03" w14:textId="631CEA96">
      <w:pPr>
        <w:pStyle w:val="Default"/>
        <w:rPr>
          <w:rFonts w:eastAsia="Times New Roman" w:asciiTheme="minorHAnsi" w:hAnsiTheme="minorHAnsi" w:cstheme="minorBidi"/>
        </w:rPr>
      </w:pPr>
      <w:r w:rsidRPr="143C7435">
        <w:rPr>
          <w:rFonts w:eastAsia="Times New Roman" w:asciiTheme="minorHAnsi" w:hAnsiTheme="minorHAnsi" w:cstheme="minorBidi"/>
        </w:rPr>
        <w:t xml:space="preserve">*For the purposes of this NOFO, applicants may demonstrate eligibility for this statutory requirement by showing that local rates of opioid and methamphetamine use are significantly higher than the most recent national estimates. Considering the results and methodological changes in the Monitoring the Future Survey and the National Survey on Drug Use and Health applicants will not be able to demonstrate rates of abuse of opioids or methamphetamines at levels that are higher than the national average over a sustained </w:t>
      </w:r>
      <w:proofErr w:type="gramStart"/>
      <w:r w:rsidRPr="143C7435">
        <w:rPr>
          <w:rFonts w:eastAsia="Times New Roman" w:asciiTheme="minorHAnsi" w:hAnsiTheme="minorHAnsi" w:cstheme="minorBidi"/>
        </w:rPr>
        <w:t>period of time</w:t>
      </w:r>
      <w:proofErr w:type="gramEnd"/>
      <w:r w:rsidRPr="143C7435">
        <w:rPr>
          <w:rFonts w:eastAsia="Times New Roman" w:asciiTheme="minorHAnsi" w:hAnsiTheme="minorHAnsi" w:cstheme="minorBidi"/>
        </w:rPr>
        <w:t xml:space="preserve">. Given this, applicants are not required to demonstrate trends over a sustained </w:t>
      </w:r>
      <w:proofErr w:type="gramStart"/>
      <w:r w:rsidRPr="143C7435">
        <w:rPr>
          <w:rFonts w:eastAsia="Times New Roman" w:asciiTheme="minorHAnsi" w:hAnsiTheme="minorHAnsi" w:cstheme="minorBidi"/>
        </w:rPr>
        <w:t>period of time</w:t>
      </w:r>
      <w:proofErr w:type="gramEnd"/>
      <w:r w:rsidRPr="143C7435">
        <w:rPr>
          <w:rFonts w:eastAsia="Times New Roman" w:asciiTheme="minorHAnsi" w:hAnsiTheme="minorHAnsi" w:cstheme="minorBidi"/>
        </w:rPr>
        <w:t>.</w:t>
      </w:r>
    </w:p>
    <w:p w:rsidRPr="00B734BA" w:rsidR="00010838" w:rsidP="00B734BA" w:rsidRDefault="00010838" w14:paraId="61FBDA6F" w14:textId="340240E7">
      <w:pPr>
        <w:pStyle w:val="Default"/>
        <w:rPr>
          <w:rFonts w:eastAsia="Times New Roman" w:asciiTheme="minorHAnsi" w:hAnsiTheme="minorHAnsi" w:cstheme="minorBidi"/>
          <w:i/>
          <w:sz w:val="20"/>
          <w:szCs w:val="20"/>
        </w:rPr>
      </w:pPr>
    </w:p>
    <w:sectPr w:rsidRPr="00B734BA" w:rsidR="00010838" w:rsidSect="005D7373">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7D54" w:rsidP="000B67C2" w:rsidRDefault="00C37D54" w14:paraId="35B9BDA9" w14:textId="77777777">
      <w:pPr>
        <w:spacing w:after="0" w:line="240" w:lineRule="auto"/>
      </w:pPr>
      <w:r>
        <w:separator/>
      </w:r>
    </w:p>
  </w:endnote>
  <w:endnote w:type="continuationSeparator" w:id="0">
    <w:p w:rsidR="00C37D54" w:rsidP="000B67C2" w:rsidRDefault="00C37D54" w14:paraId="752E8B6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B67C2" w:rsidR="000B67C2" w:rsidP="000B67C2" w:rsidRDefault="000B67C2" w14:paraId="77FC7279" w14:textId="40445DC4">
    <w:pPr>
      <w:pStyle w:val="Default"/>
      <w:rPr>
        <w:rFonts w:eastAsia="Times New Roman" w:asciiTheme="minorHAnsi" w:hAnsiTheme="minorHAnsi" w:cstheme="minorBidi"/>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7D54" w:rsidP="000B67C2" w:rsidRDefault="00C37D54" w14:paraId="4B4CDD24" w14:textId="77777777">
      <w:pPr>
        <w:spacing w:after="0" w:line="240" w:lineRule="auto"/>
      </w:pPr>
      <w:r>
        <w:separator/>
      </w:r>
    </w:p>
  </w:footnote>
  <w:footnote w:type="continuationSeparator" w:id="0">
    <w:p w:rsidR="00C37D54" w:rsidP="000B67C2" w:rsidRDefault="00C37D54" w14:paraId="696FBE0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43C7435" w:rsidTr="143C7435" w14:paraId="76688831" w14:textId="77777777">
      <w:trPr>
        <w:trHeight w:val="300"/>
      </w:trPr>
      <w:tc>
        <w:tcPr>
          <w:tcW w:w="3120" w:type="dxa"/>
        </w:tcPr>
        <w:p w:rsidR="143C7435" w:rsidP="143C7435" w:rsidRDefault="143C7435" w14:paraId="4EF54643" w14:textId="69DD5091">
          <w:pPr>
            <w:pStyle w:val="Header"/>
            <w:ind w:left="-115"/>
          </w:pPr>
        </w:p>
      </w:tc>
      <w:tc>
        <w:tcPr>
          <w:tcW w:w="3120" w:type="dxa"/>
        </w:tcPr>
        <w:p w:rsidR="143C7435" w:rsidP="143C7435" w:rsidRDefault="143C7435" w14:paraId="4D334DE7" w14:textId="3DEB47A8">
          <w:pPr>
            <w:pStyle w:val="Header"/>
            <w:jc w:val="center"/>
          </w:pPr>
        </w:p>
      </w:tc>
      <w:tc>
        <w:tcPr>
          <w:tcW w:w="3120" w:type="dxa"/>
        </w:tcPr>
        <w:p w:rsidR="143C7435" w:rsidP="143C7435" w:rsidRDefault="143C7435" w14:paraId="68295134" w14:textId="08DA6DBE">
          <w:pPr>
            <w:pStyle w:val="Header"/>
            <w:ind w:right="-115"/>
            <w:jc w:val="right"/>
          </w:pPr>
        </w:p>
      </w:tc>
    </w:tr>
  </w:tbl>
  <w:p w:rsidR="00640521" w:rsidRDefault="00640521" w14:paraId="40546223" w14:textId="233BF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7BFF"/>
    <w:multiLevelType w:val="hybridMultilevel"/>
    <w:tmpl w:val="726CFC7A"/>
    <w:lvl w:ilvl="0" w:tplc="9B50EC76">
      <w:start w:val="1"/>
      <w:numFmt w:val="bullet"/>
      <w:lvlText w:val="•"/>
      <w:lvlJc w:val="left"/>
      <w:pPr>
        <w:ind w:left="720" w:hanging="360"/>
      </w:pPr>
      <w:rPr>
        <w:rFonts w:hint="default" w:ascii="Arial" w:hAnsi="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23454868"/>
    <w:multiLevelType w:val="hybridMultilevel"/>
    <w:tmpl w:val="26DC2C46"/>
    <w:lvl w:ilvl="0" w:tplc="9B50EC76">
      <w:start w:val="1"/>
      <w:numFmt w:val="bullet"/>
      <w:lvlText w:val="•"/>
      <w:lvlJc w:val="left"/>
      <w:pPr>
        <w:ind w:left="720" w:hanging="360"/>
      </w:pPr>
      <w:rPr>
        <w:rFonts w:hint="default" w:ascii="Arial" w:hAnsi="Aria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AFD2D92"/>
    <w:multiLevelType w:val="hybridMultilevel"/>
    <w:tmpl w:val="9A9CC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3D540B"/>
    <w:multiLevelType w:val="hybridMultilevel"/>
    <w:tmpl w:val="E1A06D32"/>
    <w:lvl w:ilvl="0" w:tplc="9B50EC76">
      <w:start w:val="1"/>
      <w:numFmt w:val="bullet"/>
      <w:lvlText w:val="•"/>
      <w:lvlJc w:val="left"/>
      <w:pPr>
        <w:ind w:left="720" w:hanging="360"/>
      </w:pPr>
      <w:rPr>
        <w:rFonts w:hint="default" w:ascii="Arial" w:hAnsi="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F373B45"/>
    <w:multiLevelType w:val="hybridMultilevel"/>
    <w:tmpl w:val="5A3E7A38"/>
    <w:lvl w:ilvl="0" w:tplc="BED0D43A">
      <w:start w:val="12"/>
      <w:numFmt w:val="bullet"/>
      <w:lvlText w:val=""/>
      <w:lvlJc w:val="left"/>
      <w:pPr>
        <w:ind w:left="720" w:hanging="360"/>
      </w:pPr>
      <w:rPr>
        <w:rFonts w:hint="default" w:ascii="Symbol" w:hAnsi="Symbol" w:eastAsia="Times New Roman" w:cs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A010F41"/>
    <w:multiLevelType w:val="hybridMultilevel"/>
    <w:tmpl w:val="BB0C52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ABB4704"/>
    <w:multiLevelType w:val="hybridMultilevel"/>
    <w:tmpl w:val="2E5E260C"/>
    <w:lvl w:ilvl="0" w:tplc="9B50EC76">
      <w:start w:val="1"/>
      <w:numFmt w:val="bullet"/>
      <w:lvlText w:val="•"/>
      <w:lvlJc w:val="left"/>
      <w:pPr>
        <w:ind w:left="720" w:hanging="360"/>
      </w:pPr>
      <w:rPr>
        <w:rFonts w:hint="default" w:ascii="Arial" w:hAnsi="Aria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BC41E43"/>
    <w:multiLevelType w:val="hybridMultilevel"/>
    <w:tmpl w:val="692A0C22"/>
    <w:lvl w:ilvl="0" w:tplc="B338218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C1508E0"/>
    <w:multiLevelType w:val="hybridMultilevel"/>
    <w:tmpl w:val="047A1556"/>
    <w:lvl w:ilvl="0" w:tplc="9B50EC76">
      <w:start w:val="1"/>
      <w:numFmt w:val="bullet"/>
      <w:lvlText w:val="•"/>
      <w:lvlJc w:val="left"/>
      <w:pPr>
        <w:ind w:left="720" w:hanging="360"/>
      </w:pPr>
      <w:rPr>
        <w:rFonts w:hint="default" w:ascii="Arial" w:hAnsi="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348919571">
    <w:abstractNumId w:val="2"/>
  </w:num>
  <w:num w:numId="2" w16cid:durableId="912543364">
    <w:abstractNumId w:val="7"/>
  </w:num>
  <w:num w:numId="3" w16cid:durableId="982655881">
    <w:abstractNumId w:val="8"/>
  </w:num>
  <w:num w:numId="4" w16cid:durableId="47922963">
    <w:abstractNumId w:val="6"/>
  </w:num>
  <w:num w:numId="5" w16cid:durableId="1386564553">
    <w:abstractNumId w:val="1"/>
  </w:num>
  <w:num w:numId="6" w16cid:durableId="768308443">
    <w:abstractNumId w:val="3"/>
  </w:num>
  <w:num w:numId="7" w16cid:durableId="1449550239">
    <w:abstractNumId w:val="5"/>
  </w:num>
  <w:num w:numId="8" w16cid:durableId="983239194">
    <w:abstractNumId w:val="0"/>
  </w:num>
  <w:num w:numId="9" w16cid:durableId="821193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F2E"/>
    <w:rsid w:val="0000668D"/>
    <w:rsid w:val="00010838"/>
    <w:rsid w:val="00020280"/>
    <w:rsid w:val="000243E9"/>
    <w:rsid w:val="0003690E"/>
    <w:rsid w:val="00056190"/>
    <w:rsid w:val="00074AE2"/>
    <w:rsid w:val="00082A58"/>
    <w:rsid w:val="000946BC"/>
    <w:rsid w:val="000A2BE3"/>
    <w:rsid w:val="000B67C2"/>
    <w:rsid w:val="000C1254"/>
    <w:rsid w:val="000F5ADB"/>
    <w:rsid w:val="001157C7"/>
    <w:rsid w:val="00120774"/>
    <w:rsid w:val="00135139"/>
    <w:rsid w:val="001452AF"/>
    <w:rsid w:val="00145DA8"/>
    <w:rsid w:val="00161880"/>
    <w:rsid w:val="0016673E"/>
    <w:rsid w:val="00184B99"/>
    <w:rsid w:val="00194E8B"/>
    <w:rsid w:val="00196B12"/>
    <w:rsid w:val="001B4CA2"/>
    <w:rsid w:val="001D65A5"/>
    <w:rsid w:val="001E3F74"/>
    <w:rsid w:val="001E40AF"/>
    <w:rsid w:val="001F0E81"/>
    <w:rsid w:val="001F3634"/>
    <w:rsid w:val="00213BCB"/>
    <w:rsid w:val="00221257"/>
    <w:rsid w:val="00236BF4"/>
    <w:rsid w:val="00243492"/>
    <w:rsid w:val="00244F7A"/>
    <w:rsid w:val="00262148"/>
    <w:rsid w:val="00276000"/>
    <w:rsid w:val="002808DA"/>
    <w:rsid w:val="00285AEF"/>
    <w:rsid w:val="002900A6"/>
    <w:rsid w:val="002A25B8"/>
    <w:rsid w:val="002B1937"/>
    <w:rsid w:val="002B35DC"/>
    <w:rsid w:val="002B6096"/>
    <w:rsid w:val="002C35D2"/>
    <w:rsid w:val="002F36F8"/>
    <w:rsid w:val="00311214"/>
    <w:rsid w:val="003179DF"/>
    <w:rsid w:val="00321D57"/>
    <w:rsid w:val="00322CBB"/>
    <w:rsid w:val="00332049"/>
    <w:rsid w:val="003373BE"/>
    <w:rsid w:val="00340976"/>
    <w:rsid w:val="00365DAA"/>
    <w:rsid w:val="0036745F"/>
    <w:rsid w:val="00370843"/>
    <w:rsid w:val="00370876"/>
    <w:rsid w:val="003754AF"/>
    <w:rsid w:val="00395274"/>
    <w:rsid w:val="003A4CAE"/>
    <w:rsid w:val="003B10B6"/>
    <w:rsid w:val="003B5530"/>
    <w:rsid w:val="003C1267"/>
    <w:rsid w:val="003C6408"/>
    <w:rsid w:val="003D6AEB"/>
    <w:rsid w:val="003E7B4E"/>
    <w:rsid w:val="003F77E4"/>
    <w:rsid w:val="00400882"/>
    <w:rsid w:val="00403197"/>
    <w:rsid w:val="00421F90"/>
    <w:rsid w:val="00423BA6"/>
    <w:rsid w:val="00434C86"/>
    <w:rsid w:val="004402EE"/>
    <w:rsid w:val="0044699E"/>
    <w:rsid w:val="00460AD4"/>
    <w:rsid w:val="004622F9"/>
    <w:rsid w:val="00466D79"/>
    <w:rsid w:val="00467240"/>
    <w:rsid w:val="004673DF"/>
    <w:rsid w:val="0047135B"/>
    <w:rsid w:val="00471985"/>
    <w:rsid w:val="00471E50"/>
    <w:rsid w:val="00475ECE"/>
    <w:rsid w:val="00480E97"/>
    <w:rsid w:val="0048106A"/>
    <w:rsid w:val="00487DFD"/>
    <w:rsid w:val="004A2CD0"/>
    <w:rsid w:val="004B6BA7"/>
    <w:rsid w:val="004B6EF5"/>
    <w:rsid w:val="004C0A97"/>
    <w:rsid w:val="004D2236"/>
    <w:rsid w:val="005038C2"/>
    <w:rsid w:val="00505C28"/>
    <w:rsid w:val="00510BB5"/>
    <w:rsid w:val="00517A2A"/>
    <w:rsid w:val="00522710"/>
    <w:rsid w:val="005234CE"/>
    <w:rsid w:val="00527469"/>
    <w:rsid w:val="0053021E"/>
    <w:rsid w:val="00534015"/>
    <w:rsid w:val="00534EB4"/>
    <w:rsid w:val="00536093"/>
    <w:rsid w:val="00551D97"/>
    <w:rsid w:val="0055428E"/>
    <w:rsid w:val="00557C09"/>
    <w:rsid w:val="005717D8"/>
    <w:rsid w:val="005768CF"/>
    <w:rsid w:val="00592C15"/>
    <w:rsid w:val="005A4CF7"/>
    <w:rsid w:val="005B0905"/>
    <w:rsid w:val="005D7373"/>
    <w:rsid w:val="005D79F5"/>
    <w:rsid w:val="006059BC"/>
    <w:rsid w:val="00613822"/>
    <w:rsid w:val="00621C7F"/>
    <w:rsid w:val="00622505"/>
    <w:rsid w:val="00626E3E"/>
    <w:rsid w:val="00640521"/>
    <w:rsid w:val="006424C2"/>
    <w:rsid w:val="00662684"/>
    <w:rsid w:val="00677DCB"/>
    <w:rsid w:val="00685175"/>
    <w:rsid w:val="0068610C"/>
    <w:rsid w:val="0069047C"/>
    <w:rsid w:val="00691DE1"/>
    <w:rsid w:val="006A63FF"/>
    <w:rsid w:val="006B2774"/>
    <w:rsid w:val="006D7701"/>
    <w:rsid w:val="006E6EB6"/>
    <w:rsid w:val="006F5E45"/>
    <w:rsid w:val="007103BF"/>
    <w:rsid w:val="00720BAF"/>
    <w:rsid w:val="00726B5D"/>
    <w:rsid w:val="00730F9D"/>
    <w:rsid w:val="00740630"/>
    <w:rsid w:val="0074212A"/>
    <w:rsid w:val="007679EF"/>
    <w:rsid w:val="0079214C"/>
    <w:rsid w:val="007A3F49"/>
    <w:rsid w:val="007C6E7E"/>
    <w:rsid w:val="007E1722"/>
    <w:rsid w:val="007F2490"/>
    <w:rsid w:val="008004A1"/>
    <w:rsid w:val="00807DB3"/>
    <w:rsid w:val="008132DA"/>
    <w:rsid w:val="00820CAB"/>
    <w:rsid w:val="008304E7"/>
    <w:rsid w:val="008321AA"/>
    <w:rsid w:val="0085114E"/>
    <w:rsid w:val="0086789C"/>
    <w:rsid w:val="0087477C"/>
    <w:rsid w:val="00877D3D"/>
    <w:rsid w:val="0088064D"/>
    <w:rsid w:val="008822E6"/>
    <w:rsid w:val="00884E83"/>
    <w:rsid w:val="00887DF5"/>
    <w:rsid w:val="008C0051"/>
    <w:rsid w:val="008F6CF3"/>
    <w:rsid w:val="008F756E"/>
    <w:rsid w:val="00904B04"/>
    <w:rsid w:val="009223F0"/>
    <w:rsid w:val="009252E4"/>
    <w:rsid w:val="00932BF6"/>
    <w:rsid w:val="00940B47"/>
    <w:rsid w:val="009523D2"/>
    <w:rsid w:val="00982819"/>
    <w:rsid w:val="00987754"/>
    <w:rsid w:val="009911AC"/>
    <w:rsid w:val="00994CFD"/>
    <w:rsid w:val="009A6B63"/>
    <w:rsid w:val="009C3319"/>
    <w:rsid w:val="009C498E"/>
    <w:rsid w:val="009F417F"/>
    <w:rsid w:val="00A00045"/>
    <w:rsid w:val="00A00F7E"/>
    <w:rsid w:val="00A037B3"/>
    <w:rsid w:val="00A06C77"/>
    <w:rsid w:val="00A07F0F"/>
    <w:rsid w:val="00A113E0"/>
    <w:rsid w:val="00A12551"/>
    <w:rsid w:val="00A167B8"/>
    <w:rsid w:val="00A20D16"/>
    <w:rsid w:val="00A2575C"/>
    <w:rsid w:val="00A5460E"/>
    <w:rsid w:val="00A6254C"/>
    <w:rsid w:val="00A675A5"/>
    <w:rsid w:val="00A84289"/>
    <w:rsid w:val="00A87355"/>
    <w:rsid w:val="00AB5257"/>
    <w:rsid w:val="00AC7CAD"/>
    <w:rsid w:val="00AE1DBF"/>
    <w:rsid w:val="00AF018C"/>
    <w:rsid w:val="00AF1415"/>
    <w:rsid w:val="00B302E4"/>
    <w:rsid w:val="00B31434"/>
    <w:rsid w:val="00B50456"/>
    <w:rsid w:val="00B734BA"/>
    <w:rsid w:val="00BA0EA7"/>
    <w:rsid w:val="00BA2CDE"/>
    <w:rsid w:val="00BA393D"/>
    <w:rsid w:val="00BB6F85"/>
    <w:rsid w:val="00BD24DF"/>
    <w:rsid w:val="00BD76C9"/>
    <w:rsid w:val="00BE0348"/>
    <w:rsid w:val="00BF4657"/>
    <w:rsid w:val="00C2575F"/>
    <w:rsid w:val="00C302B4"/>
    <w:rsid w:val="00C32260"/>
    <w:rsid w:val="00C37D54"/>
    <w:rsid w:val="00C43FF5"/>
    <w:rsid w:val="00C47E10"/>
    <w:rsid w:val="00C57DD0"/>
    <w:rsid w:val="00C831AF"/>
    <w:rsid w:val="00C839E0"/>
    <w:rsid w:val="00C83B89"/>
    <w:rsid w:val="00CA793A"/>
    <w:rsid w:val="00CB5461"/>
    <w:rsid w:val="00CB7EDD"/>
    <w:rsid w:val="00CC2E48"/>
    <w:rsid w:val="00CD540A"/>
    <w:rsid w:val="00CE280A"/>
    <w:rsid w:val="00CE3EE1"/>
    <w:rsid w:val="00D03BC0"/>
    <w:rsid w:val="00D11283"/>
    <w:rsid w:val="00D149A2"/>
    <w:rsid w:val="00D159D4"/>
    <w:rsid w:val="00D23CC9"/>
    <w:rsid w:val="00D3280A"/>
    <w:rsid w:val="00D441A4"/>
    <w:rsid w:val="00D54D7C"/>
    <w:rsid w:val="00D556CC"/>
    <w:rsid w:val="00D75B42"/>
    <w:rsid w:val="00D95B07"/>
    <w:rsid w:val="00DA0E34"/>
    <w:rsid w:val="00DA2ECD"/>
    <w:rsid w:val="00DB6457"/>
    <w:rsid w:val="00DD15FF"/>
    <w:rsid w:val="00DF1F5E"/>
    <w:rsid w:val="00DF418D"/>
    <w:rsid w:val="00E038C2"/>
    <w:rsid w:val="00E03C37"/>
    <w:rsid w:val="00E11524"/>
    <w:rsid w:val="00E13C40"/>
    <w:rsid w:val="00E14FBE"/>
    <w:rsid w:val="00E34FE3"/>
    <w:rsid w:val="00E5424B"/>
    <w:rsid w:val="00E7201F"/>
    <w:rsid w:val="00E80B28"/>
    <w:rsid w:val="00E844D1"/>
    <w:rsid w:val="00E91DD9"/>
    <w:rsid w:val="00EA054C"/>
    <w:rsid w:val="00EA62BC"/>
    <w:rsid w:val="00EC0F2E"/>
    <w:rsid w:val="00EC32A1"/>
    <w:rsid w:val="00EC43EA"/>
    <w:rsid w:val="00EC4C71"/>
    <w:rsid w:val="00ED75A0"/>
    <w:rsid w:val="00EE4FE3"/>
    <w:rsid w:val="00F01887"/>
    <w:rsid w:val="00F053FA"/>
    <w:rsid w:val="00F234F1"/>
    <w:rsid w:val="00F35B93"/>
    <w:rsid w:val="00F35F3F"/>
    <w:rsid w:val="00F36ED3"/>
    <w:rsid w:val="00F8016D"/>
    <w:rsid w:val="00F807AF"/>
    <w:rsid w:val="00F943B0"/>
    <w:rsid w:val="00FA27D7"/>
    <w:rsid w:val="00FC0733"/>
    <w:rsid w:val="00FE5F9D"/>
    <w:rsid w:val="00FF5DDE"/>
    <w:rsid w:val="0315E3EA"/>
    <w:rsid w:val="03B5BEFC"/>
    <w:rsid w:val="0590A6F2"/>
    <w:rsid w:val="06162092"/>
    <w:rsid w:val="063F1A6F"/>
    <w:rsid w:val="06757336"/>
    <w:rsid w:val="0855C7E6"/>
    <w:rsid w:val="0B05ACBC"/>
    <w:rsid w:val="0DCF1E47"/>
    <w:rsid w:val="0EE6F5A5"/>
    <w:rsid w:val="0F03EB8D"/>
    <w:rsid w:val="0FE2149C"/>
    <w:rsid w:val="1194019B"/>
    <w:rsid w:val="11DB9758"/>
    <w:rsid w:val="11E328A5"/>
    <w:rsid w:val="12C7E63E"/>
    <w:rsid w:val="143C7435"/>
    <w:rsid w:val="144CD329"/>
    <w:rsid w:val="161D6EA8"/>
    <w:rsid w:val="16BF2914"/>
    <w:rsid w:val="1779B37E"/>
    <w:rsid w:val="17D783CD"/>
    <w:rsid w:val="1A37500B"/>
    <w:rsid w:val="1AD95308"/>
    <w:rsid w:val="1B0EC992"/>
    <w:rsid w:val="1B1C57FC"/>
    <w:rsid w:val="1BFFEF12"/>
    <w:rsid w:val="1C6850BC"/>
    <w:rsid w:val="1D06F2F8"/>
    <w:rsid w:val="1DE05D4B"/>
    <w:rsid w:val="1F757A9E"/>
    <w:rsid w:val="1FA676B3"/>
    <w:rsid w:val="20E3DD06"/>
    <w:rsid w:val="20E3FED6"/>
    <w:rsid w:val="228645FD"/>
    <w:rsid w:val="23513019"/>
    <w:rsid w:val="23D659A8"/>
    <w:rsid w:val="24D2CEF8"/>
    <w:rsid w:val="251BEF32"/>
    <w:rsid w:val="264AE8CD"/>
    <w:rsid w:val="26767716"/>
    <w:rsid w:val="268E322E"/>
    <w:rsid w:val="271A3253"/>
    <w:rsid w:val="28B3D388"/>
    <w:rsid w:val="2C5A88CE"/>
    <w:rsid w:val="2EF6D5DA"/>
    <w:rsid w:val="31124523"/>
    <w:rsid w:val="335C191A"/>
    <w:rsid w:val="3375B026"/>
    <w:rsid w:val="342D75F9"/>
    <w:rsid w:val="34D9CB9D"/>
    <w:rsid w:val="34F557A3"/>
    <w:rsid w:val="352B404E"/>
    <w:rsid w:val="37A49439"/>
    <w:rsid w:val="382EEA62"/>
    <w:rsid w:val="3B341B7B"/>
    <w:rsid w:val="3B5451FB"/>
    <w:rsid w:val="3D7E63F1"/>
    <w:rsid w:val="3EF6FD12"/>
    <w:rsid w:val="430E67B6"/>
    <w:rsid w:val="433D7E50"/>
    <w:rsid w:val="436FD64A"/>
    <w:rsid w:val="445039C8"/>
    <w:rsid w:val="45B2F442"/>
    <w:rsid w:val="46BB4ADC"/>
    <w:rsid w:val="47A0496A"/>
    <w:rsid w:val="47A374AC"/>
    <w:rsid w:val="48AD8152"/>
    <w:rsid w:val="494FC046"/>
    <w:rsid w:val="495FB341"/>
    <w:rsid w:val="4B5414F3"/>
    <w:rsid w:val="4BEE169B"/>
    <w:rsid w:val="4D430D46"/>
    <w:rsid w:val="4D7259CB"/>
    <w:rsid w:val="4D8F5301"/>
    <w:rsid w:val="4ED389AA"/>
    <w:rsid w:val="4F67B09A"/>
    <w:rsid w:val="4F97D315"/>
    <w:rsid w:val="52223881"/>
    <w:rsid w:val="5238629C"/>
    <w:rsid w:val="524F4ECB"/>
    <w:rsid w:val="52D410EB"/>
    <w:rsid w:val="52D76855"/>
    <w:rsid w:val="53AC9AD2"/>
    <w:rsid w:val="5457C1A4"/>
    <w:rsid w:val="556B0DCC"/>
    <w:rsid w:val="57C3E48E"/>
    <w:rsid w:val="583FF980"/>
    <w:rsid w:val="59E4F0D2"/>
    <w:rsid w:val="5AEE5358"/>
    <w:rsid w:val="5B26967D"/>
    <w:rsid w:val="5BF80FF3"/>
    <w:rsid w:val="5FD3DF1B"/>
    <w:rsid w:val="5FDD0622"/>
    <w:rsid w:val="5FF7B2B0"/>
    <w:rsid w:val="613D348F"/>
    <w:rsid w:val="62BA4C11"/>
    <w:rsid w:val="62FD538D"/>
    <w:rsid w:val="64DE3706"/>
    <w:rsid w:val="66287DB7"/>
    <w:rsid w:val="663E5E53"/>
    <w:rsid w:val="66A6E4DA"/>
    <w:rsid w:val="66C593C1"/>
    <w:rsid w:val="687390A9"/>
    <w:rsid w:val="698E35EC"/>
    <w:rsid w:val="69F8E6C0"/>
    <w:rsid w:val="6A096353"/>
    <w:rsid w:val="6DA838DC"/>
    <w:rsid w:val="6E82DEB3"/>
    <w:rsid w:val="6E87F756"/>
    <w:rsid w:val="7210379B"/>
    <w:rsid w:val="724B6EF9"/>
    <w:rsid w:val="735728F9"/>
    <w:rsid w:val="738A1982"/>
    <w:rsid w:val="73DDCFE2"/>
    <w:rsid w:val="750A257A"/>
    <w:rsid w:val="75E60D8B"/>
    <w:rsid w:val="77257CC4"/>
    <w:rsid w:val="7868700E"/>
    <w:rsid w:val="79FCEC50"/>
    <w:rsid w:val="7A524A63"/>
    <w:rsid w:val="7A8573B9"/>
    <w:rsid w:val="7DC33713"/>
    <w:rsid w:val="7DDDCA76"/>
    <w:rsid w:val="7EC62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84A29"/>
  <w15:chartTrackingRefBased/>
  <w15:docId w15:val="{16757181-B769-469A-AF75-0BBE341C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0F2E"/>
  </w:style>
  <w:style w:type="paragraph" w:styleId="Heading1">
    <w:name w:val="heading 1"/>
    <w:basedOn w:val="Normal"/>
    <w:next w:val="Normal"/>
    <w:link w:val="Heading1Char"/>
    <w:uiPriority w:val="9"/>
    <w:qFormat/>
    <w:rsid w:val="00940B47"/>
    <w:pPr>
      <w:keepNext/>
      <w:keepLines/>
      <w:spacing w:before="360" w:after="80" w:line="278" w:lineRule="auto"/>
      <w:outlineLvl w:val="0"/>
    </w:pPr>
    <w:rPr>
      <w:rFonts w:asciiTheme="majorHAnsi" w:hAnsiTheme="majorHAnsi" w:eastAsiaTheme="majorEastAsia"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94E8B"/>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EC0F2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C0F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D76C9"/>
    <w:pPr>
      <w:spacing w:line="278" w:lineRule="auto"/>
      <w:ind w:left="720"/>
      <w:contextualSpacing/>
    </w:pPr>
    <w:rPr>
      <w:kern w:val="2"/>
      <w:sz w:val="24"/>
      <w:szCs w:val="24"/>
      <w14:ligatures w14:val="standardContextual"/>
    </w:rPr>
  </w:style>
  <w:style w:type="character" w:styleId="Hyperlink">
    <w:name w:val="Hyperlink"/>
    <w:basedOn w:val="DefaultParagraphFont"/>
    <w:uiPriority w:val="99"/>
    <w:unhideWhenUsed/>
    <w:rsid w:val="00BD76C9"/>
    <w:rPr>
      <w:color w:val="0563C1" w:themeColor="hyperlink"/>
      <w:u w:val="single"/>
    </w:rPr>
  </w:style>
  <w:style w:type="character" w:styleId="UnresolvedMention">
    <w:name w:val="Unresolved Mention"/>
    <w:basedOn w:val="DefaultParagraphFont"/>
    <w:uiPriority w:val="99"/>
    <w:semiHidden/>
    <w:unhideWhenUsed/>
    <w:rsid w:val="00932BF6"/>
    <w:rPr>
      <w:color w:val="605E5C"/>
      <w:shd w:val="clear" w:color="auto" w:fill="E1DFDD"/>
    </w:rPr>
  </w:style>
  <w:style w:type="character" w:styleId="Heading1Char" w:customStyle="1">
    <w:name w:val="Heading 1 Char"/>
    <w:basedOn w:val="DefaultParagraphFont"/>
    <w:link w:val="Heading1"/>
    <w:uiPriority w:val="9"/>
    <w:rsid w:val="00940B47"/>
    <w:rPr>
      <w:rFonts w:asciiTheme="majorHAnsi" w:hAnsiTheme="majorHAnsi" w:eastAsiaTheme="majorEastAsia" w:cstheme="majorBidi"/>
      <w:color w:val="2F5496" w:themeColor="accent1" w:themeShade="BF"/>
      <w:kern w:val="2"/>
      <w:sz w:val="40"/>
      <w:szCs w:val="40"/>
      <w14:ligatures w14:val="standardContextual"/>
    </w:rPr>
  </w:style>
  <w:style w:type="character" w:styleId="Heading2Char" w:customStyle="1">
    <w:name w:val="Heading 2 Char"/>
    <w:basedOn w:val="DefaultParagraphFont"/>
    <w:link w:val="Heading2"/>
    <w:uiPriority w:val="9"/>
    <w:rsid w:val="00194E8B"/>
    <w:rPr>
      <w:rFonts w:asciiTheme="majorHAnsi" w:hAnsiTheme="majorHAnsi" w:eastAsiaTheme="majorEastAsia" w:cstheme="majorBidi"/>
      <w:color w:val="2F5496" w:themeColor="accent1" w:themeShade="BF"/>
      <w:sz w:val="26"/>
      <w:szCs w:val="26"/>
    </w:rPr>
  </w:style>
  <w:style w:type="character" w:styleId="CommentReference">
    <w:name w:val="annotation reference"/>
    <w:basedOn w:val="DefaultParagraphFont"/>
    <w:uiPriority w:val="99"/>
    <w:semiHidden/>
    <w:unhideWhenUsed/>
    <w:rsid w:val="007679EF"/>
    <w:rPr>
      <w:sz w:val="16"/>
      <w:szCs w:val="16"/>
    </w:rPr>
  </w:style>
  <w:style w:type="paragraph" w:styleId="CommentText">
    <w:name w:val="annotation text"/>
    <w:basedOn w:val="Normal"/>
    <w:link w:val="CommentTextChar"/>
    <w:uiPriority w:val="99"/>
    <w:unhideWhenUsed/>
    <w:rsid w:val="007679EF"/>
    <w:pPr>
      <w:spacing w:line="240" w:lineRule="auto"/>
    </w:pPr>
    <w:rPr>
      <w:sz w:val="20"/>
      <w:szCs w:val="20"/>
    </w:rPr>
  </w:style>
  <w:style w:type="character" w:styleId="CommentTextChar" w:customStyle="1">
    <w:name w:val="Comment Text Char"/>
    <w:basedOn w:val="DefaultParagraphFont"/>
    <w:link w:val="CommentText"/>
    <w:uiPriority w:val="99"/>
    <w:rsid w:val="007679EF"/>
    <w:rPr>
      <w:sz w:val="20"/>
      <w:szCs w:val="20"/>
    </w:rPr>
  </w:style>
  <w:style w:type="paragraph" w:styleId="CommentSubject">
    <w:name w:val="annotation subject"/>
    <w:basedOn w:val="CommentText"/>
    <w:next w:val="CommentText"/>
    <w:link w:val="CommentSubjectChar"/>
    <w:uiPriority w:val="99"/>
    <w:semiHidden/>
    <w:unhideWhenUsed/>
    <w:rsid w:val="007679EF"/>
    <w:rPr>
      <w:b/>
      <w:bCs/>
    </w:rPr>
  </w:style>
  <w:style w:type="character" w:styleId="CommentSubjectChar" w:customStyle="1">
    <w:name w:val="Comment Subject Char"/>
    <w:basedOn w:val="CommentTextChar"/>
    <w:link w:val="CommentSubject"/>
    <w:uiPriority w:val="99"/>
    <w:semiHidden/>
    <w:rsid w:val="007679EF"/>
    <w:rPr>
      <w:b/>
      <w:bCs/>
      <w:sz w:val="20"/>
      <w:szCs w:val="20"/>
    </w:rPr>
  </w:style>
  <w:style w:type="paragraph" w:styleId="Revision">
    <w:name w:val="Revision"/>
    <w:hidden/>
    <w:uiPriority w:val="99"/>
    <w:semiHidden/>
    <w:rsid w:val="009252E4"/>
    <w:pPr>
      <w:spacing w:after="0" w:line="240" w:lineRule="auto"/>
    </w:pPr>
  </w:style>
  <w:style w:type="character" w:styleId="FollowedHyperlink">
    <w:name w:val="FollowedHyperlink"/>
    <w:basedOn w:val="DefaultParagraphFont"/>
    <w:uiPriority w:val="99"/>
    <w:semiHidden/>
    <w:unhideWhenUsed/>
    <w:rsid w:val="009252E4"/>
    <w:rPr>
      <w:color w:val="954F72" w:themeColor="followedHyperlink"/>
      <w:u w:val="single"/>
    </w:rPr>
  </w:style>
  <w:style w:type="table" w:styleId="TableGrid1" w:customStyle="1">
    <w:name w:val="Table Grid1"/>
    <w:basedOn w:val="TableNormal"/>
    <w:next w:val="TableGrid"/>
    <w:uiPriority w:val="39"/>
    <w:rsid w:val="000B67C2"/>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B67C2"/>
    <w:pPr>
      <w:tabs>
        <w:tab w:val="center" w:pos="4680"/>
        <w:tab w:val="right" w:pos="9360"/>
      </w:tabs>
      <w:spacing w:after="0" w:line="240" w:lineRule="auto"/>
    </w:pPr>
  </w:style>
  <w:style w:type="character" w:styleId="HeaderChar" w:customStyle="1">
    <w:name w:val="Header Char"/>
    <w:basedOn w:val="DefaultParagraphFont"/>
    <w:link w:val="Header"/>
    <w:uiPriority w:val="99"/>
    <w:rsid w:val="000B67C2"/>
  </w:style>
  <w:style w:type="paragraph" w:styleId="Footer">
    <w:name w:val="footer"/>
    <w:basedOn w:val="Normal"/>
    <w:link w:val="FooterChar"/>
    <w:uiPriority w:val="99"/>
    <w:unhideWhenUsed/>
    <w:rsid w:val="000B67C2"/>
    <w:pPr>
      <w:tabs>
        <w:tab w:val="center" w:pos="4680"/>
        <w:tab w:val="right" w:pos="9360"/>
      </w:tabs>
      <w:spacing w:after="0" w:line="240" w:lineRule="auto"/>
    </w:pPr>
  </w:style>
  <w:style w:type="character" w:styleId="FooterChar" w:customStyle="1">
    <w:name w:val="Footer Char"/>
    <w:basedOn w:val="DefaultParagraphFont"/>
    <w:link w:val="Footer"/>
    <w:uiPriority w:val="99"/>
    <w:rsid w:val="000B6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38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amhsa.gov/data/sites/default/files/reports/rpt56287/2024-nsduh-annual-national-report.pdf"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monitoringthefuture.org/national-survey-results-on-drug-use-1975-2023-overview-and-detailed-results-for-secondary-school-student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22AE02BE5094FA7D511173BEC110C" ma:contentTypeVersion="3" ma:contentTypeDescription="Create a new document." ma:contentTypeScope="" ma:versionID="dda248888eae341b1287c9c94d2c49aa">
  <xsd:schema xmlns:xsd="http://www.w3.org/2001/XMLSchema" xmlns:xs="http://www.w3.org/2001/XMLSchema" xmlns:p="http://schemas.microsoft.com/office/2006/metadata/properties" xmlns:ns2="061a8242-6322-46aa-bdf6-e17a96a4738a" targetNamespace="http://schemas.microsoft.com/office/2006/metadata/properties" ma:root="true" ma:fieldsID="5d5b2f5abceba691b5ad39e94724b5d2" ns2:_="">
    <xsd:import namespace="061a8242-6322-46aa-bdf6-e17a96a4738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a8242-6322-46aa-bdf6-e17a96a47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8E89B5-830A-46F1-9A34-7A087B0A9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a8242-6322-46aa-bdf6-e17a96a47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019D4F-0261-4F65-A46D-40C996C577EC}">
  <ds:schemaRefs>
    <ds:schemaRef ds:uri="http://schemas.microsoft.com/sharepoint/v3/contenttype/forms"/>
  </ds:schemaRefs>
</ds:datastoreItem>
</file>

<file path=customXml/itemProps3.xml><?xml version="1.0" encoding="utf-8"?>
<ds:datastoreItem xmlns:ds="http://schemas.openxmlformats.org/officeDocument/2006/customXml" ds:itemID="{2EFBFE1F-9BED-4D61-B142-1431955FA37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Gadi Dreyfuss</dc:creator>
  <keywords/>
  <dc:description/>
  <lastModifiedBy>Conner, Cameron (CDC/NCIPC/OD) (CTR)</lastModifiedBy>
  <revision>175</revision>
  <dcterms:created xsi:type="dcterms:W3CDTF">2025-06-02T22:37:00.0000000Z</dcterms:created>
  <dcterms:modified xsi:type="dcterms:W3CDTF">2026-05-04T14:24:07.8880700Z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2021-01-26T15:07:24Z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70d13185-df89-48d8-b470-a2df4cb8db03</vt:lpwstr>
  </property>
  <property fmtid="{D5CDD505-2E9C-101B-9397-08002B2CF9AE}" pid="8" name="MSIP_Label_7b94a7b8-f06c-4dfe-bdcc-9b548fd58c31_ContentBits">
    <vt:lpwstr>0</vt:lpwstr>
  </property>
  <property fmtid="{D5CDD505-2E9C-101B-9397-08002B2CF9AE}" pid="9" name="ContentTypeId">
    <vt:lpwstr>0x01010074322AE02BE5094FA7D511173BEC110C</vt:lpwstr>
  </property>
  <property fmtid="{D5CDD505-2E9C-101B-9397-08002B2CF9AE}" pid="10" name="GrammarlyDocumentId">
    <vt:lpwstr>7400c600-dcc9-45b9-8e0f-c86c01327735</vt:lpwstr>
  </property>
  <property fmtid="{D5CDD505-2E9C-101B-9397-08002B2CF9AE}" pid="11" name="docLang">
    <vt:lpwstr>en</vt:lpwstr>
  </property>
</Properties>
</file>