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433B8" w14:textId="77777777" w:rsidR="00430074" w:rsidRPr="00967CFE" w:rsidRDefault="00430074" w:rsidP="00430074">
      <w:pPr>
        <w:spacing w:after="5"/>
        <w:ind w:left="20" w:hanging="10"/>
        <w:jc w:val="center"/>
        <w:rPr>
          <w:rFonts w:ascii="Times New Roman" w:eastAsia="Times New Roman" w:hAnsi="Times New Roman" w:cs="Times New Roman"/>
          <w:b/>
          <w:bCs/>
          <w:color w:val="000000" w:themeColor="text1"/>
          <w:sz w:val="28"/>
          <w:szCs w:val="28"/>
        </w:rPr>
      </w:pPr>
      <w:r w:rsidRPr="19CF772D">
        <w:rPr>
          <w:rFonts w:ascii="Times New Roman" w:eastAsia="Times New Roman" w:hAnsi="Times New Roman" w:cs="Times New Roman"/>
          <w:b/>
          <w:bCs/>
          <w:color w:val="000000" w:themeColor="text1"/>
          <w:sz w:val="28"/>
          <w:szCs w:val="28"/>
        </w:rPr>
        <w:t xml:space="preserve">Appendix </w:t>
      </w:r>
      <w:r>
        <w:rPr>
          <w:rFonts w:ascii="Times New Roman" w:eastAsia="Times New Roman" w:hAnsi="Times New Roman" w:cs="Times New Roman"/>
          <w:b/>
          <w:bCs/>
          <w:color w:val="000000" w:themeColor="text1"/>
          <w:sz w:val="28"/>
          <w:szCs w:val="28"/>
        </w:rPr>
        <w:t>A</w:t>
      </w:r>
      <w:r w:rsidRPr="19CF772D">
        <w:rPr>
          <w:rFonts w:ascii="Times New Roman" w:eastAsia="Times New Roman" w:hAnsi="Times New Roman" w:cs="Times New Roman"/>
          <w:b/>
          <w:bCs/>
          <w:color w:val="000000" w:themeColor="text1"/>
          <w:sz w:val="28"/>
          <w:szCs w:val="28"/>
        </w:rPr>
        <w:t>. Review and Selection Process</w:t>
      </w:r>
    </w:p>
    <w:p w14:paraId="5980F99A" w14:textId="77777777" w:rsidR="00430074" w:rsidRPr="00967CFE" w:rsidRDefault="00430074" w:rsidP="00430074">
      <w:pPr>
        <w:spacing w:after="5"/>
        <w:ind w:left="20" w:hanging="10"/>
        <w:jc w:val="center"/>
        <w:rPr>
          <w:rFonts w:ascii="Times New Roman" w:eastAsia="Times New Roman" w:hAnsi="Times New Roman" w:cs="Times New Roman"/>
          <w:b/>
          <w:bCs/>
          <w:color w:val="000000" w:themeColor="text1"/>
          <w:sz w:val="28"/>
          <w:szCs w:val="28"/>
        </w:rPr>
      </w:pPr>
    </w:p>
    <w:p w14:paraId="43F46808" w14:textId="6DBA4A74" w:rsidR="00430074" w:rsidRDefault="7CA73184" w:rsidP="00430074">
      <w:pPr>
        <w:rPr>
          <w:rFonts w:ascii="Times New Roman" w:eastAsia="Times New Roman" w:hAnsi="Times New Roman" w:cs="Times New Roman"/>
          <w:sz w:val="24"/>
          <w:szCs w:val="24"/>
        </w:rPr>
      </w:pPr>
      <w:r w:rsidRPr="0A84BE0A">
        <w:rPr>
          <w:rFonts w:ascii="Times New Roman" w:eastAsia="Times New Roman" w:hAnsi="Times New Roman" w:cs="Times New Roman"/>
          <w:sz w:val="24"/>
          <w:szCs w:val="24"/>
        </w:rPr>
        <w:t xml:space="preserve">Applications must meet all eligibility requirements as described in this NOFO. </w:t>
      </w:r>
      <w:r w:rsidRPr="0A84BE0A">
        <w:rPr>
          <w:rFonts w:ascii="Times New Roman" w:eastAsia="Times New Roman" w:hAnsi="Times New Roman" w:cs="Times New Roman"/>
          <w:color w:val="000000" w:themeColor="text1"/>
          <w:sz w:val="24"/>
          <w:szCs w:val="24"/>
        </w:rPr>
        <w:t xml:space="preserve"> Applications will be reviewed and selected in </w:t>
      </w:r>
      <w:r w:rsidR="6732A802" w:rsidRPr="0A84BE0A">
        <w:rPr>
          <w:rFonts w:ascii="Times New Roman" w:eastAsia="Times New Roman" w:hAnsi="Times New Roman" w:cs="Times New Roman"/>
          <w:color w:val="000000" w:themeColor="text1"/>
          <w:sz w:val="24"/>
          <w:szCs w:val="24"/>
        </w:rPr>
        <w:t xml:space="preserve">three </w:t>
      </w:r>
      <w:r w:rsidRPr="0A84BE0A">
        <w:rPr>
          <w:rFonts w:ascii="Times New Roman" w:eastAsia="Times New Roman" w:hAnsi="Times New Roman" w:cs="Times New Roman"/>
          <w:color w:val="000000" w:themeColor="text1"/>
          <w:sz w:val="24"/>
          <w:szCs w:val="24"/>
        </w:rPr>
        <w:t xml:space="preserve">Phases. </w:t>
      </w:r>
      <w:r w:rsidRPr="0A84BE0A">
        <w:rPr>
          <w:rFonts w:ascii="Times New Roman" w:eastAsia="Times New Roman" w:hAnsi="Times New Roman" w:cs="Times New Roman"/>
          <w:sz w:val="24"/>
          <w:szCs w:val="24"/>
        </w:rPr>
        <w:t xml:space="preserve"> This document provides </w:t>
      </w:r>
      <w:r w:rsidR="4D5CF38D" w:rsidRPr="0A84BE0A">
        <w:rPr>
          <w:rFonts w:ascii="Times New Roman" w:eastAsia="Times New Roman" w:hAnsi="Times New Roman" w:cs="Times New Roman"/>
          <w:sz w:val="24"/>
          <w:szCs w:val="24"/>
        </w:rPr>
        <w:t xml:space="preserve">additional </w:t>
      </w:r>
      <w:r w:rsidRPr="0A84BE0A">
        <w:rPr>
          <w:rFonts w:ascii="Times New Roman" w:eastAsia="Times New Roman" w:hAnsi="Times New Roman" w:cs="Times New Roman"/>
          <w:sz w:val="24"/>
          <w:szCs w:val="24"/>
        </w:rPr>
        <w:t>details describ</w:t>
      </w:r>
      <w:r w:rsidR="4D5CF38D" w:rsidRPr="0A84BE0A">
        <w:rPr>
          <w:rFonts w:ascii="Times New Roman" w:eastAsia="Times New Roman" w:hAnsi="Times New Roman" w:cs="Times New Roman"/>
          <w:sz w:val="24"/>
          <w:szCs w:val="24"/>
        </w:rPr>
        <w:t>ing</w:t>
      </w:r>
      <w:r w:rsidRPr="0A84BE0A">
        <w:rPr>
          <w:rFonts w:ascii="Times New Roman" w:eastAsia="Times New Roman" w:hAnsi="Times New Roman" w:cs="Times New Roman"/>
          <w:sz w:val="24"/>
          <w:szCs w:val="24"/>
        </w:rPr>
        <w:t xml:space="preserve"> the review and selection process as outlined in the NOFO.  </w:t>
      </w:r>
    </w:p>
    <w:p w14:paraId="1247C1A4" w14:textId="77777777" w:rsidR="00430074" w:rsidRDefault="7CA73184" w:rsidP="00430074">
      <w:pPr>
        <w:rPr>
          <w:rFonts w:ascii="Times New Roman" w:eastAsia="Times New Roman" w:hAnsi="Times New Roman" w:cs="Times New Roman"/>
          <w:sz w:val="24"/>
          <w:szCs w:val="24"/>
        </w:rPr>
      </w:pPr>
      <w:r w:rsidRPr="0A84BE0A">
        <w:rPr>
          <w:rFonts w:ascii="Times New Roman" w:eastAsia="Times New Roman" w:hAnsi="Times New Roman" w:cs="Times New Roman"/>
          <w:b/>
          <w:bCs/>
          <w:sz w:val="24"/>
          <w:szCs w:val="24"/>
        </w:rPr>
        <w:t>Phase I Eligibility Review.</w:t>
      </w:r>
      <w:r w:rsidRPr="0A84BE0A">
        <w:rPr>
          <w:rFonts w:ascii="Times New Roman" w:eastAsia="Times New Roman" w:hAnsi="Times New Roman" w:cs="Times New Roman"/>
          <w:sz w:val="24"/>
          <w:szCs w:val="24"/>
        </w:rPr>
        <w:t xml:space="preserve">  </w:t>
      </w:r>
    </w:p>
    <w:p w14:paraId="46DB8B67" w14:textId="5D99C577" w:rsidR="00772A86" w:rsidRDefault="0DE76BBB" w:rsidP="0A84BE0A">
      <w:pPr>
        <w:pStyle w:val="Normal0"/>
        <w:rPr>
          <w:rFonts w:ascii="Times New Roman" w:eastAsia="Times New Roman" w:hAnsi="Times New Roman" w:cs="Times New Roman"/>
          <w:sz w:val="24"/>
          <w:szCs w:val="24"/>
        </w:rPr>
      </w:pPr>
      <w:r w:rsidRPr="0A84BE0A">
        <w:rPr>
          <w:rFonts w:ascii="Times New Roman" w:eastAsia="Times New Roman" w:hAnsi="Times New Roman" w:cs="Times New Roman"/>
          <w:sz w:val="24"/>
          <w:szCs w:val="24"/>
        </w:rPr>
        <w:t>All applications will be initially reviewed for completeness by CDC Office of Grants Services. Complete applications will be reviewed for compliance with the DFC Statutory Eligibility Requirements by the Grants Management Officials and Program Officials.</w:t>
      </w:r>
      <w:r w:rsidRPr="0A84BE0A">
        <w:rPr>
          <w:rFonts w:ascii="Times New Roman" w:eastAsia="Times New Roman" w:hAnsi="Times New Roman" w:cs="Times New Roman"/>
          <w:sz w:val="24"/>
          <w:szCs w:val="24"/>
          <w:u w:val="single"/>
        </w:rPr>
        <w:t> Applications that are incomplete and/or out of compliance with the DFC Statutory Eligibility Requirements will not advance to Phase II review</w:t>
      </w:r>
      <w:r w:rsidRPr="0A84BE0A">
        <w:rPr>
          <w:rFonts w:ascii="Times New Roman" w:eastAsia="Times New Roman" w:hAnsi="Times New Roman" w:cs="Times New Roman"/>
          <w:sz w:val="24"/>
          <w:szCs w:val="24"/>
        </w:rPr>
        <w:t>. Applicants will be notified that their applications did not meet eligibility and/or published submission requirements.</w:t>
      </w:r>
    </w:p>
    <w:p w14:paraId="14BA3950" w14:textId="63F5476C" w:rsidR="0A84BE0A" w:rsidRDefault="0A84BE0A" w:rsidP="0A84BE0A">
      <w:pPr>
        <w:spacing w:after="0"/>
        <w:ind w:left="720"/>
        <w:rPr>
          <w:rFonts w:ascii="Times New Roman" w:eastAsia="Times New Roman" w:hAnsi="Times New Roman" w:cs="Times New Roman"/>
          <w:b/>
          <w:bCs/>
          <w:sz w:val="24"/>
          <w:szCs w:val="24"/>
        </w:rPr>
      </w:pPr>
    </w:p>
    <w:p w14:paraId="050D88B1" w14:textId="6C5F59A9" w:rsidR="00430074" w:rsidRDefault="7CA73184" w:rsidP="0A84BE0A">
      <w:pPr>
        <w:spacing w:after="0"/>
        <w:rPr>
          <w:rFonts w:ascii="Times New Roman" w:eastAsia="Times New Roman" w:hAnsi="Times New Roman" w:cs="Times New Roman"/>
          <w:sz w:val="24"/>
          <w:szCs w:val="24"/>
        </w:rPr>
      </w:pPr>
      <w:r w:rsidRPr="0A84BE0A">
        <w:rPr>
          <w:rFonts w:ascii="Times New Roman" w:eastAsia="Times New Roman" w:hAnsi="Times New Roman" w:cs="Times New Roman"/>
          <w:b/>
          <w:bCs/>
          <w:sz w:val="24"/>
          <w:szCs w:val="24"/>
        </w:rPr>
        <w:t>Phase II</w:t>
      </w:r>
      <w:r w:rsidRPr="0A84BE0A">
        <w:rPr>
          <w:rFonts w:ascii="Times New Roman" w:eastAsia="Times New Roman" w:hAnsi="Times New Roman" w:cs="Times New Roman"/>
          <w:sz w:val="24"/>
          <w:szCs w:val="24"/>
        </w:rPr>
        <w:t xml:space="preserve"> </w:t>
      </w:r>
      <w:r w:rsidRPr="0A84BE0A">
        <w:rPr>
          <w:rFonts w:ascii="Times New Roman" w:eastAsia="Times New Roman" w:hAnsi="Times New Roman" w:cs="Times New Roman"/>
          <w:b/>
          <w:bCs/>
          <w:sz w:val="24"/>
          <w:szCs w:val="24"/>
        </w:rPr>
        <w:t>Merit Review</w:t>
      </w:r>
    </w:p>
    <w:p w14:paraId="2ABB5358" w14:textId="08A350AE" w:rsidR="006315F8" w:rsidRDefault="7CA73184" w:rsidP="00430074">
      <w:pPr>
        <w:spacing w:after="0"/>
        <w:rPr>
          <w:rFonts w:ascii="Times New Roman" w:eastAsia="Times New Roman" w:hAnsi="Times New Roman" w:cs="Times New Roman"/>
          <w:sz w:val="24"/>
          <w:szCs w:val="24"/>
        </w:rPr>
      </w:pPr>
      <w:r w:rsidRPr="0A84BE0A">
        <w:rPr>
          <w:rFonts w:ascii="Times New Roman" w:eastAsia="Times New Roman" w:hAnsi="Times New Roman" w:cs="Times New Roman"/>
          <w:sz w:val="24"/>
          <w:szCs w:val="24"/>
        </w:rPr>
        <w:t xml:space="preserve">Trained reviewers will evaluate applications according to the evaluation review criteria described in the Phase II Review criteria section of the NOFO. </w:t>
      </w:r>
    </w:p>
    <w:p w14:paraId="16DC6C2D" w14:textId="77777777" w:rsidR="006315F8" w:rsidRDefault="006315F8" w:rsidP="00430074">
      <w:pPr>
        <w:spacing w:after="0"/>
        <w:rPr>
          <w:rFonts w:ascii="Times New Roman" w:eastAsia="Times New Roman" w:hAnsi="Times New Roman" w:cs="Times New Roman"/>
          <w:sz w:val="24"/>
          <w:szCs w:val="24"/>
        </w:rPr>
      </w:pPr>
    </w:p>
    <w:p w14:paraId="224ADC4D" w14:textId="77777777" w:rsidR="00C96E28" w:rsidRPr="00C96E28" w:rsidRDefault="006315F8" w:rsidP="00430074">
      <w:pPr>
        <w:spacing w:after="0"/>
        <w:rPr>
          <w:rFonts w:ascii="Times New Roman" w:eastAsia="Times New Roman" w:hAnsi="Times New Roman" w:cs="Times New Roman"/>
          <w:b/>
          <w:bCs/>
          <w:sz w:val="24"/>
          <w:szCs w:val="24"/>
        </w:rPr>
      </w:pPr>
      <w:r w:rsidRPr="00C96E28">
        <w:rPr>
          <w:rFonts w:ascii="Times New Roman" w:eastAsia="Times New Roman" w:hAnsi="Times New Roman" w:cs="Times New Roman"/>
          <w:b/>
          <w:bCs/>
          <w:sz w:val="24"/>
          <w:szCs w:val="24"/>
        </w:rPr>
        <w:t xml:space="preserve">Phase III </w:t>
      </w:r>
      <w:r w:rsidR="00C96E28" w:rsidRPr="00C96E28">
        <w:rPr>
          <w:rFonts w:ascii="Times New Roman" w:eastAsia="Times New Roman" w:hAnsi="Times New Roman" w:cs="Times New Roman"/>
          <w:b/>
          <w:bCs/>
          <w:sz w:val="24"/>
          <w:szCs w:val="24"/>
        </w:rPr>
        <w:t>Review</w:t>
      </w:r>
    </w:p>
    <w:p w14:paraId="6DC7DCD8" w14:textId="4F6B54B3" w:rsidR="00DD2962" w:rsidRDefault="267E22A4" w:rsidP="3015CABC">
      <w:pPr>
        <w:pStyle w:val="NormalWeb"/>
        <w:spacing w:before="0" w:beforeAutospacing="0" w:after="0" w:afterAutospacing="0"/>
        <w:sectPr w:rsidR="00DD2962" w:rsidSect="00982CE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pPr>
      <w:r>
        <w:t xml:space="preserve">Applicants will be funded in rank order </w:t>
      </w:r>
      <w:r w:rsidR="57BF60C2">
        <w:t xml:space="preserve">based on the </w:t>
      </w:r>
      <w:r w:rsidR="630EA6D1">
        <w:t xml:space="preserve">average of </w:t>
      </w:r>
      <w:r w:rsidR="0D507705">
        <w:t xml:space="preserve">the reviewer </w:t>
      </w:r>
      <w:r w:rsidR="630EA6D1">
        <w:t>scores.</w:t>
      </w:r>
      <w:r>
        <w:t xml:space="preserve"> In the case of a tie, ONDCP may take into consideration factors relating to rural, American Indian/Alaska Native, and economically disadvantaged communities. </w:t>
      </w:r>
      <w:r w:rsidR="7CA73184">
        <w:t>Both the successful and the unsuccessful applicants will be notified of the outcome of the merit review prior to the start of the project period</w:t>
      </w:r>
      <w:r w:rsidR="14ED3326">
        <w:t>.</w:t>
      </w:r>
    </w:p>
    <w:p w14:paraId="68D29A36" w14:textId="7E7BC880" w:rsidR="00ED1F67" w:rsidRPr="0094304F" w:rsidRDefault="00430074">
      <w:pPr>
        <w:rPr>
          <w:rFonts w:ascii="Times New Roman" w:hAnsi="Times New Roman" w:cs="Times New Roman"/>
          <w:b/>
          <w:bCs/>
          <w:sz w:val="28"/>
          <w:szCs w:val="28"/>
        </w:rPr>
      </w:pPr>
      <w:r w:rsidRPr="0094304F">
        <w:rPr>
          <w:rFonts w:ascii="Times New Roman" w:hAnsi="Times New Roman" w:cs="Times New Roman"/>
          <w:b/>
          <w:bCs/>
          <w:sz w:val="28"/>
          <w:szCs w:val="28"/>
        </w:rPr>
        <w:lastRenderedPageBreak/>
        <w:t>APPENDIX B. Evidence-Based Resources</w:t>
      </w:r>
    </w:p>
    <w:p w14:paraId="4DCE79F4" w14:textId="6236E1A4" w:rsidR="00224905" w:rsidRDefault="00224905" w:rsidP="00224905">
      <w:pPr>
        <w:spacing w:after="0" w:line="240" w:lineRule="auto"/>
        <w:jc w:val="center"/>
        <w:rPr>
          <w:rFonts w:ascii="Times New Roman" w:eastAsia="Times New Roman" w:hAnsi="Times New Roman" w:cs="Times New Roman"/>
          <w:b/>
          <w:bCs/>
          <w:color w:val="000000" w:themeColor="text1"/>
          <w:sz w:val="32"/>
          <w:szCs w:val="32"/>
        </w:rPr>
      </w:pPr>
      <w:r w:rsidRPr="4055A505">
        <w:rPr>
          <w:rFonts w:ascii="Times New Roman" w:eastAsia="Times New Roman" w:hAnsi="Times New Roman" w:cs="Times New Roman"/>
          <w:b/>
          <w:bCs/>
          <w:color w:val="000000" w:themeColor="text1"/>
          <w:sz w:val="32"/>
          <w:szCs w:val="32"/>
        </w:rPr>
        <w:t xml:space="preserve">Resources on Evidence-Based and </w:t>
      </w:r>
    </w:p>
    <w:p w14:paraId="05295D50" w14:textId="77777777" w:rsidR="00224905" w:rsidRDefault="00224905" w:rsidP="00224905">
      <w:pPr>
        <w:spacing w:after="0" w:line="240" w:lineRule="auto"/>
        <w:jc w:val="center"/>
        <w:rPr>
          <w:rFonts w:ascii="Times New Roman" w:eastAsia="Times New Roman" w:hAnsi="Times New Roman" w:cs="Times New Roman"/>
          <w:color w:val="000000" w:themeColor="text1"/>
          <w:sz w:val="32"/>
          <w:szCs w:val="32"/>
        </w:rPr>
      </w:pPr>
      <w:r w:rsidRPr="4055A505">
        <w:rPr>
          <w:rFonts w:ascii="Times New Roman" w:eastAsia="Times New Roman" w:hAnsi="Times New Roman" w:cs="Times New Roman"/>
          <w:b/>
          <w:bCs/>
          <w:color w:val="000000" w:themeColor="text1"/>
          <w:sz w:val="32"/>
          <w:szCs w:val="32"/>
        </w:rPr>
        <w:t>Practice-Based Strategies and Activities</w:t>
      </w:r>
      <w:r w:rsidRPr="4055A505">
        <w:rPr>
          <w:rFonts w:ascii="Times New Roman" w:eastAsia="Times New Roman" w:hAnsi="Times New Roman" w:cs="Times New Roman"/>
          <w:color w:val="000000" w:themeColor="text1"/>
          <w:sz w:val="32"/>
          <w:szCs w:val="32"/>
        </w:rPr>
        <w:t xml:space="preserve"> </w:t>
      </w:r>
    </w:p>
    <w:p w14:paraId="1EED671C" w14:textId="77777777" w:rsidR="00224905" w:rsidRDefault="00224905" w:rsidP="00224905">
      <w:pPr>
        <w:spacing w:line="240" w:lineRule="auto"/>
        <w:rPr>
          <w:rFonts w:ascii="Times New Roman" w:eastAsia="Times New Roman" w:hAnsi="Times New Roman" w:cs="Times New Roman"/>
          <w:sz w:val="24"/>
          <w:szCs w:val="24"/>
        </w:rPr>
      </w:pPr>
    </w:p>
    <w:p w14:paraId="1499549F" w14:textId="32244AEF" w:rsidR="00224905" w:rsidRDefault="00224905" w:rsidP="00224905">
      <w:pPr>
        <w:spacing w:line="240" w:lineRule="auto"/>
        <w:rPr>
          <w:rFonts w:ascii="Times New Roman" w:eastAsia="Times New Roman" w:hAnsi="Times New Roman" w:cs="Times New Roman"/>
          <w:sz w:val="24"/>
          <w:szCs w:val="24"/>
        </w:rPr>
      </w:pPr>
      <w:r w:rsidRPr="5C301132">
        <w:rPr>
          <w:rFonts w:ascii="Times New Roman" w:eastAsia="Times New Roman" w:hAnsi="Times New Roman" w:cs="Times New Roman"/>
          <w:sz w:val="24"/>
          <w:szCs w:val="24"/>
        </w:rPr>
        <w:t xml:space="preserve">The following resources are a collection of evidence-based and practice-based strategies from the Centers for Disease Control and Prevention (CDC) and additional sources </w:t>
      </w:r>
      <w:r w:rsidRPr="5C301132">
        <w:rPr>
          <w:rFonts w:ascii="Times New Roman" w:eastAsia="Times New Roman" w:hAnsi="Times New Roman" w:cs="Times New Roman"/>
          <w:color w:val="000000" w:themeColor="text1"/>
          <w:sz w:val="24"/>
          <w:szCs w:val="24"/>
        </w:rPr>
        <w:t>to address substance use among youth.  This is not an exhaustive list, but rather a starting point for coalitions to refer to as they consider which strategies will work best in their co</w:t>
      </w:r>
      <w:r w:rsidRPr="5C301132">
        <w:rPr>
          <w:rFonts w:ascii="Times New Roman" w:eastAsia="Times New Roman" w:hAnsi="Times New Roman" w:cs="Times New Roman"/>
          <w:sz w:val="24"/>
          <w:szCs w:val="24"/>
        </w:rPr>
        <w:t>mmunities to implement the DFC program and support evidence-</w:t>
      </w:r>
      <w:r w:rsidR="009813BF">
        <w:rPr>
          <w:rFonts w:ascii="Times New Roman" w:eastAsia="Times New Roman" w:hAnsi="Times New Roman" w:cs="Times New Roman"/>
          <w:sz w:val="24"/>
          <w:szCs w:val="24"/>
        </w:rPr>
        <w:t>and practice-</w:t>
      </w:r>
      <w:r w:rsidRPr="5C301132">
        <w:rPr>
          <w:rFonts w:ascii="Times New Roman" w:eastAsia="Times New Roman" w:hAnsi="Times New Roman" w:cs="Times New Roman"/>
          <w:sz w:val="24"/>
          <w:szCs w:val="24"/>
        </w:rPr>
        <w:t xml:space="preserve">based prevention efforts to reduce youth substance use.  </w:t>
      </w:r>
    </w:p>
    <w:p w14:paraId="59501B1F" w14:textId="77777777"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t xml:space="preserve">Adolescent and School Health </w:t>
      </w:r>
    </w:p>
    <w:p w14:paraId="712D596A"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Prevention Principles and Curriculum Analysis</w:t>
      </w:r>
    </w:p>
    <w:p w14:paraId="73CC1996" w14:textId="77777777" w:rsidR="00224905" w:rsidRDefault="00224905" w:rsidP="00224905">
      <w:pPr>
        <w:pStyle w:val="ListParagraph"/>
        <w:numPr>
          <w:ilvl w:val="0"/>
          <w:numId w:val="19"/>
        </w:numPr>
        <w:spacing w:after="160" w:line="240" w:lineRule="auto"/>
      </w:pPr>
      <w:r w:rsidRPr="4055A505">
        <w:rPr>
          <w:lang w:val="en"/>
        </w:rPr>
        <w:t xml:space="preserve">The </w:t>
      </w:r>
      <w:r w:rsidRPr="4055A505">
        <w:rPr>
          <w:i/>
          <w:iCs/>
          <w:lang w:val="en"/>
        </w:rPr>
        <w:t xml:space="preserve">Preventing Drug Use among Children and Adolescents: A Research-Based </w:t>
      </w:r>
      <w:hyperlink r:id="rId14">
        <w:r w:rsidRPr="4055A505">
          <w:rPr>
            <w:rStyle w:val="Hyperlink"/>
            <w:i/>
            <w:iCs/>
            <w:lang w:val="en"/>
          </w:rPr>
          <w:t>Guide</w:t>
        </w:r>
      </w:hyperlink>
      <w:r w:rsidRPr="4055A505">
        <w:rPr>
          <w:i/>
          <w:iCs/>
          <w:lang w:val="en"/>
        </w:rPr>
        <w:t xml:space="preserve"> for Parents, Educators, and Community Leaders</w:t>
      </w:r>
      <w:r w:rsidRPr="4055A505">
        <w:rPr>
          <w:lang w:val="en"/>
        </w:rPr>
        <w:t xml:space="preserve"> presents updated </w:t>
      </w:r>
      <w:hyperlink r:id="rId15">
        <w:r w:rsidRPr="4055A505">
          <w:rPr>
            <w:rStyle w:val="Hyperlink"/>
            <w:lang w:val="en"/>
          </w:rPr>
          <w:t>prevention principles</w:t>
        </w:r>
      </w:hyperlink>
      <w:r w:rsidRPr="4055A505">
        <w:rPr>
          <w:lang w:val="en"/>
        </w:rPr>
        <w:t xml:space="preserve">, an overview of program planning, and outlines specific school-based programs to prevent substance use among adolescents. It also highlights actions that parents, educators, and community leaders can take to support substance-use prevention. </w:t>
      </w:r>
    </w:p>
    <w:p w14:paraId="77FE86DA" w14:textId="77777777" w:rsidR="00224905" w:rsidRDefault="00224905" w:rsidP="00224905">
      <w:pPr>
        <w:pStyle w:val="ListParagraph"/>
        <w:numPr>
          <w:ilvl w:val="0"/>
          <w:numId w:val="19"/>
        </w:numPr>
        <w:spacing w:after="160" w:line="240" w:lineRule="auto"/>
      </w:pPr>
      <w:r w:rsidRPr="23A6A74F">
        <w:t xml:space="preserve">CDC’s </w:t>
      </w:r>
      <w:hyperlink r:id="rId16">
        <w:r w:rsidRPr="23A6A74F">
          <w:rPr>
            <w:rStyle w:val="Hyperlink"/>
          </w:rPr>
          <w:t>Health Education Curriculum Analysis Tool</w:t>
        </w:r>
      </w:hyperlink>
      <w:r w:rsidRPr="23A6A74F">
        <w:t xml:space="preserve"> (HECAT) develops appropriate and effective curricula across grade spans (e.g., PreK-2; 3-5; 6-8; 9-12). The HECAT includes nine health-related topic modules, including </w:t>
      </w:r>
      <w:hyperlink r:id="rId17">
        <w:r w:rsidRPr="23A6A74F">
          <w:rPr>
            <w:rStyle w:val="Hyperlink"/>
          </w:rPr>
          <w:t>Alcohol and Other Drugs</w:t>
        </w:r>
      </w:hyperlink>
      <w:r>
        <w:rPr>
          <w:rStyle w:val="Hyperlink"/>
        </w:rPr>
        <w:t xml:space="preserve">, and </w:t>
      </w:r>
      <w:hyperlink r:id="rId18">
        <w:r w:rsidRPr="23A6A74F">
          <w:rPr>
            <w:rStyle w:val="Hyperlink"/>
          </w:rPr>
          <w:t>Tobacco</w:t>
        </w:r>
      </w:hyperlink>
      <w:r>
        <w:rPr>
          <w:rStyle w:val="Hyperlink"/>
        </w:rPr>
        <w:t xml:space="preserve">, and outlines </w:t>
      </w:r>
      <w:r w:rsidRPr="23A6A74F">
        <w:t>health behavior outcomes (HBOs) to be addressed by health education curricula.  Schools can use these topic-specific HBOs to help evaluate existing substance use prevention programs or use as the foundation for creating new curricula.</w:t>
      </w:r>
    </w:p>
    <w:p w14:paraId="7A8840AB" w14:textId="77777777" w:rsidR="00224905" w:rsidRPr="00B3465F" w:rsidRDefault="00224905" w:rsidP="00224905">
      <w:pPr>
        <w:pStyle w:val="ListParagraph"/>
        <w:numPr>
          <w:ilvl w:val="0"/>
          <w:numId w:val="19"/>
        </w:numPr>
        <w:spacing w:after="160" w:line="240" w:lineRule="auto"/>
      </w:pPr>
      <w:r w:rsidRPr="5C301132">
        <w:t xml:space="preserve">CDC’s </w:t>
      </w:r>
      <w:hyperlink r:id="rId19">
        <w:r w:rsidRPr="5C301132">
          <w:rPr>
            <w:rStyle w:val="Hyperlink"/>
          </w:rPr>
          <w:t>Developing a Scope and Sequence</w:t>
        </w:r>
      </w:hyperlink>
      <w:r w:rsidRPr="5C301132">
        <w:t xml:space="preserve"> tool help create or revise a substance use scope and sequence (S&amp;S). A S&amp;S is an essential element of a curriculum outlining the breadth of health topics across grade levels (scope), and the logical progression of essential health knowledge, skills, and behaviors to be addressed at each grade level (sequence) from pre-kindergarten through the 12th grade. </w:t>
      </w:r>
    </w:p>
    <w:p w14:paraId="5825DA7A" w14:textId="77777777" w:rsidR="00224905" w:rsidRDefault="00224905" w:rsidP="00224905">
      <w:pPr>
        <w:pStyle w:val="ListParagraph"/>
        <w:numPr>
          <w:ilvl w:val="0"/>
          <w:numId w:val="19"/>
        </w:numPr>
        <w:spacing w:after="160" w:line="240" w:lineRule="auto"/>
        <w:rPr>
          <w:i/>
          <w:iCs/>
        </w:rPr>
      </w:pPr>
      <w:r w:rsidRPr="37442DCF">
        <w:t xml:space="preserve">The SAMSHA </w:t>
      </w:r>
      <w:hyperlink r:id="rId20">
        <w:r w:rsidRPr="37442DCF">
          <w:rPr>
            <w:rStyle w:val="Hyperlink"/>
          </w:rPr>
          <w:t>Preventing Marijuana Use Among Youth Guide</w:t>
        </w:r>
      </w:hyperlink>
      <w:r w:rsidRPr="37442DCF">
        <w:rPr>
          <w:i/>
          <w:iCs/>
        </w:rPr>
        <w:t xml:space="preserve"> </w:t>
      </w:r>
      <w:r w:rsidRPr="37442DCF">
        <w:t>goal is to review the literature on prevention of marijuana use among youth, distill the research into recommendations for practice, and provide examples of the ways these recommendations can be implemented.</w:t>
      </w:r>
    </w:p>
    <w:p w14:paraId="3F3B6BFD" w14:textId="77777777" w:rsidR="00224905" w:rsidRDefault="00224905" w:rsidP="00224905">
      <w:pPr>
        <w:spacing w:line="240" w:lineRule="auto"/>
        <w:rPr>
          <w:rFonts w:ascii="Times New Roman" w:eastAsia="Times New Roman" w:hAnsi="Times New Roman" w:cs="Times New Roman"/>
          <w:sz w:val="24"/>
          <w:szCs w:val="24"/>
        </w:rPr>
      </w:pPr>
    </w:p>
    <w:p w14:paraId="65AA9170" w14:textId="77777777" w:rsidR="00224905" w:rsidRDefault="00224905" w:rsidP="00224905">
      <w:pPr>
        <w:pStyle w:val="Heading1"/>
        <w:rPr>
          <w:rFonts w:ascii="Times New Roman" w:eastAsia="Times New Roman" w:hAnsi="Times New Roman" w:cs="Times New Roman"/>
          <w:color w:val="000000" w:themeColor="text1"/>
          <w:sz w:val="26"/>
          <w:szCs w:val="26"/>
        </w:rPr>
      </w:pPr>
      <w:r w:rsidRPr="2C89111B">
        <w:rPr>
          <w:rFonts w:ascii="Times New Roman" w:eastAsia="Times New Roman" w:hAnsi="Times New Roman" w:cs="Times New Roman"/>
          <w:color w:val="000000" w:themeColor="text1"/>
          <w:sz w:val="26"/>
          <w:szCs w:val="26"/>
        </w:rPr>
        <w:t>Public Health and Public Safety Resources</w:t>
      </w:r>
    </w:p>
    <w:p w14:paraId="5B9A6F4B" w14:textId="77777777" w:rsidR="00224905" w:rsidRPr="005F01E3" w:rsidRDefault="00224905" w:rsidP="00224905">
      <w:pPr>
        <w:pStyle w:val="ListParagraph"/>
        <w:numPr>
          <w:ilvl w:val="0"/>
          <w:numId w:val="19"/>
        </w:numPr>
        <w:spacing w:after="160" w:line="240" w:lineRule="auto"/>
        <w:rPr>
          <w:rFonts w:eastAsiaTheme="minorEastAsia"/>
          <w:i/>
          <w:iCs/>
        </w:rPr>
      </w:pPr>
      <w:r w:rsidRPr="005F01E3">
        <w:t xml:space="preserve">CDC’s </w:t>
      </w:r>
      <w:hyperlink r:id="rId21">
        <w:r w:rsidRPr="005F01E3">
          <w:rPr>
            <w:rStyle w:val="Hyperlink"/>
          </w:rPr>
          <w:t>Public Health and Public Safety Resources for Drug Overdose</w:t>
        </w:r>
      </w:hyperlink>
      <w:r w:rsidRPr="005F01E3">
        <w:rPr>
          <w:color w:val="000000" w:themeColor="text1"/>
        </w:rPr>
        <w:t xml:space="preserve"> uses an operational framework that aims to enhance relationship-building and collaborative, data-informed decision making between public health, public safety, and other sectors to reduce overdose deaths and harms associated with drug use.</w:t>
      </w:r>
    </w:p>
    <w:p w14:paraId="4EAC88E1" w14:textId="77777777" w:rsidR="00224905" w:rsidRPr="005F01E3" w:rsidRDefault="00224905" w:rsidP="00224905">
      <w:pPr>
        <w:pStyle w:val="ListParagraph"/>
        <w:numPr>
          <w:ilvl w:val="0"/>
          <w:numId w:val="19"/>
        </w:numPr>
        <w:spacing w:after="160" w:line="240" w:lineRule="auto"/>
        <w:rPr>
          <w:i/>
          <w:iCs/>
          <w:color w:val="000000" w:themeColor="text1"/>
        </w:rPr>
      </w:pPr>
      <w:r w:rsidRPr="005F01E3">
        <w:rPr>
          <w:color w:val="000000" w:themeColor="text1"/>
        </w:rPr>
        <w:lastRenderedPageBreak/>
        <w:t xml:space="preserve">The </w:t>
      </w:r>
      <w:hyperlink r:id="rId22">
        <w:r w:rsidRPr="005F01E3">
          <w:rPr>
            <w:rStyle w:val="Hyperlink"/>
          </w:rPr>
          <w:t>Overdose Response Strategy (ORS)</w:t>
        </w:r>
      </w:hyperlink>
      <w:r w:rsidRPr="005F01E3">
        <w:rPr>
          <w:color w:val="000000" w:themeColor="text1"/>
        </w:rPr>
        <w:t xml:space="preserve"> conducts an annual initiative-wide cornerstone project. These projects answer common questions or address shared informational needs that affect the ORS region. These projects focus on a different priority topic each year and build upon evidence-based practices to reduce overdose. Read the </w:t>
      </w:r>
      <w:hyperlink r:id="rId23">
        <w:r w:rsidRPr="005F01E3">
          <w:rPr>
            <w:rStyle w:val="Hyperlink"/>
          </w:rPr>
          <w:t>2019 Overdose Response Strategy Cornerstone Report: Overdose Prevention Services in Jails pdf icon [PDF]</w:t>
        </w:r>
      </w:hyperlink>
    </w:p>
    <w:p w14:paraId="4C0C0A83" w14:textId="77777777" w:rsidR="00224905" w:rsidRPr="005F01E3" w:rsidRDefault="00224905" w:rsidP="00224905">
      <w:pPr>
        <w:pStyle w:val="ListParagraph"/>
        <w:numPr>
          <w:ilvl w:val="0"/>
          <w:numId w:val="19"/>
        </w:numPr>
        <w:spacing w:after="160" w:line="240" w:lineRule="auto"/>
        <w:rPr>
          <w:color w:val="000000" w:themeColor="text1"/>
        </w:rPr>
      </w:pPr>
      <w:r w:rsidRPr="005F01E3">
        <w:rPr>
          <w:color w:val="000000" w:themeColor="text1"/>
        </w:rPr>
        <w:t xml:space="preserve">The </w:t>
      </w:r>
      <w:hyperlink r:id="rId24">
        <w:r w:rsidRPr="005F01E3">
          <w:rPr>
            <w:rStyle w:val="Hyperlink"/>
          </w:rPr>
          <w:t>Public Health Public Safety Team Toolkit (PHAST Toolkit) [PDF]</w:t>
        </w:r>
      </w:hyperlink>
      <w:r w:rsidRPr="005F01E3">
        <w:rPr>
          <w:color w:val="000000" w:themeColor="text1"/>
        </w:rPr>
        <w:t xml:space="preserve"> is available in its pilot format and uses an operational framework that aims to enhance relationship-building and collaborative, data-informed decision making between public health, public safety, and other sectors to reduce overdose deaths and harms associated with drug use.</w:t>
      </w:r>
    </w:p>
    <w:p w14:paraId="04FC1737"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Search Tools for Evidence Based Interventions</w:t>
      </w:r>
    </w:p>
    <w:p w14:paraId="5613415E" w14:textId="77777777" w:rsidR="00224905" w:rsidRDefault="00195FFE" w:rsidP="00224905">
      <w:pPr>
        <w:pStyle w:val="ListParagraph"/>
        <w:numPr>
          <w:ilvl w:val="0"/>
          <w:numId w:val="18"/>
        </w:numPr>
        <w:spacing w:after="160" w:line="240" w:lineRule="auto"/>
        <w:rPr>
          <w:rFonts w:eastAsiaTheme="minorEastAsia"/>
          <w:color w:val="000000" w:themeColor="text1"/>
        </w:rPr>
      </w:pPr>
      <w:hyperlink r:id="rId25">
        <w:r w:rsidR="00224905" w:rsidRPr="5C301132">
          <w:rPr>
            <w:rStyle w:val="Hyperlink"/>
          </w:rPr>
          <w:t>SAMHSA’s Finding Evidence-based Programs and Practices</w:t>
        </w:r>
      </w:hyperlink>
      <w:r w:rsidR="00224905" w:rsidRPr="5C301132">
        <w:rPr>
          <w:color w:val="000000" w:themeColor="text1"/>
        </w:rPr>
        <w:t xml:space="preserve"> a resource to find information on evidence-based prevention programs and practices for prevention practitioners and individuals working in related behavioral health fields.</w:t>
      </w:r>
    </w:p>
    <w:p w14:paraId="3BBF8951" w14:textId="77777777" w:rsidR="00224905" w:rsidRDefault="00195FFE" w:rsidP="00224905">
      <w:pPr>
        <w:pStyle w:val="ListParagraph"/>
        <w:numPr>
          <w:ilvl w:val="0"/>
          <w:numId w:val="17"/>
        </w:numPr>
        <w:spacing w:after="160" w:line="240" w:lineRule="auto"/>
        <w:rPr>
          <w:rFonts w:eastAsiaTheme="minorEastAsia"/>
          <w:color w:val="000000" w:themeColor="text1"/>
          <w:u w:val="single"/>
        </w:rPr>
      </w:pPr>
      <w:hyperlink r:id="rId26">
        <w:r w:rsidR="00224905" w:rsidRPr="7F6F4868">
          <w:rPr>
            <w:rStyle w:val="Hyperlink"/>
          </w:rPr>
          <w:t>IES’ What Works Clearinghouse (WWC)</w:t>
        </w:r>
      </w:hyperlink>
      <w:r w:rsidR="00224905" w:rsidRPr="7F6F4868">
        <w:rPr>
          <w:color w:val="000000" w:themeColor="text1"/>
        </w:rPr>
        <w:t xml:space="preserve"> reviews the existing research on different programs, products, practices, and policies in education. Their goal is to provide educators with the information they need to make evidence-based decisions.</w:t>
      </w:r>
    </w:p>
    <w:p w14:paraId="3E03BDEB" w14:textId="77777777"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t xml:space="preserve">Excessive Alcohol Use Prevention </w:t>
      </w:r>
    </w:p>
    <w:p w14:paraId="3099C3E1" w14:textId="77777777" w:rsidR="00224905" w:rsidRDefault="00224905" w:rsidP="00224905">
      <w:pPr>
        <w:pStyle w:val="Heading2"/>
        <w:spacing w:line="240" w:lineRule="auto"/>
        <w:rPr>
          <w:rFonts w:ascii="Times New Roman" w:eastAsia="Times New Roman" w:hAnsi="Times New Roman" w:cs="Times New Roman"/>
          <w:sz w:val="24"/>
          <w:szCs w:val="24"/>
        </w:rPr>
      </w:pPr>
      <w:r w:rsidRPr="4055A505">
        <w:rPr>
          <w:rFonts w:ascii="Times New Roman" w:eastAsia="Times New Roman" w:hAnsi="Times New Roman" w:cs="Times New Roman"/>
          <w:color w:val="000000" w:themeColor="text1"/>
        </w:rPr>
        <w:t>Background Information</w:t>
      </w:r>
      <w:r w:rsidRPr="4055A505">
        <w:rPr>
          <w:rFonts w:ascii="Times New Roman" w:eastAsia="Times New Roman" w:hAnsi="Times New Roman" w:cs="Times New Roman"/>
          <w:sz w:val="24"/>
          <w:szCs w:val="24"/>
        </w:rPr>
        <w:t xml:space="preserve"> </w:t>
      </w:r>
    </w:p>
    <w:p w14:paraId="15FC4A9C" w14:textId="77777777" w:rsidR="00224905" w:rsidRDefault="00195FFE" w:rsidP="00224905">
      <w:pPr>
        <w:pStyle w:val="ListParagraph"/>
        <w:numPr>
          <w:ilvl w:val="0"/>
          <w:numId w:val="17"/>
        </w:numPr>
        <w:spacing w:after="160" w:line="240" w:lineRule="auto"/>
        <w:rPr>
          <w:color w:val="000000" w:themeColor="text1"/>
        </w:rPr>
      </w:pPr>
      <w:hyperlink r:id="rId27">
        <w:r w:rsidR="00224905" w:rsidRPr="26879382">
          <w:rPr>
            <w:rStyle w:val="Hyperlink"/>
          </w:rPr>
          <w:t>Preventing Excessive Alcohol Use</w:t>
        </w:r>
      </w:hyperlink>
      <w:r w:rsidR="00224905" w:rsidRPr="26879382">
        <w:rPr>
          <w:color w:val="0563C1"/>
          <w:u w:val="single"/>
        </w:rPr>
        <w:t xml:space="preserve"> </w:t>
      </w:r>
      <w:r w:rsidR="00224905" w:rsidRPr="26879382">
        <w:rPr>
          <w:color w:val="000000" w:themeColor="text1"/>
        </w:rPr>
        <w:t>lists strategies that can help communities create social and physical environments that discourage excessive alcohol consumption, thereby reducing alcohol-related fatalities, costs, and other harms.</w:t>
      </w:r>
    </w:p>
    <w:p w14:paraId="0AC6FB2C" w14:textId="77777777" w:rsidR="00224905" w:rsidRDefault="00224905" w:rsidP="00224905">
      <w:pPr>
        <w:pStyle w:val="ListParagraph"/>
        <w:numPr>
          <w:ilvl w:val="0"/>
          <w:numId w:val="17"/>
        </w:numPr>
        <w:spacing w:after="160" w:line="240" w:lineRule="auto"/>
      </w:pPr>
      <w:r w:rsidRPr="4055A505">
        <w:t xml:space="preserve">CDC information, data, and resources on underage drinking can be found </w:t>
      </w:r>
      <w:hyperlink r:id="rId28">
        <w:r w:rsidRPr="4055A505">
          <w:rPr>
            <w:rStyle w:val="Hyperlink"/>
          </w:rPr>
          <w:t>here</w:t>
        </w:r>
      </w:hyperlink>
      <w:r w:rsidRPr="4055A505">
        <w:t xml:space="preserve">. </w:t>
      </w:r>
    </w:p>
    <w:p w14:paraId="0E9E78D1" w14:textId="77777777" w:rsidR="00224905" w:rsidRDefault="00224905" w:rsidP="00224905">
      <w:pPr>
        <w:pStyle w:val="ListParagraph"/>
        <w:numPr>
          <w:ilvl w:val="0"/>
          <w:numId w:val="17"/>
        </w:numPr>
        <w:spacing w:after="160" w:line="240" w:lineRule="auto"/>
      </w:pPr>
      <w:r w:rsidRPr="26879382">
        <w:t xml:space="preserve">CDC information, data and resources on binge drinking and binge drinking prevention can be found </w:t>
      </w:r>
      <w:hyperlink r:id="rId29">
        <w:r w:rsidRPr="26879382">
          <w:rPr>
            <w:rStyle w:val="Hyperlink"/>
          </w:rPr>
          <w:t>here.</w:t>
        </w:r>
      </w:hyperlink>
    </w:p>
    <w:p w14:paraId="708D9562" w14:textId="77777777" w:rsidR="00224905" w:rsidRDefault="00224905" w:rsidP="00224905">
      <w:pPr>
        <w:pStyle w:val="ListParagraph"/>
        <w:numPr>
          <w:ilvl w:val="0"/>
          <w:numId w:val="17"/>
        </w:numPr>
        <w:spacing w:after="160" w:line="240" w:lineRule="auto"/>
        <w:rPr>
          <w:rFonts w:eastAsiaTheme="minorEastAsia"/>
        </w:rPr>
      </w:pPr>
      <w:r w:rsidRPr="26879382">
        <w:t xml:space="preserve">CDC’s </w:t>
      </w:r>
      <w:hyperlink r:id="rId30">
        <w:r w:rsidRPr="26879382">
          <w:rPr>
            <w:rStyle w:val="Hyperlink"/>
          </w:rPr>
          <w:t>Chronic Disease Indicators</w:t>
        </w:r>
      </w:hyperlink>
      <w:r w:rsidRPr="26879382">
        <w:t xml:space="preserve"> are a set of uniformly defined state-level surveillance indicators of chronic disease and related risk factors (e.g., Alcohol use among youth) that can be used for surveillance, prioritization, and evaluation of public health interventions.</w:t>
      </w:r>
    </w:p>
    <w:p w14:paraId="02A8B7EF" w14:textId="77777777" w:rsidR="00224905" w:rsidRDefault="00224905" w:rsidP="00224905">
      <w:pPr>
        <w:pStyle w:val="ListParagraph"/>
        <w:numPr>
          <w:ilvl w:val="0"/>
          <w:numId w:val="17"/>
        </w:numPr>
        <w:spacing w:after="160"/>
        <w:rPr>
          <w:rFonts w:eastAsiaTheme="minorEastAsia"/>
        </w:rPr>
      </w:pPr>
      <w:r w:rsidRPr="26879382">
        <w:t xml:space="preserve">CDC </w:t>
      </w:r>
      <w:hyperlink r:id="rId31">
        <w:r w:rsidRPr="26879382">
          <w:rPr>
            <w:rStyle w:val="Hyperlink"/>
          </w:rPr>
          <w:t>PLACES</w:t>
        </w:r>
      </w:hyperlink>
      <w:r w:rsidRPr="26879382">
        <w:t xml:space="preserve"> allows users to understand the burden and geographic distribution of health outcomes by providing small area estimates (e.g., Current binge drinking among adults) by county, place (incorporated and census designated places), census tract, or ZIP Code Tabulation Area.</w:t>
      </w:r>
    </w:p>
    <w:p w14:paraId="1DA4EB85" w14:textId="77777777" w:rsidR="00224905" w:rsidRDefault="00224905" w:rsidP="00224905">
      <w:pPr>
        <w:pStyle w:val="ListParagraph"/>
        <w:numPr>
          <w:ilvl w:val="0"/>
          <w:numId w:val="17"/>
        </w:numPr>
        <w:spacing w:after="160"/>
        <w:rPr>
          <w:rFonts w:eastAsiaTheme="minorEastAsia"/>
        </w:rPr>
      </w:pPr>
      <w:r w:rsidRPr="26879382">
        <w:t xml:space="preserve">The Interagency Coordinating Committee on the Prevention of Underage Drinking </w:t>
      </w:r>
      <w:hyperlink r:id="rId32">
        <w:r w:rsidRPr="26879382">
          <w:rPr>
            <w:rStyle w:val="Hyperlink"/>
          </w:rPr>
          <w:t>web portal</w:t>
        </w:r>
      </w:hyperlink>
      <w:r w:rsidRPr="26879382">
        <w:t xml:space="preserve">  has resources for providers, practitioners, researchers, policymakers, educators and parents, including </w:t>
      </w:r>
      <w:hyperlink r:id="rId33">
        <w:r w:rsidRPr="26879382">
          <w:rPr>
            <w:rStyle w:val="Hyperlink"/>
          </w:rPr>
          <w:t xml:space="preserve">The Report to Congress, </w:t>
        </w:r>
      </w:hyperlink>
      <w:hyperlink r:id="rId34">
        <w:r w:rsidRPr="26879382">
          <w:rPr>
            <w:rStyle w:val="Hyperlink"/>
          </w:rPr>
          <w:t>State Performance and Best Practices Report</w:t>
        </w:r>
      </w:hyperlink>
      <w:r w:rsidRPr="26879382">
        <w:t xml:space="preserve">, and 51 </w:t>
      </w:r>
      <w:hyperlink r:id="rId35">
        <w:r w:rsidRPr="26879382">
          <w:rPr>
            <w:rStyle w:val="Hyperlink"/>
          </w:rPr>
          <w:t>Individual State Reports</w:t>
        </w:r>
      </w:hyperlink>
      <w:r w:rsidRPr="26879382">
        <w:t>.</w:t>
      </w:r>
    </w:p>
    <w:p w14:paraId="5AEC20CA"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26879382">
        <w:rPr>
          <w:rFonts w:ascii="Times New Roman" w:eastAsia="Times New Roman" w:hAnsi="Times New Roman" w:cs="Times New Roman"/>
          <w:color w:val="000000" w:themeColor="text1"/>
        </w:rPr>
        <w:t>Effective Population-Level Prevention Strategies</w:t>
      </w:r>
    </w:p>
    <w:p w14:paraId="2FB2BD33" w14:textId="77777777" w:rsidR="00224905" w:rsidRDefault="00195FFE" w:rsidP="00224905">
      <w:pPr>
        <w:pStyle w:val="ListParagraph"/>
        <w:numPr>
          <w:ilvl w:val="0"/>
          <w:numId w:val="16"/>
        </w:numPr>
        <w:spacing w:after="160" w:line="240" w:lineRule="auto"/>
        <w:rPr>
          <w:rFonts w:eastAsiaTheme="minorEastAsia"/>
          <w:color w:val="0563C1"/>
        </w:rPr>
      </w:pPr>
      <w:hyperlink r:id="rId36">
        <w:r w:rsidR="00224905" w:rsidRPr="26879382">
          <w:rPr>
            <w:rStyle w:val="Hyperlink"/>
          </w:rPr>
          <w:t>The Community Guide Chapter on Excessive Alcohol Consumption</w:t>
        </w:r>
      </w:hyperlink>
      <w:r w:rsidR="00224905" w:rsidRPr="26879382">
        <w:rPr>
          <w:color w:val="0563C1"/>
        </w:rPr>
        <w:t xml:space="preserve"> </w:t>
      </w:r>
      <w:r w:rsidR="00224905" w:rsidRPr="26879382">
        <w:rPr>
          <w:color w:val="000000" w:themeColor="text1"/>
        </w:rPr>
        <w:t xml:space="preserve">provides detailed information on the evidence-based </w:t>
      </w:r>
      <w:hyperlink r:id="rId37">
        <w:r w:rsidR="00224905" w:rsidRPr="26879382">
          <w:rPr>
            <w:rStyle w:val="Hyperlink"/>
          </w:rPr>
          <w:t>findings</w:t>
        </w:r>
      </w:hyperlink>
      <w:r w:rsidR="00224905" w:rsidRPr="26879382">
        <w:rPr>
          <w:color w:val="000000" w:themeColor="text1"/>
        </w:rPr>
        <w:t xml:space="preserve"> of the </w:t>
      </w:r>
      <w:hyperlink r:id="rId38">
        <w:r w:rsidR="00224905" w:rsidRPr="26879382">
          <w:rPr>
            <w:rStyle w:val="Hyperlink"/>
          </w:rPr>
          <w:t>Community Preventive Services Task Force (CPSTF)</w:t>
        </w:r>
      </w:hyperlink>
      <w:r w:rsidR="00224905" w:rsidRPr="26879382">
        <w:rPr>
          <w:color w:val="000000" w:themeColor="text1"/>
        </w:rPr>
        <w:t xml:space="preserve"> to help with the selection of interventions for a state, community, business, healthcare organization, or school.</w:t>
      </w:r>
    </w:p>
    <w:p w14:paraId="771122DE" w14:textId="77777777" w:rsidR="00224905" w:rsidRDefault="00224905" w:rsidP="00224905">
      <w:pPr>
        <w:pStyle w:val="ListParagraph"/>
        <w:numPr>
          <w:ilvl w:val="0"/>
          <w:numId w:val="16"/>
        </w:numPr>
        <w:spacing w:after="160"/>
        <w:rPr>
          <w:rFonts w:eastAsiaTheme="minorEastAsia"/>
        </w:rPr>
      </w:pPr>
      <w:r w:rsidRPr="26879382">
        <w:lastRenderedPageBreak/>
        <w:t xml:space="preserve">CDC’s </w:t>
      </w:r>
      <w:hyperlink r:id="rId39">
        <w:r w:rsidRPr="26879382">
          <w:rPr>
            <w:rStyle w:val="Hyperlink"/>
          </w:rPr>
          <w:t xml:space="preserve"> Prevention Status Reports on Alcohol-Related Harms</w:t>
        </w:r>
      </w:hyperlink>
      <w:r w:rsidRPr="26879382">
        <w:rPr>
          <w:color w:val="0563C1"/>
        </w:rPr>
        <w:t xml:space="preserve"> </w:t>
      </w:r>
      <w:r w:rsidRPr="26879382">
        <w:t>highlight—for all 50 states and the District of Columbia—the status of select public health policies and practices, namely increasing state excise taxes on alcohol and commercial host liability laws, which are recommended by the CPSTF.</w:t>
      </w:r>
    </w:p>
    <w:p w14:paraId="67739A94" w14:textId="77777777" w:rsidR="00224905" w:rsidRDefault="00224905" w:rsidP="00224905">
      <w:pPr>
        <w:pStyle w:val="ListParagraph"/>
        <w:numPr>
          <w:ilvl w:val="0"/>
          <w:numId w:val="16"/>
        </w:numPr>
        <w:spacing w:after="160"/>
        <w:rPr>
          <w:rFonts w:eastAsiaTheme="minorEastAsia"/>
        </w:rPr>
      </w:pPr>
      <w:r w:rsidRPr="26879382">
        <w:t xml:space="preserve">ChangeLab Solutions’ </w:t>
      </w:r>
      <w:hyperlink r:id="rId40">
        <w:r w:rsidRPr="26879382">
          <w:rPr>
            <w:rStyle w:val="Hyperlink"/>
          </w:rPr>
          <w:t>Alcohol-Related Harms: User’s Guides for CDC’s Prevention Status Reports</w:t>
        </w:r>
      </w:hyperlink>
      <w:r w:rsidRPr="26879382">
        <w:rPr>
          <w:color w:val="0563C1"/>
          <w:u w:val="single"/>
        </w:rPr>
        <w:t xml:space="preserve"> </w:t>
      </w:r>
      <w:r w:rsidRPr="26879382">
        <w:t>complement the Prevention Status Reports with an overview of alcohol taxes, commercial host liability, and limiting alcohol outlet density in a given geographic area.</w:t>
      </w:r>
    </w:p>
    <w:p w14:paraId="58FE0A63" w14:textId="77777777" w:rsidR="00224905" w:rsidRDefault="00224905" w:rsidP="00224905">
      <w:pPr>
        <w:pStyle w:val="ListParagraph"/>
        <w:numPr>
          <w:ilvl w:val="0"/>
          <w:numId w:val="16"/>
        </w:numPr>
        <w:spacing w:after="160"/>
        <w:rPr>
          <w:rFonts w:eastAsiaTheme="minorEastAsia"/>
        </w:rPr>
      </w:pPr>
      <w:r w:rsidRPr="26879382">
        <w:t>CADCA’s Strategize</w:t>
      </w:r>
      <w:r>
        <w:t>r</w:t>
      </w:r>
      <w:r w:rsidRPr="26879382">
        <w:t xml:space="preserve">, </w:t>
      </w:r>
      <w:hyperlink r:id="rId41">
        <w:r w:rsidRPr="26879382">
          <w:rPr>
            <w:rStyle w:val="Hyperlink"/>
          </w:rPr>
          <w:t>Regulating Alcohol Outlet Density: An Action Guide,</w:t>
        </w:r>
      </w:hyperlink>
      <w:r w:rsidRPr="26879382">
        <w:t xml:space="preserve"> can assist communities in planning, implementing and evaluating efforts to limit alcohol outlet density. </w:t>
      </w:r>
    </w:p>
    <w:p w14:paraId="24E16403" w14:textId="77777777" w:rsidR="00224905" w:rsidRDefault="00224905" w:rsidP="00224905">
      <w:pPr>
        <w:pStyle w:val="ListParagraph"/>
        <w:numPr>
          <w:ilvl w:val="0"/>
          <w:numId w:val="16"/>
        </w:numPr>
        <w:spacing w:after="160"/>
        <w:rPr>
          <w:rFonts w:eastAsiaTheme="minorEastAsia"/>
        </w:rPr>
      </w:pPr>
      <w:r w:rsidRPr="26879382">
        <w:t xml:space="preserve">CDC’s </w:t>
      </w:r>
      <w:hyperlink r:id="rId42">
        <w:r w:rsidRPr="26879382">
          <w:rPr>
            <w:rStyle w:val="Hyperlink"/>
          </w:rPr>
          <w:t>Alcohol Outlet Density Measurement Tools</w:t>
        </w:r>
      </w:hyperlink>
      <w:r w:rsidRPr="26879382">
        <w:t xml:space="preserve"> includes the CDC Guide for Measuring Alcohol Outlet Density and CDC’s new Alcohol Outlet Density Surveillance Toolkit, which provides steps to use alcohol outlet density indicators for surveillance in states and local jurisdictions. </w:t>
      </w:r>
    </w:p>
    <w:p w14:paraId="75C69E14" w14:textId="77777777" w:rsidR="00224905" w:rsidRDefault="00224905" w:rsidP="00224905">
      <w:pPr>
        <w:pStyle w:val="ListParagraph"/>
        <w:numPr>
          <w:ilvl w:val="0"/>
          <w:numId w:val="16"/>
        </w:numPr>
        <w:spacing w:after="160"/>
        <w:rPr>
          <w:rFonts w:eastAsiaTheme="minorEastAsia"/>
        </w:rPr>
      </w:pPr>
      <w:r w:rsidRPr="26879382">
        <w:t xml:space="preserve">CADCA’s Strategizer, </w:t>
      </w:r>
      <w:hyperlink r:id="rId43">
        <w:r w:rsidRPr="26879382">
          <w:rPr>
            <w:rStyle w:val="Hyperlink"/>
          </w:rPr>
          <w:t>Reducing Alcohol-Related Harms Through Commercial Host Liability,</w:t>
        </w:r>
      </w:hyperlink>
      <w:r w:rsidRPr="26879382">
        <w:t xml:space="preserve"> introduces public health departments, community coalitions and other organizations and individuals to an intervention that can reduce the health and social problems associated with excessive alcohol use.</w:t>
      </w:r>
    </w:p>
    <w:p w14:paraId="5FAB610C" w14:textId="77777777"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t>Violence Prevention</w:t>
      </w:r>
    </w:p>
    <w:p w14:paraId="4CB6E5E5"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Technical Packages</w:t>
      </w:r>
    </w:p>
    <w:p w14:paraId="1F9E688C" w14:textId="77777777" w:rsidR="00224905" w:rsidRDefault="00224905" w:rsidP="00224905">
      <w:pPr>
        <w:pStyle w:val="ListParagraph"/>
        <w:numPr>
          <w:ilvl w:val="0"/>
          <w:numId w:val="15"/>
        </w:numPr>
        <w:spacing w:after="160" w:line="240" w:lineRule="auto"/>
      </w:pPr>
      <w:r w:rsidRPr="4055A505">
        <w:t xml:space="preserve">CDC’s </w:t>
      </w:r>
      <w:hyperlink r:id="rId44">
        <w:r w:rsidRPr="4055A505">
          <w:rPr>
            <w:rStyle w:val="Hyperlink"/>
          </w:rPr>
          <w:t>A Comprehensive Technical Package for the Prevention of Youth Violence and Associated Risk Behaviors</w:t>
        </w:r>
      </w:hyperlink>
      <w:r w:rsidRPr="4055A505">
        <w:rPr>
          <w:color w:val="0563C1"/>
          <w:u w:val="single"/>
        </w:rPr>
        <w:t xml:space="preserve"> </w:t>
      </w:r>
      <w:r w:rsidRPr="4055A505">
        <w:t>represents a select group of strategies based on the best available evidence to help communities and states sharpen their focus on prevention activities with the greatest potential to prevent youth violence and its consequences.</w:t>
      </w:r>
    </w:p>
    <w:p w14:paraId="1B1D7AFC" w14:textId="77777777" w:rsidR="00224905" w:rsidRDefault="00224905" w:rsidP="00224905">
      <w:pPr>
        <w:pStyle w:val="ListParagraph"/>
        <w:numPr>
          <w:ilvl w:val="0"/>
          <w:numId w:val="15"/>
        </w:numPr>
        <w:spacing w:after="160" w:line="240" w:lineRule="auto"/>
      </w:pPr>
      <w:r w:rsidRPr="4055A505">
        <w:t xml:space="preserve">CDC’s </w:t>
      </w:r>
      <w:hyperlink r:id="rId45">
        <w:r w:rsidRPr="4055A505">
          <w:rPr>
            <w:rStyle w:val="Hyperlink"/>
          </w:rPr>
          <w:t>Preventing Intimate Partner Violence Across the Lifespan: A Technical Package of Policy, Programs, and Practices</w:t>
        </w:r>
      </w:hyperlink>
      <w:r w:rsidRPr="4055A505">
        <w:t xml:space="preserve"> offers a select group of strategies based on the best available evidence to help communities and states sharpen their focus on prevention activities with the greatest potential to prevent intimate partner violence (IPV) and its consequences across the lifespan.</w:t>
      </w:r>
    </w:p>
    <w:p w14:paraId="5503CAE5" w14:textId="77777777" w:rsidR="00224905" w:rsidRDefault="00224905" w:rsidP="00224905">
      <w:pPr>
        <w:pStyle w:val="ListParagraph"/>
        <w:numPr>
          <w:ilvl w:val="0"/>
          <w:numId w:val="15"/>
        </w:numPr>
        <w:spacing w:after="160" w:line="240" w:lineRule="auto"/>
      </w:pPr>
      <w:r w:rsidRPr="4055A505">
        <w:t xml:space="preserve">CDC’s </w:t>
      </w:r>
      <w:hyperlink r:id="rId46">
        <w:r w:rsidRPr="4055A505">
          <w:rPr>
            <w:rStyle w:val="Hyperlink"/>
          </w:rPr>
          <w:t>Preventing Suicide: A Technical Package of Policy, Programs, and Practices</w:t>
        </w:r>
      </w:hyperlink>
      <w:r w:rsidRPr="4055A505">
        <w:t xml:space="preserve"> represents a select group of strategies based on the best available evidence to help communities and states sharpen their focus on prevention activities with the greatest potential to prevent suicide.</w:t>
      </w:r>
    </w:p>
    <w:p w14:paraId="0D8B999F" w14:textId="77777777" w:rsidR="00224905" w:rsidRDefault="00224905" w:rsidP="00224905">
      <w:pPr>
        <w:pStyle w:val="ListParagraph"/>
        <w:numPr>
          <w:ilvl w:val="0"/>
          <w:numId w:val="15"/>
        </w:numPr>
        <w:spacing w:after="160" w:line="240" w:lineRule="auto"/>
      </w:pPr>
      <w:r w:rsidRPr="4055A505">
        <w:t xml:space="preserve">CDC’s </w:t>
      </w:r>
      <w:hyperlink r:id="rId47">
        <w:r w:rsidRPr="4055A505">
          <w:rPr>
            <w:rStyle w:val="Hyperlink"/>
          </w:rPr>
          <w:t xml:space="preserve">STOP SV: A Technical Package to Prevent Sexual Violence </w:t>
        </w:r>
      </w:hyperlink>
      <w:r w:rsidRPr="4055A505">
        <w:t xml:space="preserve"> represents a select group of strategies based on the best available evidence to help communities and states sharpen their focus on prevention activities with the greatest potential to reduce sexual violence (SV) and its consequences.</w:t>
      </w:r>
    </w:p>
    <w:p w14:paraId="3F9127DA" w14:textId="77777777" w:rsidR="00224905" w:rsidRDefault="00224905" w:rsidP="00224905">
      <w:pPr>
        <w:pStyle w:val="ListParagraph"/>
        <w:numPr>
          <w:ilvl w:val="0"/>
          <w:numId w:val="15"/>
        </w:numPr>
        <w:spacing w:after="160" w:line="240" w:lineRule="auto"/>
      </w:pPr>
      <w:r w:rsidRPr="4055A505">
        <w:t xml:space="preserve">CDC’s </w:t>
      </w:r>
      <w:hyperlink r:id="rId48">
        <w:r w:rsidRPr="4055A505">
          <w:rPr>
            <w:rStyle w:val="Hyperlink"/>
          </w:rPr>
          <w:t>Preventing Child Abuse and Neglect: A Technical Package for Policy, Norm, and Programmatic Activities</w:t>
        </w:r>
      </w:hyperlink>
      <w:r w:rsidRPr="4055A505">
        <w:t xml:space="preserve"> represents a select group of strategies based on the best available evidence to help prevent child abuse and neglect.</w:t>
      </w:r>
    </w:p>
    <w:p w14:paraId="3EB2ADC9" w14:textId="77777777" w:rsidR="00224905" w:rsidRPr="00114A34" w:rsidRDefault="00224905" w:rsidP="00224905">
      <w:pPr>
        <w:pStyle w:val="ListParagraph"/>
        <w:numPr>
          <w:ilvl w:val="0"/>
          <w:numId w:val="15"/>
        </w:numPr>
        <w:spacing w:after="160" w:line="240" w:lineRule="auto"/>
      </w:pPr>
      <w:r w:rsidRPr="4055A505">
        <w:lastRenderedPageBreak/>
        <w:t xml:space="preserve">CDC’s </w:t>
      </w:r>
      <w:hyperlink r:id="rId49" w:anchor="!/">
        <w:r w:rsidRPr="4055A505">
          <w:rPr>
            <w:rStyle w:val="Hyperlink"/>
          </w:rPr>
          <w:t>Violence Prevention in Practice | VetoViolence (cdc.gov)</w:t>
        </w:r>
      </w:hyperlink>
      <w:r w:rsidRPr="4055A505">
        <w:t xml:space="preserve"> helps communities select and implement the strategies presented in the technical package.</w:t>
      </w:r>
    </w:p>
    <w:p w14:paraId="67C1DED2" w14:textId="77777777" w:rsidR="00224905" w:rsidRDefault="00224905" w:rsidP="00224905">
      <w:pPr>
        <w:pStyle w:val="ListParagraph"/>
        <w:numPr>
          <w:ilvl w:val="0"/>
          <w:numId w:val="15"/>
        </w:numPr>
        <w:spacing w:after="160" w:line="240" w:lineRule="auto"/>
      </w:pPr>
      <w:r w:rsidRPr="4055A505">
        <w:t xml:space="preserve">CDC background information and data resources on violence prevention in youth can be found </w:t>
      </w:r>
      <w:hyperlink r:id="rId50">
        <w:r w:rsidRPr="4055A505">
          <w:rPr>
            <w:rStyle w:val="Hyperlink"/>
          </w:rPr>
          <w:t>here</w:t>
        </w:r>
      </w:hyperlink>
      <w:r w:rsidRPr="4055A505">
        <w:t>.</w:t>
      </w:r>
    </w:p>
    <w:p w14:paraId="138E0039"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sz w:val="24"/>
          <w:szCs w:val="24"/>
        </w:rPr>
        <w:t xml:space="preserve"> </w:t>
      </w:r>
      <w:r w:rsidRPr="4055A505">
        <w:rPr>
          <w:rFonts w:ascii="Times New Roman" w:eastAsia="Times New Roman" w:hAnsi="Times New Roman" w:cs="Times New Roman"/>
          <w:color w:val="000000" w:themeColor="text1"/>
        </w:rPr>
        <w:t>ACEs Resources</w:t>
      </w:r>
    </w:p>
    <w:p w14:paraId="49AB4DB1" w14:textId="77777777" w:rsidR="00224905" w:rsidRDefault="00195FFE" w:rsidP="00224905">
      <w:pPr>
        <w:pStyle w:val="ListParagraph"/>
        <w:numPr>
          <w:ilvl w:val="0"/>
          <w:numId w:val="14"/>
        </w:numPr>
        <w:spacing w:after="160" w:line="240" w:lineRule="auto"/>
        <w:rPr>
          <w:color w:val="000000" w:themeColor="text1"/>
        </w:rPr>
      </w:pPr>
      <w:hyperlink r:id="rId51">
        <w:r w:rsidR="00224905" w:rsidRPr="4055A505">
          <w:rPr>
            <w:rStyle w:val="Hyperlink"/>
          </w:rPr>
          <w:t>Preventing Adverse Childhood Experiences: Leveraging the Best Available Evidence</w:t>
        </w:r>
      </w:hyperlink>
      <w:r w:rsidR="00224905" w:rsidRPr="4055A505">
        <w:rPr>
          <w:color w:val="0563C1"/>
          <w:u w:val="single"/>
        </w:rPr>
        <w:t xml:space="preserve"> </w:t>
      </w:r>
      <w:r w:rsidR="00224905" w:rsidRPr="4055A505">
        <w:rPr>
          <w:color w:val="000000" w:themeColor="text1"/>
        </w:rPr>
        <w:t xml:space="preserve">is a resource to help states and communities leverage the best available evidence to prevent ACEs from happening in the first place as well as lessen harms when ACEs do occur. It features six strategies drawn from the CDC Technical Packages to Prevent Violence. </w:t>
      </w:r>
    </w:p>
    <w:p w14:paraId="4BD067FA" w14:textId="77777777" w:rsidR="00224905" w:rsidRDefault="00224905" w:rsidP="00224905">
      <w:pPr>
        <w:pStyle w:val="ListParagraph"/>
        <w:numPr>
          <w:ilvl w:val="0"/>
          <w:numId w:val="14"/>
        </w:numPr>
        <w:spacing w:after="160" w:line="240" w:lineRule="auto"/>
        <w:rPr>
          <w:color w:val="000000" w:themeColor="text1"/>
        </w:rPr>
      </w:pPr>
      <w:r w:rsidRPr="4055A505">
        <w:rPr>
          <w:color w:val="000000" w:themeColor="text1"/>
        </w:rPr>
        <w:t xml:space="preserve">CDC background information on ACEs, including publications, presentation graphics and data sources can be found </w:t>
      </w:r>
      <w:hyperlink r:id="rId52">
        <w:r w:rsidRPr="4055A505">
          <w:rPr>
            <w:rStyle w:val="Hyperlink"/>
          </w:rPr>
          <w:t>here.</w:t>
        </w:r>
      </w:hyperlink>
    </w:p>
    <w:p w14:paraId="1531B225" w14:textId="77777777"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t>Smoking and Health</w:t>
      </w:r>
    </w:p>
    <w:p w14:paraId="2E8C047E"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Background Information</w:t>
      </w:r>
    </w:p>
    <w:p w14:paraId="4C952173" w14:textId="77777777" w:rsidR="00224905" w:rsidRDefault="00224905" w:rsidP="00224905">
      <w:pPr>
        <w:pStyle w:val="ListParagraph"/>
        <w:numPr>
          <w:ilvl w:val="0"/>
          <w:numId w:val="13"/>
        </w:numPr>
        <w:spacing w:after="160" w:line="240" w:lineRule="auto"/>
      </w:pPr>
      <w:r w:rsidRPr="03C9BF7A">
        <w:t xml:space="preserve">CDC’s </w:t>
      </w:r>
      <w:hyperlink r:id="rId53">
        <w:r w:rsidRPr="03C9BF7A">
          <w:rPr>
            <w:rStyle w:val="Hyperlink"/>
          </w:rPr>
          <w:t xml:space="preserve">Quick Facts on the Risks of E-cigarettes for Kids, Teens, and Young Adults </w:t>
        </w:r>
      </w:hyperlink>
      <w:r w:rsidRPr="03C9BF7A">
        <w:t>provides information, data and resources on e-cigarette use in youth.</w:t>
      </w:r>
    </w:p>
    <w:p w14:paraId="10312427" w14:textId="77777777" w:rsidR="00224905" w:rsidRDefault="00195FFE" w:rsidP="00224905">
      <w:pPr>
        <w:pStyle w:val="ListParagraph"/>
        <w:numPr>
          <w:ilvl w:val="0"/>
          <w:numId w:val="13"/>
        </w:numPr>
        <w:spacing w:after="160" w:line="240" w:lineRule="auto"/>
        <w:rPr>
          <w:color w:val="333333"/>
        </w:rPr>
      </w:pPr>
      <w:hyperlink r:id="rId54">
        <w:r w:rsidR="00224905" w:rsidRPr="5C301132">
          <w:rPr>
            <w:rStyle w:val="Hyperlink"/>
          </w:rPr>
          <w:t>Boosting the Tobacco Control Vaccine: recognizing the role of the retail environment in addressing tobacco use and disparities</w:t>
        </w:r>
      </w:hyperlink>
      <w:r w:rsidR="00224905" w:rsidRPr="5C301132">
        <w:rPr>
          <w:color w:val="333333"/>
        </w:rPr>
        <w:t xml:space="preserve"> provides an overview of the importance of incorporating strategies focused on the tobacco retailer environment as part of a comprehensive approach to tobacco prevention and control</w:t>
      </w:r>
    </w:p>
    <w:p w14:paraId="4844AACF" w14:textId="77777777" w:rsidR="00224905" w:rsidRDefault="00224905" w:rsidP="00224905">
      <w:pPr>
        <w:pStyle w:val="ListParagraph"/>
        <w:numPr>
          <w:ilvl w:val="0"/>
          <w:numId w:val="13"/>
        </w:numPr>
        <w:spacing w:after="160" w:line="240" w:lineRule="auto"/>
      </w:pPr>
      <w:r w:rsidRPr="03C9BF7A">
        <w:t xml:space="preserve">CDC’s </w:t>
      </w:r>
      <w:hyperlink r:id="rId55">
        <w:r w:rsidRPr="03C9BF7A">
          <w:rPr>
            <w:rStyle w:val="Hyperlink"/>
          </w:rPr>
          <w:t xml:space="preserve">E-cigarettes and Youth: What Parents Need to Know </w:t>
        </w:r>
      </w:hyperlink>
      <w:r w:rsidRPr="03C9BF7A">
        <w:t xml:space="preserve">is a factsheet designed to provide information on the risks of e-cigarette use in youth. </w:t>
      </w:r>
    </w:p>
    <w:p w14:paraId="0D599B59" w14:textId="77777777" w:rsidR="00224905" w:rsidRDefault="00224905" w:rsidP="00224905">
      <w:pPr>
        <w:pStyle w:val="ListParagraph"/>
        <w:numPr>
          <w:ilvl w:val="0"/>
          <w:numId w:val="13"/>
        </w:numPr>
        <w:spacing w:after="160" w:line="240" w:lineRule="auto"/>
      </w:pPr>
      <w:r w:rsidRPr="5C301132">
        <w:t xml:space="preserve">American Academy of Pediatrics resource and pediatric patient care guide for </w:t>
      </w:r>
      <w:hyperlink r:id="rId56">
        <w:r w:rsidRPr="5C301132">
          <w:rPr>
            <w:rStyle w:val="Hyperlink"/>
          </w:rPr>
          <w:t>Youth Tobacco Cessation</w:t>
        </w:r>
      </w:hyperlink>
    </w:p>
    <w:p w14:paraId="41A95822" w14:textId="77777777" w:rsidR="00224905" w:rsidRDefault="00224905" w:rsidP="00224905">
      <w:pPr>
        <w:pStyle w:val="ListParagraph"/>
        <w:numPr>
          <w:ilvl w:val="0"/>
          <w:numId w:val="13"/>
        </w:numPr>
        <w:spacing w:after="160" w:line="240" w:lineRule="auto"/>
      </w:pPr>
      <w:r w:rsidRPr="5C301132">
        <w:t xml:space="preserve">The </w:t>
      </w:r>
      <w:hyperlink r:id="rId57">
        <w:r w:rsidRPr="5C301132">
          <w:rPr>
            <w:rStyle w:val="Hyperlink"/>
          </w:rPr>
          <w:t>Tobacco Control Network</w:t>
        </w:r>
      </w:hyperlink>
      <w:r w:rsidRPr="5C301132">
        <w:t xml:space="preserve"> contains a listing of state and territorial representatives as well as staff contacts, web and social media links, and seminal documents for the tobacco control agencies that are funded by CDC’s Office on Smoking and Health (OSH) in each state and territory.</w:t>
      </w:r>
    </w:p>
    <w:p w14:paraId="18A6F00A" w14:textId="77777777" w:rsidR="00224905" w:rsidRDefault="00224905" w:rsidP="00224905">
      <w:pPr>
        <w:spacing w:line="240" w:lineRule="auto"/>
        <w:rPr>
          <w:rFonts w:ascii="Times New Roman" w:eastAsia="Times New Roman" w:hAnsi="Times New Roman" w:cs="Times New Roman"/>
          <w:color w:val="000000" w:themeColor="text1"/>
          <w:sz w:val="26"/>
          <w:szCs w:val="26"/>
        </w:rPr>
      </w:pPr>
      <w:r w:rsidRPr="4055A505">
        <w:rPr>
          <w:rFonts w:ascii="Times New Roman" w:eastAsia="Times New Roman" w:hAnsi="Times New Roman" w:cs="Times New Roman"/>
          <w:sz w:val="24"/>
          <w:szCs w:val="24"/>
        </w:rPr>
        <w:t xml:space="preserve"> </w:t>
      </w:r>
      <w:r w:rsidRPr="4055A505">
        <w:rPr>
          <w:rFonts w:ascii="Times New Roman" w:eastAsia="Times New Roman" w:hAnsi="Times New Roman" w:cs="Times New Roman"/>
          <w:color w:val="000000" w:themeColor="text1"/>
          <w:sz w:val="26"/>
          <w:szCs w:val="26"/>
        </w:rPr>
        <w:t>Best Practice User Guides</w:t>
      </w:r>
    </w:p>
    <w:p w14:paraId="57536162" w14:textId="77777777" w:rsidR="00224905" w:rsidRDefault="00224905" w:rsidP="00224905">
      <w:pPr>
        <w:pStyle w:val="ListParagraph"/>
        <w:numPr>
          <w:ilvl w:val="0"/>
          <w:numId w:val="12"/>
        </w:numPr>
        <w:spacing w:after="160" w:line="240" w:lineRule="auto"/>
        <w:rPr>
          <w:color w:val="000000" w:themeColor="text1"/>
        </w:rPr>
      </w:pPr>
      <w:r w:rsidRPr="4055A505">
        <w:rPr>
          <w:color w:val="000000" w:themeColor="text1"/>
        </w:rPr>
        <w:t xml:space="preserve">CDC’s </w:t>
      </w:r>
      <w:hyperlink r:id="rId58">
        <w:r w:rsidRPr="4055A505">
          <w:rPr>
            <w:rStyle w:val="Hyperlink"/>
          </w:rPr>
          <w:t>Best Practices Guide for Youth Engagement</w:t>
        </w:r>
      </w:hyperlink>
      <w:r w:rsidRPr="4055A505">
        <w:rPr>
          <w:color w:val="000000" w:themeColor="text1"/>
        </w:rPr>
        <w:t xml:space="preserve"> contains strategies to engage youth in tobacco prevention efforts that can be adapted to other programs. </w:t>
      </w:r>
    </w:p>
    <w:p w14:paraId="34CBDDD2" w14:textId="77777777" w:rsidR="00224905" w:rsidRDefault="00224905" w:rsidP="00224905">
      <w:pPr>
        <w:pStyle w:val="ListParagraph"/>
        <w:numPr>
          <w:ilvl w:val="0"/>
          <w:numId w:val="12"/>
        </w:numPr>
        <w:spacing w:after="160" w:line="240" w:lineRule="auto"/>
      </w:pPr>
      <w:r w:rsidRPr="4055A505">
        <w:t xml:space="preserve">CDC’s </w:t>
      </w:r>
      <w:hyperlink r:id="rId59">
        <w:r w:rsidRPr="4055A505">
          <w:rPr>
            <w:rStyle w:val="Hyperlink"/>
          </w:rPr>
          <w:t>Best Practices User Guide: Health Equity</w:t>
        </w:r>
      </w:hyperlink>
      <w:r w:rsidRPr="4055A505">
        <w:t xml:space="preserve"> presents </w:t>
      </w:r>
      <w:r w:rsidRPr="4055A505">
        <w:rPr>
          <w:color w:val="000000" w:themeColor="text1"/>
        </w:rPr>
        <w:t xml:space="preserve">how comprehensive tobacco control programs can work to achieve health equity in tobacco prevention and control. </w:t>
      </w:r>
    </w:p>
    <w:p w14:paraId="0C098660" w14:textId="77777777" w:rsidR="00224905" w:rsidRDefault="00224905" w:rsidP="00224905">
      <w:pPr>
        <w:pStyle w:val="ListParagraph"/>
        <w:numPr>
          <w:ilvl w:val="0"/>
          <w:numId w:val="12"/>
        </w:numPr>
        <w:spacing w:after="160" w:line="240" w:lineRule="auto"/>
      </w:pPr>
      <w:r w:rsidRPr="4055A505">
        <w:t xml:space="preserve">CDC’s </w:t>
      </w:r>
      <w:hyperlink r:id="rId60">
        <w:r w:rsidRPr="4055A505">
          <w:rPr>
            <w:rStyle w:val="Hyperlink"/>
          </w:rPr>
          <w:t xml:space="preserve">Best Practices User Guide: Cessation </w:t>
        </w:r>
      </w:hyperlink>
      <w:r w:rsidRPr="4055A505">
        <w:t xml:space="preserve"> </w:t>
      </w:r>
      <w:r w:rsidRPr="4055A505">
        <w:rPr>
          <w:color w:val="000000" w:themeColor="text1"/>
        </w:rPr>
        <w:t>focuses on how comprehensive tobacco control programs can promote cessation through population-wide efforts.</w:t>
      </w:r>
    </w:p>
    <w:p w14:paraId="6474D67B" w14:textId="77777777" w:rsidR="00224905" w:rsidRDefault="00224905" w:rsidP="00224905">
      <w:pPr>
        <w:pStyle w:val="ListParagraph"/>
        <w:numPr>
          <w:ilvl w:val="0"/>
          <w:numId w:val="12"/>
        </w:numPr>
        <w:spacing w:after="160" w:line="240" w:lineRule="auto"/>
      </w:pPr>
      <w:r w:rsidRPr="4055A505">
        <w:t xml:space="preserve">CDC’s </w:t>
      </w:r>
      <w:hyperlink r:id="rId61">
        <w:r w:rsidRPr="4055A505">
          <w:rPr>
            <w:rStyle w:val="Hyperlink"/>
          </w:rPr>
          <w:t xml:space="preserve">Best Practices User Guide: Health Communications </w:t>
        </w:r>
      </w:hyperlink>
      <w:r w:rsidRPr="4055A505">
        <w:rPr>
          <w:color w:val="000000" w:themeColor="text1"/>
        </w:rPr>
        <w:t>focuses on how comprehensive tobacco control programs can deliver effective health communications.</w:t>
      </w:r>
    </w:p>
    <w:p w14:paraId="71552311" w14:textId="77777777" w:rsidR="00224905" w:rsidRDefault="00224905" w:rsidP="00224905">
      <w:pPr>
        <w:pStyle w:val="ListParagraph"/>
        <w:numPr>
          <w:ilvl w:val="0"/>
          <w:numId w:val="12"/>
        </w:numPr>
        <w:spacing w:after="160" w:line="240" w:lineRule="auto"/>
        <w:rPr>
          <w:rFonts w:eastAsiaTheme="minorEastAsia"/>
        </w:rPr>
      </w:pPr>
      <w:r w:rsidRPr="5C301132">
        <w:t xml:space="preserve">CDC’s Office of Smoking and Health’s </w:t>
      </w:r>
      <w:hyperlink r:id="rId62">
        <w:r w:rsidRPr="5C301132">
          <w:rPr>
            <w:rStyle w:val="Hyperlink"/>
          </w:rPr>
          <w:t>Media Campaign Resource Center (MCRC)</w:t>
        </w:r>
      </w:hyperlink>
      <w:r w:rsidRPr="5C301132">
        <w:rPr>
          <w:color w:val="0070C0"/>
        </w:rPr>
        <w:t xml:space="preserve"> </w:t>
      </w:r>
      <w:r w:rsidRPr="5C301132">
        <w:t xml:space="preserve">acts as a source for free and low-cost tobacco education campaign materials in </w:t>
      </w:r>
      <w:hyperlink r:id="rId63">
        <w:r w:rsidRPr="5C301132">
          <w:rPr>
            <w:rStyle w:val="Hyperlink"/>
          </w:rPr>
          <w:t>Multimedia &amp; Tools | Smoking &amp; Tobacco Use | CDC</w:t>
        </w:r>
      </w:hyperlink>
    </w:p>
    <w:p w14:paraId="6A2F4313" w14:textId="77777777" w:rsidR="00224905" w:rsidRDefault="00224905" w:rsidP="00224905">
      <w:pPr>
        <w:pStyle w:val="ListParagraph"/>
        <w:numPr>
          <w:ilvl w:val="0"/>
          <w:numId w:val="12"/>
        </w:numPr>
        <w:spacing w:after="160" w:line="240" w:lineRule="auto"/>
      </w:pPr>
      <w:r w:rsidRPr="5C301132">
        <w:t xml:space="preserve">CDC’s resources on </w:t>
      </w:r>
      <w:hyperlink r:id="rId64" w:anchor=":~:text=Training%20effectiveness%20refers%20to%20how,ways%20to%20evaluate%20training%20effectiveness.&amp;text=You%20should%20assess%20both%20learning%20and%20learning%20transfer%2C%20whenever%20possible.">
        <w:r w:rsidRPr="5C301132">
          <w:rPr>
            <w:rStyle w:val="Hyperlink"/>
          </w:rPr>
          <w:t>training effectiveness</w:t>
        </w:r>
      </w:hyperlink>
    </w:p>
    <w:p w14:paraId="1BA2C737" w14:textId="77777777" w:rsidR="00256153" w:rsidRDefault="00256153" w:rsidP="00224905">
      <w:pPr>
        <w:pStyle w:val="Heading1"/>
        <w:spacing w:line="240" w:lineRule="auto"/>
        <w:jc w:val="center"/>
        <w:rPr>
          <w:rFonts w:ascii="Times New Roman" w:eastAsia="Times New Roman" w:hAnsi="Times New Roman" w:cs="Times New Roman"/>
          <w:b/>
          <w:bCs/>
          <w:color w:val="000000" w:themeColor="text1"/>
        </w:rPr>
        <w:sectPr w:rsidR="00256153" w:rsidSect="00256153">
          <w:footerReference w:type="first" r:id="rId65"/>
          <w:pgSz w:w="12240" w:h="15840"/>
          <w:pgMar w:top="1440" w:right="1440" w:bottom="1440" w:left="1440" w:header="720" w:footer="720" w:gutter="0"/>
          <w:cols w:space="720"/>
          <w:titlePg/>
          <w:docGrid w:linePitch="360"/>
        </w:sectPr>
      </w:pPr>
    </w:p>
    <w:p w14:paraId="322D3281" w14:textId="29E6F070"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lastRenderedPageBreak/>
        <w:t xml:space="preserve">Opioids </w:t>
      </w:r>
    </w:p>
    <w:p w14:paraId="0AF74958"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Strategies to Prevent Prescription Opioid Misuse</w:t>
      </w:r>
    </w:p>
    <w:p w14:paraId="4BC57D93" w14:textId="77777777" w:rsidR="00224905" w:rsidRDefault="00224905" w:rsidP="00224905">
      <w:pPr>
        <w:pStyle w:val="ListParagraph"/>
        <w:numPr>
          <w:ilvl w:val="0"/>
          <w:numId w:val="11"/>
        </w:numPr>
        <w:spacing w:after="160" w:line="240" w:lineRule="auto"/>
      </w:pPr>
      <w:r w:rsidRPr="4055A505">
        <w:t xml:space="preserve">CDC’s </w:t>
      </w:r>
      <w:hyperlink r:id="rId66">
        <w:r w:rsidRPr="4055A505">
          <w:rPr>
            <w:rStyle w:val="Hyperlink"/>
            <w:i/>
            <w:iCs/>
          </w:rPr>
          <w:t>Rx Awareness</w:t>
        </w:r>
      </w:hyperlink>
      <w:r w:rsidRPr="4055A505">
        <w:t xml:space="preserve"> Campaign website provides community education on the dangers of youth opioid and/or prescription drug use/misuse.</w:t>
      </w:r>
    </w:p>
    <w:p w14:paraId="726F4A9D" w14:textId="77777777" w:rsidR="00224905" w:rsidRDefault="00195FFE" w:rsidP="00224905">
      <w:pPr>
        <w:pStyle w:val="ListParagraph"/>
        <w:numPr>
          <w:ilvl w:val="0"/>
          <w:numId w:val="11"/>
        </w:numPr>
        <w:spacing w:after="160" w:line="240" w:lineRule="auto"/>
      </w:pPr>
      <w:hyperlink r:id="rId67">
        <w:r w:rsidR="00224905" w:rsidRPr="4055A505">
          <w:rPr>
            <w:rStyle w:val="Hyperlink"/>
          </w:rPr>
          <w:t>Evidence-Based Strategies for Preventing Opioid Overdose</w:t>
        </w:r>
      </w:hyperlink>
      <w:r w:rsidR="00224905" w:rsidRPr="4055A505">
        <w:t xml:space="preserve">, serves as an introduction to 10 opioid overdose prevention strategies for community leaders, public heath, law enforcement, local organizations, and others striving to serve their community. </w:t>
      </w:r>
    </w:p>
    <w:p w14:paraId="328E5D8D" w14:textId="77777777" w:rsidR="00224905" w:rsidRDefault="00195FFE" w:rsidP="00224905">
      <w:pPr>
        <w:pStyle w:val="ListParagraph"/>
        <w:numPr>
          <w:ilvl w:val="0"/>
          <w:numId w:val="11"/>
        </w:numPr>
        <w:spacing w:after="160" w:line="240" w:lineRule="auto"/>
      </w:pPr>
      <w:hyperlink r:id="rId68">
        <w:r w:rsidR="00224905" w:rsidRPr="4055A505">
          <w:rPr>
            <w:rStyle w:val="Hyperlink"/>
          </w:rPr>
          <w:t>CDC’s guidance</w:t>
        </w:r>
      </w:hyperlink>
      <w:r w:rsidR="00224905" w:rsidRPr="4055A505">
        <w:t xml:space="preserve"> on promising strategies states have used to address prescription drug misuse, abuse, and overdose.</w:t>
      </w:r>
    </w:p>
    <w:p w14:paraId="1AA7AF16"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Strategies for Community-wide Prevention of Prescription Drugs</w:t>
      </w:r>
    </w:p>
    <w:p w14:paraId="2DF48FB2" w14:textId="77777777" w:rsidR="00224905" w:rsidRDefault="00224905" w:rsidP="00224905">
      <w:pPr>
        <w:pStyle w:val="ListParagraph"/>
        <w:numPr>
          <w:ilvl w:val="0"/>
          <w:numId w:val="10"/>
        </w:numPr>
        <w:spacing w:after="160" w:line="240" w:lineRule="auto"/>
        <w:rPr>
          <w:color w:val="000000" w:themeColor="text1"/>
        </w:rPr>
      </w:pPr>
      <w:r w:rsidRPr="4055A505">
        <w:rPr>
          <w:color w:val="000000" w:themeColor="text1"/>
        </w:rPr>
        <w:t xml:space="preserve">CADCA’s </w:t>
      </w:r>
      <w:hyperlink r:id="rId69">
        <w:r w:rsidRPr="4055A505">
          <w:rPr>
            <w:rStyle w:val="Hyperlink"/>
          </w:rPr>
          <w:t>Online PreventMedAbuse Toolkit</w:t>
        </w:r>
      </w:hyperlink>
      <w:r w:rsidRPr="4055A505">
        <w:rPr>
          <w:color w:val="000000" w:themeColor="text1"/>
        </w:rPr>
        <w:t xml:space="preserve"> contains facts, strategies and tools to prevent and reduce teen Rx and over-the-counter (OTC) medicine abuse in communities. This resource is based on CADCA’s Seven Strategies for Effective Community Change. Incorporating these strategies will help communities formulate, modify and implement prevention and intervention strategies. </w:t>
      </w:r>
    </w:p>
    <w:p w14:paraId="7D912715" w14:textId="14AFACB9" w:rsidR="003747DD" w:rsidRDefault="00195FFE" w:rsidP="00224905">
      <w:pPr>
        <w:pStyle w:val="ListParagraph"/>
        <w:numPr>
          <w:ilvl w:val="0"/>
          <w:numId w:val="10"/>
        </w:numPr>
        <w:spacing w:after="160" w:line="240" w:lineRule="auto"/>
        <w:sectPr w:rsidR="003747DD" w:rsidSect="00E604AA">
          <w:footerReference w:type="first" r:id="rId70"/>
          <w:pgSz w:w="12240" w:h="15840"/>
          <w:pgMar w:top="1440" w:right="1440" w:bottom="1440" w:left="1440" w:header="720" w:footer="720" w:gutter="0"/>
          <w:cols w:space="720"/>
          <w:titlePg/>
          <w:docGrid w:linePitch="360"/>
        </w:sectPr>
      </w:pPr>
      <w:hyperlink r:id="rId71">
        <w:r w:rsidR="00224905" w:rsidRPr="4055A505">
          <w:rPr>
            <w:rStyle w:val="Hyperlink"/>
          </w:rPr>
          <w:t xml:space="preserve">The 2018 Overdose Response Strategy Cornerstone Project </w:t>
        </w:r>
      </w:hyperlink>
      <w:r w:rsidR="00224905" w:rsidRPr="4055A505">
        <w:t>is part of the Overdose Response Strategy, a public health-public safety collaboration between the Centers for Disease Control and Prevention (CDC) and 11 High Intensity Drug Trafficking Areas (HIDTA). The 2018 project explores public safety-led linkage to care programs.</w:t>
      </w:r>
    </w:p>
    <w:p w14:paraId="4E84372A" w14:textId="77777777" w:rsidR="00F24521" w:rsidRDefault="00F24521" w:rsidP="00430074">
      <w:pPr>
        <w:rPr>
          <w:rFonts w:ascii="Times New Roman" w:hAnsi="Times New Roman" w:cs="Times New Roman"/>
          <w:b/>
          <w:bCs/>
        </w:rPr>
        <w:sectPr w:rsidR="00F24521" w:rsidSect="003747DD">
          <w:footerReference w:type="first" r:id="rId72"/>
          <w:pgSz w:w="12240" w:h="15840"/>
          <w:pgMar w:top="1440" w:right="1440" w:bottom="1440" w:left="1440" w:header="720" w:footer="720" w:gutter="0"/>
          <w:cols w:space="720"/>
          <w:titlePg/>
          <w:docGrid w:linePitch="360"/>
        </w:sectPr>
      </w:pPr>
    </w:p>
    <w:p w14:paraId="5606C211" w14:textId="060D7D15" w:rsidR="00430074" w:rsidRPr="00667BFC" w:rsidRDefault="00430074" w:rsidP="00430074">
      <w:pPr>
        <w:rPr>
          <w:rFonts w:ascii="Times New Roman" w:hAnsi="Times New Roman" w:cs="Times New Roman"/>
          <w:b/>
          <w:bCs/>
        </w:rPr>
      </w:pPr>
      <w:r w:rsidRPr="00667BFC">
        <w:rPr>
          <w:rFonts w:ascii="Times New Roman" w:hAnsi="Times New Roman" w:cs="Times New Roman"/>
          <w:b/>
          <w:bCs/>
        </w:rPr>
        <w:lastRenderedPageBreak/>
        <w:t>APPENDIX C:  SAMPLE COALITON INVOLVEMENT AGREEMENT</w:t>
      </w:r>
    </w:p>
    <w:p w14:paraId="5C4FF3B8" w14:textId="77777777" w:rsidR="00430074" w:rsidRPr="006C1DB0" w:rsidRDefault="00430074" w:rsidP="00430074">
      <w:pPr>
        <w:jc w:val="center"/>
        <w:rPr>
          <w:rFonts w:ascii="Times New Roman" w:hAnsi="Times New Roman" w:cs="Times New Roman"/>
          <w:b/>
          <w:bCs/>
          <w:sz w:val="20"/>
          <w:szCs w:val="20"/>
        </w:rPr>
      </w:pPr>
      <w:r w:rsidRPr="006C1DB0">
        <w:rPr>
          <w:rFonts w:ascii="Times New Roman" w:hAnsi="Times New Roman" w:cs="Times New Roman"/>
          <w:b/>
          <w:bCs/>
          <w:sz w:val="20"/>
          <w:szCs w:val="20"/>
        </w:rPr>
        <w:t>Coalition Involvement Agreement between</w:t>
      </w:r>
    </w:p>
    <w:p w14:paraId="0245C91E" w14:textId="77777777" w:rsidR="00430074" w:rsidRPr="006C1DB0" w:rsidRDefault="00430074" w:rsidP="00430074">
      <w:pPr>
        <w:spacing w:after="0"/>
        <w:jc w:val="center"/>
        <w:rPr>
          <w:rFonts w:ascii="Times New Roman" w:hAnsi="Times New Roman" w:cs="Times New Roman"/>
          <w:b/>
          <w:bCs/>
          <w:i/>
          <w:iCs/>
          <w:sz w:val="20"/>
          <w:szCs w:val="20"/>
        </w:rPr>
      </w:pPr>
      <w:r w:rsidRPr="006C1DB0">
        <w:rPr>
          <w:rFonts w:ascii="Times New Roman" w:hAnsi="Times New Roman" w:cs="Times New Roman"/>
          <w:sz w:val="20"/>
          <w:szCs w:val="20"/>
        </w:rPr>
        <w:t xml:space="preserve">[   </w:t>
      </w:r>
      <w:r w:rsidRPr="006C1DB0">
        <w:rPr>
          <w:rFonts w:ascii="Times New Roman" w:hAnsi="Times New Roman" w:cs="Times New Roman"/>
          <w:b/>
          <w:bCs/>
          <w:i/>
          <w:iCs/>
          <w:sz w:val="20"/>
          <w:szCs w:val="20"/>
          <w:u w:val="single"/>
        </w:rPr>
        <w:t>Coalition name</w:t>
      </w:r>
      <w:r w:rsidRPr="006C1DB0">
        <w:rPr>
          <w:rFonts w:ascii="Times New Roman" w:hAnsi="Times New Roman" w:cs="Times New Roman"/>
          <w:i/>
          <w:iCs/>
          <w:sz w:val="20"/>
          <w:szCs w:val="20"/>
          <w:u w:val="single"/>
        </w:rPr>
        <w:t xml:space="preserve">      </w:t>
      </w:r>
      <w:r w:rsidRPr="006C1DB0">
        <w:rPr>
          <w:rFonts w:ascii="Times New Roman" w:hAnsi="Times New Roman" w:cs="Times New Roman"/>
          <w:sz w:val="20"/>
          <w:szCs w:val="20"/>
        </w:rPr>
        <w:t>]</w:t>
      </w:r>
    </w:p>
    <w:p w14:paraId="4A412D42" w14:textId="77777777" w:rsidR="00430074" w:rsidRPr="006C1DB0" w:rsidRDefault="00430074" w:rsidP="00430074">
      <w:pPr>
        <w:spacing w:after="0"/>
        <w:jc w:val="center"/>
        <w:rPr>
          <w:rFonts w:ascii="Times New Roman" w:hAnsi="Times New Roman" w:cs="Times New Roman"/>
          <w:sz w:val="20"/>
          <w:szCs w:val="20"/>
        </w:rPr>
      </w:pPr>
      <w:r w:rsidRPr="006C1DB0">
        <w:rPr>
          <w:rFonts w:ascii="Times New Roman" w:hAnsi="Times New Roman" w:cs="Times New Roman"/>
          <w:sz w:val="20"/>
          <w:szCs w:val="20"/>
        </w:rPr>
        <w:t>and</w:t>
      </w:r>
    </w:p>
    <w:p w14:paraId="41722102" w14:textId="77777777" w:rsidR="00430074" w:rsidRPr="006C1DB0" w:rsidRDefault="00430074" w:rsidP="00430074">
      <w:pPr>
        <w:jc w:val="center"/>
        <w:rPr>
          <w:rFonts w:ascii="Times New Roman" w:hAnsi="Times New Roman" w:cs="Times New Roman"/>
          <w:b/>
          <w:bCs/>
          <w:sz w:val="20"/>
          <w:szCs w:val="20"/>
        </w:rPr>
      </w:pPr>
      <w:r w:rsidRPr="006C1DB0">
        <w:rPr>
          <w:rFonts w:ascii="Times New Roman" w:hAnsi="Times New Roman" w:cs="Times New Roman"/>
          <w:sz w:val="20"/>
          <w:szCs w:val="20"/>
        </w:rPr>
        <w:t xml:space="preserve">[   </w:t>
      </w:r>
      <w:r w:rsidRPr="006C1DB0">
        <w:rPr>
          <w:rFonts w:ascii="Times New Roman" w:hAnsi="Times New Roman" w:cs="Times New Roman"/>
          <w:b/>
          <w:bCs/>
          <w:i/>
          <w:iCs/>
          <w:sz w:val="20"/>
          <w:szCs w:val="20"/>
          <w:u w:val="single"/>
        </w:rPr>
        <w:t>Name of sector</w:t>
      </w:r>
      <w:r w:rsidRPr="006C1DB0">
        <w:rPr>
          <w:rFonts w:ascii="Times New Roman" w:hAnsi="Times New Roman" w:cs="Times New Roman"/>
          <w:b/>
          <w:bCs/>
          <w:i/>
          <w:iCs/>
          <w:sz w:val="20"/>
          <w:szCs w:val="20"/>
        </w:rPr>
        <w:t xml:space="preserve"> </w:t>
      </w:r>
      <w:r w:rsidRPr="006C1DB0">
        <w:rPr>
          <w:rFonts w:ascii="Times New Roman" w:hAnsi="Times New Roman" w:cs="Times New Roman"/>
          <w:b/>
          <w:bCs/>
          <w:i/>
          <w:iCs/>
          <w:sz w:val="20"/>
          <w:szCs w:val="20"/>
          <w:u w:val="single"/>
        </w:rPr>
        <w:t>representative</w:t>
      </w:r>
      <w:r w:rsidRPr="006C1DB0">
        <w:rPr>
          <w:rFonts w:ascii="Times New Roman" w:hAnsi="Times New Roman" w:cs="Times New Roman"/>
          <w:sz w:val="20"/>
          <w:szCs w:val="20"/>
        </w:rPr>
        <w:t>], representing the [</w:t>
      </w:r>
      <w:r w:rsidRPr="006C1DB0">
        <w:rPr>
          <w:rFonts w:ascii="Times New Roman" w:hAnsi="Times New Roman" w:cs="Times New Roman"/>
          <w:b/>
          <w:bCs/>
          <w:i/>
          <w:iCs/>
          <w:sz w:val="20"/>
          <w:szCs w:val="20"/>
          <w:u w:val="single"/>
        </w:rPr>
        <w:t>Insert one of the 12 sectors here</w:t>
      </w:r>
      <w:r w:rsidRPr="006C1DB0">
        <w:rPr>
          <w:rFonts w:ascii="Times New Roman" w:hAnsi="Times New Roman" w:cs="Times New Roman"/>
          <w:sz w:val="20"/>
          <w:szCs w:val="20"/>
        </w:rPr>
        <w:t xml:space="preserve"> ]</w:t>
      </w:r>
    </w:p>
    <w:p w14:paraId="270A7D67" w14:textId="77777777" w:rsidR="00430074" w:rsidRPr="006C1DB0" w:rsidRDefault="00430074" w:rsidP="00430074">
      <w:pPr>
        <w:rPr>
          <w:rFonts w:ascii="Times New Roman" w:hAnsi="Times New Roman" w:cs="Times New Roman"/>
          <w:sz w:val="20"/>
          <w:szCs w:val="20"/>
        </w:rPr>
      </w:pPr>
      <w:r w:rsidRPr="006C1DB0">
        <w:rPr>
          <w:rFonts w:ascii="Times New Roman" w:hAnsi="Times New Roman" w:cs="Times New Roman"/>
          <w:sz w:val="20"/>
          <w:szCs w:val="20"/>
        </w:rPr>
        <w:t>[</w:t>
      </w:r>
      <w:r w:rsidRPr="006C1DB0">
        <w:rPr>
          <w:rFonts w:ascii="Times New Roman" w:hAnsi="Times New Roman" w:cs="Times New Roman"/>
          <w:b/>
          <w:bCs/>
          <w:i/>
          <w:iCs/>
          <w:sz w:val="20"/>
          <w:szCs w:val="20"/>
          <w:u w:val="single"/>
        </w:rPr>
        <w:t>Coalition name</w:t>
      </w:r>
      <w:r w:rsidRPr="006C1DB0">
        <w:rPr>
          <w:rFonts w:ascii="Times New Roman" w:hAnsi="Times New Roman" w:cs="Times New Roman"/>
          <w:sz w:val="20"/>
          <w:szCs w:val="20"/>
        </w:rPr>
        <w:t>] is responsible for:</w:t>
      </w:r>
    </w:p>
    <w:p w14:paraId="58798DB1" w14:textId="77777777" w:rsidR="00430074" w:rsidRPr="006C1DB0" w:rsidRDefault="00430074" w:rsidP="00430074">
      <w:pPr>
        <w:pStyle w:val="ListParagraph"/>
        <w:numPr>
          <w:ilvl w:val="0"/>
          <w:numId w:val="3"/>
        </w:numPr>
        <w:rPr>
          <w:rFonts w:eastAsiaTheme="minorEastAsia"/>
          <w:sz w:val="20"/>
          <w:szCs w:val="20"/>
        </w:rPr>
      </w:pPr>
      <w:r w:rsidRPr="006C1DB0">
        <w:rPr>
          <w:sz w:val="20"/>
          <w:szCs w:val="20"/>
        </w:rPr>
        <w:t>Creating and following by-laws and policies.</w:t>
      </w:r>
    </w:p>
    <w:p w14:paraId="4A3D9EC2" w14:textId="77777777" w:rsidR="00430074" w:rsidRPr="006C1DB0" w:rsidRDefault="00430074" w:rsidP="00430074">
      <w:pPr>
        <w:pStyle w:val="ListParagraph"/>
        <w:numPr>
          <w:ilvl w:val="0"/>
          <w:numId w:val="3"/>
        </w:numPr>
        <w:rPr>
          <w:rFonts w:eastAsiaTheme="minorEastAsia"/>
          <w:sz w:val="20"/>
          <w:szCs w:val="20"/>
        </w:rPr>
      </w:pPr>
      <w:r w:rsidRPr="006C1DB0">
        <w:rPr>
          <w:sz w:val="20"/>
          <w:szCs w:val="20"/>
        </w:rPr>
        <w:t>Formulating coalition goals and objectives.</w:t>
      </w:r>
    </w:p>
    <w:p w14:paraId="3900620D" w14:textId="77777777" w:rsidR="00430074" w:rsidRPr="006C1DB0" w:rsidRDefault="00430074" w:rsidP="00430074">
      <w:pPr>
        <w:pStyle w:val="ListParagraph"/>
        <w:numPr>
          <w:ilvl w:val="0"/>
          <w:numId w:val="3"/>
        </w:numPr>
        <w:rPr>
          <w:rFonts w:eastAsiaTheme="minorEastAsia"/>
          <w:sz w:val="20"/>
          <w:szCs w:val="20"/>
        </w:rPr>
      </w:pPr>
      <w:r w:rsidRPr="006C1DB0">
        <w:rPr>
          <w:sz w:val="20"/>
          <w:szCs w:val="20"/>
        </w:rPr>
        <w:t>Overseeing operations of activities, programs, and paid staff.</w:t>
      </w:r>
    </w:p>
    <w:p w14:paraId="5EBE63F0" w14:textId="77777777" w:rsidR="00430074" w:rsidRPr="006C1DB0" w:rsidRDefault="00430074" w:rsidP="00430074">
      <w:pPr>
        <w:pStyle w:val="ListParagraph"/>
        <w:numPr>
          <w:ilvl w:val="0"/>
          <w:numId w:val="3"/>
        </w:numPr>
        <w:rPr>
          <w:rFonts w:eastAsiaTheme="minorEastAsia"/>
          <w:sz w:val="20"/>
          <w:szCs w:val="20"/>
        </w:rPr>
      </w:pPr>
      <w:r w:rsidRPr="006C1DB0">
        <w:rPr>
          <w:sz w:val="20"/>
          <w:szCs w:val="20"/>
        </w:rPr>
        <w:t>Increasing new membership of the coalition.</w:t>
      </w:r>
    </w:p>
    <w:p w14:paraId="490CD883" w14:textId="77777777" w:rsidR="00430074" w:rsidRPr="006C1DB0" w:rsidRDefault="00430074" w:rsidP="00430074">
      <w:pPr>
        <w:pStyle w:val="ListParagraph"/>
        <w:numPr>
          <w:ilvl w:val="0"/>
          <w:numId w:val="3"/>
        </w:numPr>
        <w:rPr>
          <w:rFonts w:eastAsiaTheme="minorEastAsia"/>
          <w:sz w:val="20"/>
          <w:szCs w:val="20"/>
        </w:rPr>
      </w:pPr>
      <w:r w:rsidRPr="006C1DB0">
        <w:rPr>
          <w:sz w:val="20"/>
          <w:szCs w:val="20"/>
        </w:rPr>
        <w:t>Creating and following a strategic 12-Month Action Plan.</w:t>
      </w:r>
    </w:p>
    <w:p w14:paraId="0CDAE9C4" w14:textId="77777777" w:rsidR="00430074" w:rsidRPr="006C1DB0" w:rsidRDefault="00430074" w:rsidP="00430074">
      <w:pPr>
        <w:pStyle w:val="ListParagraph"/>
        <w:numPr>
          <w:ilvl w:val="0"/>
          <w:numId w:val="3"/>
        </w:numPr>
        <w:rPr>
          <w:rFonts w:eastAsiaTheme="minorEastAsia"/>
          <w:sz w:val="20"/>
          <w:szCs w:val="20"/>
        </w:rPr>
      </w:pPr>
      <w:r w:rsidRPr="006C1DB0">
        <w:rPr>
          <w:sz w:val="20"/>
          <w:szCs w:val="20"/>
        </w:rPr>
        <w:t>Creating a credible and relevant sustainability plan including volunteer membership and resources, both financial and material.</w:t>
      </w:r>
    </w:p>
    <w:p w14:paraId="4546C551" w14:textId="77777777" w:rsidR="00430074" w:rsidRPr="006C1DB0" w:rsidRDefault="00430074" w:rsidP="00430074">
      <w:pPr>
        <w:pStyle w:val="ListParagraph"/>
        <w:numPr>
          <w:ilvl w:val="0"/>
          <w:numId w:val="3"/>
        </w:numPr>
        <w:rPr>
          <w:rFonts w:eastAsiaTheme="minorEastAsia"/>
          <w:sz w:val="20"/>
          <w:szCs w:val="20"/>
        </w:rPr>
      </w:pPr>
      <w:r w:rsidRPr="006C1DB0">
        <w:rPr>
          <w:sz w:val="20"/>
          <w:szCs w:val="20"/>
        </w:rPr>
        <w:t>Respecting the rights of Coalition members to hold their own opinions and beliefs.</w:t>
      </w:r>
    </w:p>
    <w:p w14:paraId="470C8858" w14:textId="77777777" w:rsidR="00430074" w:rsidRPr="006C1DB0" w:rsidRDefault="00430074" w:rsidP="00430074">
      <w:pPr>
        <w:pStyle w:val="ListParagraph"/>
        <w:numPr>
          <w:ilvl w:val="0"/>
          <w:numId w:val="3"/>
        </w:numPr>
        <w:rPr>
          <w:rFonts w:eastAsiaTheme="minorEastAsia"/>
          <w:sz w:val="20"/>
          <w:szCs w:val="20"/>
        </w:rPr>
      </w:pPr>
      <w:r w:rsidRPr="006C1DB0">
        <w:rPr>
          <w:sz w:val="20"/>
          <w:szCs w:val="20"/>
        </w:rPr>
        <w:t>Other responsibilities as needed, etc.</w:t>
      </w:r>
    </w:p>
    <w:p w14:paraId="46D78297" w14:textId="77777777" w:rsidR="00430074" w:rsidRPr="006C1DB0" w:rsidRDefault="00430074" w:rsidP="00430074">
      <w:pPr>
        <w:spacing w:after="0"/>
        <w:rPr>
          <w:rFonts w:ascii="Times New Roman" w:hAnsi="Times New Roman" w:cs="Times New Roman"/>
          <w:sz w:val="20"/>
          <w:szCs w:val="20"/>
        </w:rPr>
      </w:pPr>
      <w:r w:rsidRPr="006C1DB0">
        <w:rPr>
          <w:rFonts w:ascii="Times New Roman" w:hAnsi="Times New Roman" w:cs="Times New Roman"/>
          <w:sz w:val="20"/>
          <w:szCs w:val="20"/>
        </w:rPr>
        <w:t xml:space="preserve"> </w:t>
      </w:r>
    </w:p>
    <w:p w14:paraId="54B9C6E7" w14:textId="77777777" w:rsidR="00430074" w:rsidRPr="006C1DB0" w:rsidRDefault="00430074" w:rsidP="00430074">
      <w:pPr>
        <w:spacing w:after="0"/>
        <w:rPr>
          <w:rFonts w:ascii="Times New Roman" w:hAnsi="Times New Roman" w:cs="Times New Roman"/>
          <w:sz w:val="20"/>
          <w:szCs w:val="20"/>
        </w:rPr>
      </w:pPr>
      <w:r w:rsidRPr="006C1DB0">
        <w:rPr>
          <w:rFonts w:ascii="Times New Roman" w:hAnsi="Times New Roman" w:cs="Times New Roman"/>
          <w:sz w:val="20"/>
          <w:szCs w:val="20"/>
        </w:rPr>
        <w:t>[</w:t>
      </w:r>
      <w:r w:rsidRPr="006C1DB0">
        <w:rPr>
          <w:rFonts w:ascii="Times New Roman" w:hAnsi="Times New Roman" w:cs="Times New Roman"/>
          <w:b/>
          <w:bCs/>
          <w:i/>
          <w:iCs/>
          <w:sz w:val="20"/>
          <w:szCs w:val="20"/>
          <w:u w:val="single"/>
        </w:rPr>
        <w:t>Name of sector</w:t>
      </w:r>
      <w:r w:rsidRPr="006C1DB0">
        <w:rPr>
          <w:rFonts w:ascii="Times New Roman" w:hAnsi="Times New Roman" w:cs="Times New Roman"/>
          <w:b/>
          <w:bCs/>
          <w:i/>
          <w:iCs/>
          <w:sz w:val="20"/>
          <w:szCs w:val="20"/>
        </w:rPr>
        <w:t xml:space="preserve"> </w:t>
      </w:r>
      <w:r w:rsidRPr="006C1DB0">
        <w:rPr>
          <w:rFonts w:ascii="Times New Roman" w:hAnsi="Times New Roman" w:cs="Times New Roman"/>
          <w:b/>
          <w:bCs/>
          <w:i/>
          <w:iCs/>
          <w:sz w:val="20"/>
          <w:szCs w:val="20"/>
          <w:u w:val="single"/>
        </w:rPr>
        <w:t>representative</w:t>
      </w:r>
      <w:r w:rsidRPr="006C1DB0">
        <w:rPr>
          <w:rFonts w:ascii="Times New Roman" w:hAnsi="Times New Roman" w:cs="Times New Roman"/>
          <w:sz w:val="20"/>
          <w:szCs w:val="20"/>
        </w:rPr>
        <w:t>], representing the [</w:t>
      </w:r>
      <w:r w:rsidRPr="006C1DB0">
        <w:rPr>
          <w:rFonts w:ascii="Times New Roman" w:hAnsi="Times New Roman" w:cs="Times New Roman"/>
          <w:b/>
          <w:bCs/>
          <w:i/>
          <w:iCs/>
          <w:sz w:val="20"/>
          <w:szCs w:val="20"/>
          <w:u w:val="single"/>
        </w:rPr>
        <w:t>Insert one of the 12 sectors here</w:t>
      </w:r>
      <w:r w:rsidRPr="006C1DB0">
        <w:rPr>
          <w:rFonts w:ascii="Times New Roman" w:hAnsi="Times New Roman" w:cs="Times New Roman"/>
          <w:sz w:val="20"/>
          <w:szCs w:val="20"/>
        </w:rPr>
        <w:t>]</w:t>
      </w:r>
      <w:r w:rsidRPr="006C1DB0">
        <w:rPr>
          <w:rFonts w:ascii="Times New Roman" w:hAnsi="Times New Roman" w:cs="Times New Roman"/>
          <w:color w:val="000000" w:themeColor="text1"/>
          <w:sz w:val="20"/>
          <w:szCs w:val="20"/>
        </w:rPr>
        <w:t>],</w:t>
      </w:r>
      <w:r w:rsidRPr="006C1DB0">
        <w:rPr>
          <w:rFonts w:ascii="Times New Roman" w:hAnsi="Times New Roman" w:cs="Times New Roman"/>
          <w:b/>
          <w:bCs/>
          <w:i/>
          <w:iCs/>
          <w:color w:val="000000" w:themeColor="text1"/>
          <w:sz w:val="20"/>
          <w:szCs w:val="20"/>
        </w:rPr>
        <w:t xml:space="preserve"> </w:t>
      </w:r>
      <w:r w:rsidRPr="006C1DB0">
        <w:rPr>
          <w:rFonts w:ascii="Times New Roman" w:hAnsi="Times New Roman" w:cs="Times New Roman"/>
          <w:color w:val="000000" w:themeColor="text1"/>
          <w:sz w:val="20"/>
          <w:szCs w:val="20"/>
        </w:rPr>
        <w:t>is responsible for:</w:t>
      </w:r>
    </w:p>
    <w:p w14:paraId="761062E8" w14:textId="77777777" w:rsidR="00430074" w:rsidRPr="006C1DB0" w:rsidRDefault="00430074" w:rsidP="00430074">
      <w:pPr>
        <w:pStyle w:val="ListParagraph"/>
        <w:numPr>
          <w:ilvl w:val="0"/>
          <w:numId w:val="2"/>
        </w:numPr>
        <w:rPr>
          <w:rFonts w:eastAsiaTheme="minorEastAsia"/>
          <w:sz w:val="20"/>
          <w:szCs w:val="20"/>
        </w:rPr>
      </w:pPr>
      <w:r w:rsidRPr="006C1DB0">
        <w:rPr>
          <w:sz w:val="20"/>
          <w:szCs w:val="20"/>
        </w:rPr>
        <w:t>Being a community leader amongst the represented sector.</w:t>
      </w:r>
    </w:p>
    <w:p w14:paraId="6DAF5A0F" w14:textId="77777777" w:rsidR="00430074" w:rsidRPr="006C1DB0" w:rsidRDefault="00430074" w:rsidP="00430074">
      <w:pPr>
        <w:pStyle w:val="ListParagraph"/>
        <w:numPr>
          <w:ilvl w:val="0"/>
          <w:numId w:val="2"/>
        </w:numPr>
        <w:rPr>
          <w:rFonts w:eastAsiaTheme="minorEastAsia"/>
          <w:sz w:val="20"/>
          <w:szCs w:val="20"/>
        </w:rPr>
      </w:pPr>
      <w:r w:rsidRPr="006C1DB0">
        <w:rPr>
          <w:sz w:val="20"/>
          <w:szCs w:val="20"/>
        </w:rPr>
        <w:t>Ensuring clear communication between the sector represented and the coalition.</w:t>
      </w:r>
    </w:p>
    <w:p w14:paraId="7B1EF458" w14:textId="77777777" w:rsidR="00430074" w:rsidRPr="006C1DB0" w:rsidRDefault="00430074" w:rsidP="00430074">
      <w:pPr>
        <w:pStyle w:val="ListParagraph"/>
        <w:numPr>
          <w:ilvl w:val="0"/>
          <w:numId w:val="2"/>
        </w:numPr>
        <w:rPr>
          <w:rFonts w:eastAsiaTheme="minorEastAsia"/>
          <w:sz w:val="20"/>
          <w:szCs w:val="20"/>
        </w:rPr>
      </w:pPr>
      <w:r w:rsidRPr="006C1DB0">
        <w:rPr>
          <w:sz w:val="20"/>
          <w:szCs w:val="20"/>
        </w:rPr>
        <w:t>Acting as a positive role model for youth, families, and peers.</w:t>
      </w:r>
    </w:p>
    <w:p w14:paraId="6D90E0C2" w14:textId="77777777" w:rsidR="00430074" w:rsidRPr="006C1DB0" w:rsidRDefault="00430074" w:rsidP="00430074">
      <w:pPr>
        <w:pStyle w:val="ListParagraph"/>
        <w:numPr>
          <w:ilvl w:val="0"/>
          <w:numId w:val="2"/>
        </w:numPr>
        <w:rPr>
          <w:rFonts w:eastAsiaTheme="minorEastAsia"/>
          <w:sz w:val="20"/>
          <w:szCs w:val="20"/>
        </w:rPr>
      </w:pPr>
      <w:r w:rsidRPr="006C1DB0">
        <w:rPr>
          <w:sz w:val="20"/>
          <w:szCs w:val="20"/>
        </w:rPr>
        <w:t>Supporting the coalition’s mission.</w:t>
      </w:r>
    </w:p>
    <w:p w14:paraId="6A0B5801" w14:textId="77777777" w:rsidR="00430074" w:rsidRPr="006C1DB0" w:rsidRDefault="00430074" w:rsidP="00430074">
      <w:pPr>
        <w:pStyle w:val="ListParagraph"/>
        <w:numPr>
          <w:ilvl w:val="0"/>
          <w:numId w:val="2"/>
        </w:numPr>
        <w:rPr>
          <w:rFonts w:eastAsiaTheme="minorEastAsia"/>
          <w:sz w:val="20"/>
          <w:szCs w:val="20"/>
        </w:rPr>
      </w:pPr>
      <w:r w:rsidRPr="006C1DB0">
        <w:rPr>
          <w:sz w:val="20"/>
          <w:szCs w:val="20"/>
        </w:rPr>
        <w:t xml:space="preserve">Attending coalition meetings which are held on a </w:t>
      </w:r>
      <w:r w:rsidRPr="006C1DB0">
        <w:rPr>
          <w:b/>
          <w:bCs/>
          <w:i/>
          <w:iCs/>
          <w:sz w:val="20"/>
          <w:szCs w:val="20"/>
        </w:rPr>
        <w:t xml:space="preserve">[      ] </w:t>
      </w:r>
      <w:r w:rsidRPr="006C1DB0">
        <w:rPr>
          <w:sz w:val="20"/>
          <w:szCs w:val="20"/>
        </w:rPr>
        <w:t>basis.</w:t>
      </w:r>
    </w:p>
    <w:p w14:paraId="503BFCFF" w14:textId="77777777" w:rsidR="00430074" w:rsidRPr="006C1DB0" w:rsidRDefault="00430074" w:rsidP="00430074">
      <w:pPr>
        <w:pStyle w:val="ListParagraph"/>
        <w:numPr>
          <w:ilvl w:val="0"/>
          <w:numId w:val="2"/>
        </w:numPr>
        <w:rPr>
          <w:rFonts w:eastAsiaTheme="minorEastAsia"/>
          <w:sz w:val="20"/>
          <w:szCs w:val="20"/>
        </w:rPr>
      </w:pPr>
      <w:r w:rsidRPr="006C1DB0">
        <w:rPr>
          <w:sz w:val="20"/>
          <w:szCs w:val="20"/>
        </w:rPr>
        <w:t>Participating on at least one subcommittee.</w:t>
      </w:r>
    </w:p>
    <w:p w14:paraId="2865AC4A" w14:textId="77777777" w:rsidR="00430074" w:rsidRPr="006C1DB0" w:rsidRDefault="00430074" w:rsidP="00430074">
      <w:pPr>
        <w:pStyle w:val="ListParagraph"/>
        <w:numPr>
          <w:ilvl w:val="0"/>
          <w:numId w:val="2"/>
        </w:numPr>
        <w:rPr>
          <w:rFonts w:eastAsiaTheme="minorEastAsia"/>
          <w:sz w:val="20"/>
          <w:szCs w:val="20"/>
        </w:rPr>
      </w:pPr>
      <w:r w:rsidRPr="006C1DB0">
        <w:rPr>
          <w:sz w:val="20"/>
          <w:szCs w:val="20"/>
        </w:rPr>
        <w:t>Attending coalition sponsored trainings, town hall meetings, and other community events.</w:t>
      </w:r>
    </w:p>
    <w:p w14:paraId="5F8F4AB4" w14:textId="77777777" w:rsidR="00430074" w:rsidRPr="006C1DB0" w:rsidRDefault="00430074" w:rsidP="00430074">
      <w:pPr>
        <w:pStyle w:val="ListParagraph"/>
        <w:numPr>
          <w:ilvl w:val="0"/>
          <w:numId w:val="2"/>
        </w:numPr>
        <w:rPr>
          <w:rFonts w:eastAsiaTheme="minorEastAsia"/>
          <w:sz w:val="20"/>
          <w:szCs w:val="20"/>
        </w:rPr>
      </w:pPr>
      <w:r w:rsidRPr="006C1DB0">
        <w:rPr>
          <w:sz w:val="20"/>
          <w:szCs w:val="20"/>
        </w:rPr>
        <w:t>Contributing to the strategic action planning process.</w:t>
      </w:r>
    </w:p>
    <w:p w14:paraId="1731C198" w14:textId="77777777" w:rsidR="00430074" w:rsidRPr="006C1DB0" w:rsidRDefault="00430074" w:rsidP="00430074">
      <w:pPr>
        <w:pStyle w:val="ListParagraph"/>
        <w:numPr>
          <w:ilvl w:val="0"/>
          <w:numId w:val="2"/>
        </w:numPr>
        <w:rPr>
          <w:rFonts w:eastAsiaTheme="minorEastAsia"/>
          <w:sz w:val="20"/>
          <w:szCs w:val="20"/>
        </w:rPr>
      </w:pPr>
      <w:r w:rsidRPr="006C1DB0">
        <w:rPr>
          <w:sz w:val="20"/>
          <w:szCs w:val="20"/>
        </w:rPr>
        <w:t>Participating in sustaining the coalition’s capacity, involvement, and goals.</w:t>
      </w:r>
    </w:p>
    <w:p w14:paraId="6ADCB4C4" w14:textId="77777777" w:rsidR="00430074" w:rsidRPr="006C1DB0" w:rsidRDefault="00430074" w:rsidP="00430074">
      <w:pPr>
        <w:pStyle w:val="ListParagraph"/>
        <w:numPr>
          <w:ilvl w:val="0"/>
          <w:numId w:val="2"/>
        </w:numPr>
        <w:rPr>
          <w:rFonts w:eastAsiaTheme="minorEastAsia"/>
          <w:sz w:val="20"/>
          <w:szCs w:val="20"/>
        </w:rPr>
      </w:pPr>
      <w:r w:rsidRPr="006C1DB0">
        <w:rPr>
          <w:sz w:val="20"/>
          <w:szCs w:val="20"/>
        </w:rPr>
        <w:t>Preventing youth substance use through environmental strategies.</w:t>
      </w:r>
    </w:p>
    <w:p w14:paraId="300FA729" w14:textId="77777777" w:rsidR="00430074" w:rsidRPr="006C1DB0" w:rsidRDefault="00430074" w:rsidP="00430074">
      <w:pPr>
        <w:pStyle w:val="ListParagraph"/>
        <w:numPr>
          <w:ilvl w:val="0"/>
          <w:numId w:val="2"/>
        </w:numPr>
        <w:rPr>
          <w:rFonts w:eastAsiaTheme="minorEastAsia"/>
          <w:sz w:val="20"/>
          <w:szCs w:val="20"/>
        </w:rPr>
      </w:pPr>
      <w:r w:rsidRPr="006C1DB0">
        <w:rPr>
          <w:sz w:val="20"/>
          <w:szCs w:val="20"/>
        </w:rPr>
        <w:t>Using his/her activities as match, if applicable.</w:t>
      </w:r>
    </w:p>
    <w:p w14:paraId="638C8F5B" w14:textId="77777777" w:rsidR="00430074" w:rsidRPr="006C1DB0" w:rsidRDefault="00430074" w:rsidP="00430074">
      <w:pPr>
        <w:pStyle w:val="ListParagraph"/>
        <w:numPr>
          <w:ilvl w:val="0"/>
          <w:numId w:val="2"/>
        </w:numPr>
        <w:rPr>
          <w:rFonts w:eastAsiaTheme="minorEastAsia"/>
          <w:sz w:val="20"/>
          <w:szCs w:val="20"/>
        </w:rPr>
      </w:pPr>
      <w:r w:rsidRPr="006C1DB0">
        <w:rPr>
          <w:sz w:val="20"/>
          <w:szCs w:val="20"/>
        </w:rPr>
        <w:t>Other responsibilities as needed, etc.</w:t>
      </w:r>
    </w:p>
    <w:p w14:paraId="2264907E" w14:textId="77777777" w:rsidR="00430074" w:rsidRPr="006C1DB0" w:rsidRDefault="00430074" w:rsidP="00430074">
      <w:pPr>
        <w:spacing w:after="0"/>
        <w:rPr>
          <w:rFonts w:ascii="Times New Roman" w:eastAsiaTheme="minorEastAsia" w:hAnsi="Times New Roman" w:cs="Times New Roman"/>
          <w:sz w:val="20"/>
          <w:szCs w:val="20"/>
        </w:rPr>
      </w:pPr>
    </w:p>
    <w:p w14:paraId="070803F9" w14:textId="77777777" w:rsidR="00430074" w:rsidRPr="006C1DB0" w:rsidRDefault="00430074" w:rsidP="00430074">
      <w:pPr>
        <w:spacing w:after="0"/>
        <w:rPr>
          <w:rFonts w:ascii="Times New Roman" w:eastAsiaTheme="minorEastAsia" w:hAnsi="Times New Roman" w:cs="Times New Roman"/>
          <w:sz w:val="20"/>
          <w:szCs w:val="20"/>
        </w:rPr>
      </w:pPr>
      <w:r w:rsidRPr="006C1DB0">
        <w:rPr>
          <w:rFonts w:ascii="Times New Roman" w:eastAsiaTheme="minorEastAsia" w:hAnsi="Times New Roman" w:cs="Times New Roman"/>
          <w:sz w:val="20"/>
          <w:szCs w:val="20"/>
        </w:rPr>
        <w:t xml:space="preserve">By signing this Agreement, the individuals are affirming that he/she represents one of the 12 required sectors and are committing to the responsibilities described.  </w:t>
      </w:r>
    </w:p>
    <w:p w14:paraId="598D24E6" w14:textId="77777777" w:rsidR="00430074" w:rsidRPr="006C1DB0" w:rsidRDefault="00430074" w:rsidP="00430074">
      <w:pPr>
        <w:rPr>
          <w:rFonts w:ascii="Times New Roman" w:eastAsiaTheme="minorEastAsia" w:hAnsi="Times New Roman" w:cs="Times New Roman"/>
          <w:sz w:val="20"/>
          <w:szCs w:val="20"/>
        </w:rPr>
      </w:pPr>
    </w:p>
    <w:tbl>
      <w:tblPr>
        <w:tblStyle w:val="TableGrid"/>
        <w:tblW w:w="0" w:type="auto"/>
        <w:tblLook w:val="04A0" w:firstRow="1" w:lastRow="0" w:firstColumn="1" w:lastColumn="0" w:noHBand="0" w:noVBand="1"/>
      </w:tblPr>
      <w:tblGrid>
        <w:gridCol w:w="4675"/>
        <w:gridCol w:w="4675"/>
      </w:tblGrid>
      <w:tr w:rsidR="00430074" w:rsidRPr="006C1DB0" w14:paraId="709C253C" w14:textId="77777777" w:rsidTr="00ED1F67">
        <w:tc>
          <w:tcPr>
            <w:tcW w:w="5035" w:type="dxa"/>
          </w:tcPr>
          <w:p w14:paraId="16CD634C" w14:textId="3E805F8E" w:rsidR="00430074" w:rsidRPr="006C1DB0" w:rsidRDefault="0077250C" w:rsidP="00ED1F67">
            <w:pPr>
              <w:spacing w:after="160" w:line="259" w:lineRule="auto"/>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INDIVIDUAL </w:t>
            </w:r>
            <w:r w:rsidR="00C21FDA" w:rsidRPr="006C1DB0">
              <w:rPr>
                <w:rFonts w:ascii="Times New Roman" w:hAnsi="Times New Roman" w:cs="Times New Roman"/>
                <w:b/>
                <w:bCs/>
                <w:color w:val="000000" w:themeColor="text1"/>
                <w:sz w:val="20"/>
                <w:szCs w:val="20"/>
              </w:rPr>
              <w:t>SECTOR</w:t>
            </w:r>
            <w:r w:rsidR="00C21FDA">
              <w:rPr>
                <w:rFonts w:ascii="Times New Roman" w:hAnsi="Times New Roman" w:cs="Times New Roman"/>
                <w:b/>
                <w:bCs/>
                <w:color w:val="000000" w:themeColor="text1"/>
                <w:sz w:val="20"/>
                <w:szCs w:val="20"/>
              </w:rPr>
              <w:t xml:space="preserve"> </w:t>
            </w:r>
            <w:r w:rsidR="00430074" w:rsidRPr="006C1DB0">
              <w:rPr>
                <w:rFonts w:ascii="Times New Roman" w:hAnsi="Times New Roman" w:cs="Times New Roman"/>
                <w:b/>
                <w:bCs/>
                <w:color w:val="000000" w:themeColor="text1"/>
                <w:sz w:val="20"/>
                <w:szCs w:val="20"/>
              </w:rPr>
              <w:t>REPRESENTATIVE</w:t>
            </w:r>
          </w:p>
        </w:tc>
        <w:tc>
          <w:tcPr>
            <w:tcW w:w="5035" w:type="dxa"/>
          </w:tcPr>
          <w:p w14:paraId="606728FC" w14:textId="62C5C849" w:rsidR="00430074" w:rsidRPr="006C1DB0" w:rsidRDefault="00C21FDA" w:rsidP="00ED1F67">
            <w:pPr>
              <w:spacing w:after="160" w:line="259" w:lineRule="auto"/>
              <w:rPr>
                <w:rFonts w:ascii="Times New Roman" w:hAnsi="Times New Roman" w:cs="Times New Roman"/>
                <w:b/>
                <w:bCs/>
                <w:color w:val="000000" w:themeColor="text1"/>
                <w:sz w:val="20"/>
                <w:szCs w:val="20"/>
              </w:rPr>
            </w:pPr>
            <w:r w:rsidRPr="006C1DB0">
              <w:rPr>
                <w:rFonts w:ascii="Times New Roman" w:hAnsi="Times New Roman" w:cs="Times New Roman"/>
                <w:b/>
                <w:bCs/>
                <w:color w:val="000000" w:themeColor="text1"/>
                <w:sz w:val="20"/>
                <w:szCs w:val="20"/>
              </w:rPr>
              <w:t xml:space="preserve">COALITION </w:t>
            </w:r>
            <w:r w:rsidR="00430074" w:rsidRPr="006C1DB0">
              <w:rPr>
                <w:rFonts w:ascii="Times New Roman" w:hAnsi="Times New Roman" w:cs="Times New Roman"/>
                <w:b/>
                <w:bCs/>
                <w:color w:val="000000" w:themeColor="text1"/>
                <w:sz w:val="20"/>
                <w:szCs w:val="20"/>
              </w:rPr>
              <w:t>REPRESENTATIVE</w:t>
            </w:r>
          </w:p>
        </w:tc>
      </w:tr>
      <w:tr w:rsidR="00430074" w:rsidRPr="006C1DB0" w14:paraId="7B77FAEE" w14:textId="77777777" w:rsidTr="00ED1F67">
        <w:tc>
          <w:tcPr>
            <w:tcW w:w="5035" w:type="dxa"/>
          </w:tcPr>
          <w:p w14:paraId="314D58E6" w14:textId="77777777" w:rsidR="00430074" w:rsidRPr="006C1DB0" w:rsidRDefault="00430074" w:rsidP="00ED1F67">
            <w:pPr>
              <w:spacing w:after="160" w:line="259" w:lineRule="auto"/>
              <w:rPr>
                <w:rFonts w:ascii="Times New Roman" w:hAnsi="Times New Roman" w:cs="Times New Roman"/>
                <w:sz w:val="20"/>
                <w:szCs w:val="20"/>
              </w:rPr>
            </w:pPr>
            <w:r w:rsidRPr="006C1DB0">
              <w:rPr>
                <w:rFonts w:ascii="Times New Roman" w:hAnsi="Times New Roman" w:cs="Times New Roman"/>
                <w:sz w:val="20"/>
                <w:szCs w:val="20"/>
              </w:rPr>
              <w:t>Name and Title</w:t>
            </w:r>
          </w:p>
          <w:p w14:paraId="7F582AD2" w14:textId="77777777" w:rsidR="00430074" w:rsidRPr="006C1DB0" w:rsidRDefault="00430074" w:rsidP="00ED1F67">
            <w:pPr>
              <w:spacing w:after="160" w:line="259" w:lineRule="auto"/>
              <w:rPr>
                <w:rFonts w:ascii="Times New Roman" w:hAnsi="Times New Roman" w:cs="Times New Roman"/>
                <w:color w:val="000000" w:themeColor="text1"/>
                <w:sz w:val="20"/>
                <w:szCs w:val="20"/>
              </w:rPr>
            </w:pPr>
          </w:p>
        </w:tc>
        <w:tc>
          <w:tcPr>
            <w:tcW w:w="5035" w:type="dxa"/>
          </w:tcPr>
          <w:p w14:paraId="746FAE20" w14:textId="77777777" w:rsidR="00430074" w:rsidRPr="006C1DB0" w:rsidRDefault="00430074" w:rsidP="00ED1F67">
            <w:pPr>
              <w:spacing w:after="160" w:line="259" w:lineRule="auto"/>
              <w:rPr>
                <w:rFonts w:ascii="Times New Roman" w:hAnsi="Times New Roman" w:cs="Times New Roman"/>
                <w:color w:val="000000" w:themeColor="text1"/>
                <w:sz w:val="20"/>
                <w:szCs w:val="20"/>
              </w:rPr>
            </w:pPr>
            <w:r w:rsidRPr="006C1DB0">
              <w:rPr>
                <w:rFonts w:ascii="Times New Roman" w:hAnsi="Times New Roman" w:cs="Times New Roman"/>
                <w:sz w:val="20"/>
                <w:szCs w:val="20"/>
              </w:rPr>
              <w:t>Name and Sector</w:t>
            </w:r>
          </w:p>
        </w:tc>
      </w:tr>
      <w:tr w:rsidR="00430074" w:rsidRPr="006C1DB0" w14:paraId="4A4F6CEC" w14:textId="77777777" w:rsidTr="00ED1F67">
        <w:tc>
          <w:tcPr>
            <w:tcW w:w="5035" w:type="dxa"/>
          </w:tcPr>
          <w:p w14:paraId="44E27FA9" w14:textId="77777777" w:rsidR="00430074" w:rsidRPr="006C1DB0" w:rsidRDefault="00430074" w:rsidP="00ED1F67">
            <w:pPr>
              <w:spacing w:after="160" w:line="259" w:lineRule="auto"/>
              <w:rPr>
                <w:rFonts w:ascii="Times New Roman" w:hAnsi="Times New Roman" w:cs="Times New Roman"/>
                <w:color w:val="000000" w:themeColor="text1"/>
                <w:sz w:val="20"/>
                <w:szCs w:val="20"/>
              </w:rPr>
            </w:pPr>
            <w:r w:rsidRPr="006C1DB0">
              <w:rPr>
                <w:rFonts w:ascii="Times New Roman" w:hAnsi="Times New Roman" w:cs="Times New Roman"/>
                <w:color w:val="000000" w:themeColor="text1"/>
                <w:sz w:val="20"/>
                <w:szCs w:val="20"/>
              </w:rPr>
              <w:t>Signature and Date</w:t>
            </w:r>
          </w:p>
          <w:p w14:paraId="40485255" w14:textId="77777777" w:rsidR="00430074" w:rsidRPr="006C1DB0" w:rsidRDefault="00430074" w:rsidP="00ED1F67">
            <w:pPr>
              <w:spacing w:after="160" w:line="259" w:lineRule="auto"/>
              <w:rPr>
                <w:rFonts w:ascii="Times New Roman" w:hAnsi="Times New Roman" w:cs="Times New Roman"/>
                <w:color w:val="000000" w:themeColor="text1"/>
                <w:sz w:val="20"/>
                <w:szCs w:val="20"/>
              </w:rPr>
            </w:pPr>
          </w:p>
        </w:tc>
        <w:tc>
          <w:tcPr>
            <w:tcW w:w="5035" w:type="dxa"/>
          </w:tcPr>
          <w:p w14:paraId="318B5BD9" w14:textId="77777777" w:rsidR="00430074" w:rsidRPr="006C1DB0" w:rsidRDefault="00430074" w:rsidP="00ED1F67">
            <w:pPr>
              <w:spacing w:after="160" w:line="259" w:lineRule="auto"/>
              <w:rPr>
                <w:rFonts w:ascii="Times New Roman" w:hAnsi="Times New Roman" w:cs="Times New Roman"/>
                <w:color w:val="000000" w:themeColor="text1"/>
                <w:sz w:val="20"/>
                <w:szCs w:val="20"/>
              </w:rPr>
            </w:pPr>
            <w:r w:rsidRPr="006C1DB0">
              <w:rPr>
                <w:rFonts w:ascii="Times New Roman" w:hAnsi="Times New Roman" w:cs="Times New Roman"/>
                <w:color w:val="000000" w:themeColor="text1"/>
                <w:sz w:val="20"/>
                <w:szCs w:val="20"/>
              </w:rPr>
              <w:t>Signature and Date</w:t>
            </w:r>
          </w:p>
        </w:tc>
      </w:tr>
    </w:tbl>
    <w:p w14:paraId="1D16CF63" w14:textId="77777777" w:rsidR="00BA760C" w:rsidRDefault="00430074" w:rsidP="00430074">
      <w:pPr>
        <w:ind w:left="30"/>
        <w:rPr>
          <w:rFonts w:ascii="Times New Roman" w:hAnsi="Times New Roman" w:cs="Times New Roman"/>
          <w:color w:val="000000" w:themeColor="text1"/>
        </w:rPr>
        <w:sectPr w:rsidR="00BA760C" w:rsidSect="00F24521">
          <w:pgSz w:w="12240" w:h="15840"/>
          <w:pgMar w:top="1440" w:right="1440" w:bottom="1440" w:left="1440" w:header="720" w:footer="720" w:gutter="0"/>
          <w:cols w:space="720"/>
          <w:titlePg/>
          <w:docGrid w:linePitch="360"/>
        </w:sectPr>
      </w:pPr>
      <w:r w:rsidRPr="006C1DB0">
        <w:rPr>
          <w:rFonts w:ascii="Times New Roman" w:hAnsi="Times New Roman" w:cs="Times New Roman"/>
          <w:sz w:val="20"/>
          <w:szCs w:val="20"/>
        </w:rPr>
        <w:br/>
      </w:r>
      <w:r w:rsidRPr="006C1DB0">
        <w:rPr>
          <w:rFonts w:ascii="Times New Roman" w:hAnsi="Times New Roman" w:cs="Times New Roman"/>
          <w:b/>
          <w:color w:val="000000" w:themeColor="text1"/>
          <w:sz w:val="20"/>
          <w:szCs w:val="20"/>
          <w:u w:val="single"/>
        </w:rPr>
        <w:t>NOTE:</w:t>
      </w:r>
      <w:r w:rsidRPr="006C1DB0">
        <w:rPr>
          <w:rFonts w:ascii="Times New Roman" w:hAnsi="Times New Roman" w:cs="Times New Roman"/>
          <w:color w:val="000000" w:themeColor="text1"/>
          <w:sz w:val="20"/>
          <w:szCs w:val="20"/>
        </w:rPr>
        <w:t xml:space="preserve"> Form must be </w:t>
      </w:r>
      <w:r w:rsidRPr="006C1DB0">
        <w:rPr>
          <w:rFonts w:ascii="Times New Roman" w:hAnsi="Times New Roman" w:cs="Times New Roman"/>
          <w:b/>
          <w:bCs/>
          <w:color w:val="000000" w:themeColor="text1"/>
          <w:sz w:val="20"/>
          <w:szCs w:val="20"/>
        </w:rPr>
        <w:t>dated after January 2021</w:t>
      </w:r>
      <w:r w:rsidRPr="006C1DB0">
        <w:rPr>
          <w:rFonts w:ascii="Times New Roman" w:hAnsi="Times New Roman" w:cs="Times New Roman"/>
          <w:color w:val="000000" w:themeColor="text1"/>
          <w:sz w:val="20"/>
          <w:szCs w:val="20"/>
        </w:rPr>
        <w:t xml:space="preserve"> and must be signed.   Missing signatures or incomplete forms will result in the entire application being deemed as INELIGIBLE and the application will not be considered for funding.  Handwritten and/or electronic signatures are acceptable.</w:t>
      </w:r>
      <w:r w:rsidRPr="00667BFC">
        <w:rPr>
          <w:rFonts w:ascii="Times New Roman" w:hAnsi="Times New Roman" w:cs="Times New Roman"/>
          <w:color w:val="000000" w:themeColor="text1"/>
        </w:rPr>
        <w:t xml:space="preserve">      </w:t>
      </w:r>
    </w:p>
    <w:p w14:paraId="30B49DE0" w14:textId="22B2D676" w:rsidR="00430074" w:rsidRPr="00204D0A" w:rsidRDefault="7CA73184" w:rsidP="00430074">
      <w:pPr>
        <w:rPr>
          <w:rFonts w:ascii="Times New Roman" w:hAnsi="Times New Roman" w:cs="Times New Roman"/>
          <w:b/>
          <w:bCs/>
          <w:sz w:val="28"/>
          <w:szCs w:val="28"/>
        </w:rPr>
      </w:pPr>
      <w:r w:rsidRPr="0A84BE0A">
        <w:rPr>
          <w:rFonts w:ascii="Times New Roman" w:hAnsi="Times New Roman" w:cs="Times New Roman"/>
          <w:b/>
          <w:bCs/>
          <w:sz w:val="28"/>
          <w:szCs w:val="28"/>
        </w:rPr>
        <w:lastRenderedPageBreak/>
        <w:t>APPENDIX D.  Sample MOU between Fiscal Agent and Coalition</w:t>
      </w:r>
    </w:p>
    <w:p w14:paraId="5780B494" w14:textId="77777777" w:rsidR="000A26B1" w:rsidRDefault="000A26B1" w:rsidP="003A4523">
      <w:pPr>
        <w:spacing w:after="0"/>
        <w:ind w:left="20"/>
        <w:rPr>
          <w:rFonts w:ascii="Times New Roman" w:hAnsi="Times New Roman" w:cs="Times New Roman"/>
          <w:sz w:val="24"/>
          <w:szCs w:val="24"/>
        </w:rPr>
      </w:pPr>
    </w:p>
    <w:p w14:paraId="69AA437D" w14:textId="0A8F9C8E" w:rsidR="00D90224" w:rsidRPr="00BB68FF" w:rsidRDefault="000A26B1" w:rsidP="003A4523">
      <w:pPr>
        <w:spacing w:after="0"/>
        <w:ind w:left="20"/>
        <w:rPr>
          <w:rFonts w:ascii="Times New Roman" w:hAnsi="Times New Roman" w:cs="Times New Roman"/>
        </w:rPr>
      </w:pPr>
      <w:r w:rsidRPr="00BB68FF">
        <w:rPr>
          <w:rFonts w:ascii="Times New Roman" w:hAnsi="Times New Roman" w:cs="Times New Roman"/>
        </w:rPr>
        <w:t>Here are some c</w:t>
      </w:r>
      <w:r w:rsidR="00D90224" w:rsidRPr="00BB68FF">
        <w:rPr>
          <w:rFonts w:ascii="Times New Roman" w:hAnsi="Times New Roman" w:cs="Times New Roman"/>
        </w:rPr>
        <w:t xml:space="preserve">onsiderations for </w:t>
      </w:r>
      <w:r w:rsidR="0030689D" w:rsidRPr="00BB68FF">
        <w:rPr>
          <w:rFonts w:ascii="Times New Roman" w:hAnsi="Times New Roman" w:cs="Times New Roman"/>
        </w:rPr>
        <w:t xml:space="preserve">selecting and </w:t>
      </w:r>
      <w:r w:rsidR="003A4523" w:rsidRPr="00BB68FF">
        <w:rPr>
          <w:rFonts w:ascii="Times New Roman" w:hAnsi="Times New Roman" w:cs="Times New Roman"/>
        </w:rPr>
        <w:t>p</w:t>
      </w:r>
      <w:r w:rsidR="00D90224" w:rsidRPr="00BB68FF">
        <w:rPr>
          <w:rFonts w:ascii="Times New Roman" w:hAnsi="Times New Roman" w:cs="Times New Roman"/>
        </w:rPr>
        <w:t>artnering with a Fiscal Agent to apply for DFC Funding</w:t>
      </w:r>
      <w:r w:rsidRPr="00BB68FF">
        <w:rPr>
          <w:rFonts w:ascii="Times New Roman" w:hAnsi="Times New Roman" w:cs="Times New Roman"/>
        </w:rPr>
        <w:t>.</w:t>
      </w:r>
    </w:p>
    <w:p w14:paraId="4546B899" w14:textId="77777777" w:rsidR="004A2A0B" w:rsidRPr="00BB68FF" w:rsidRDefault="004A2A0B" w:rsidP="003A4523">
      <w:pPr>
        <w:spacing w:after="0"/>
        <w:ind w:left="20"/>
        <w:rPr>
          <w:rFonts w:ascii="Times New Roman" w:hAnsi="Times New Roman" w:cs="Times New Roman"/>
        </w:rPr>
      </w:pPr>
    </w:p>
    <w:p w14:paraId="43EC14A3" w14:textId="6D55B824" w:rsidR="00D90224" w:rsidRPr="00BB68FF" w:rsidRDefault="00D90224" w:rsidP="00632458">
      <w:pPr>
        <w:pStyle w:val="ListParagraph"/>
        <w:numPr>
          <w:ilvl w:val="0"/>
          <w:numId w:val="0"/>
        </w:numPr>
        <w:ind w:left="20"/>
        <w:rPr>
          <w:sz w:val="22"/>
          <w:szCs w:val="22"/>
        </w:rPr>
      </w:pPr>
      <w:r w:rsidRPr="00BB68FF">
        <w:rPr>
          <w:sz w:val="22"/>
          <w:szCs w:val="22"/>
        </w:rPr>
        <w:t>Although your coalition may exist within another organization that is eligible to receive federal</w:t>
      </w:r>
      <w:r w:rsidR="00632458" w:rsidRPr="00BB68FF">
        <w:rPr>
          <w:sz w:val="22"/>
          <w:szCs w:val="22"/>
        </w:rPr>
        <w:t xml:space="preserve"> </w:t>
      </w:r>
      <w:r w:rsidRPr="00BB68FF">
        <w:rPr>
          <w:sz w:val="22"/>
          <w:szCs w:val="22"/>
        </w:rPr>
        <w:t xml:space="preserve">funding, a </w:t>
      </w:r>
      <w:r w:rsidRPr="00BB68FF">
        <w:rPr>
          <w:b/>
          <w:bCs/>
          <w:sz w:val="22"/>
          <w:szCs w:val="22"/>
        </w:rPr>
        <w:t xml:space="preserve">Memorandum of Understanding (MOU) </w:t>
      </w:r>
      <w:r w:rsidRPr="00BB68FF">
        <w:rPr>
          <w:sz w:val="22"/>
          <w:szCs w:val="22"/>
        </w:rPr>
        <w:t xml:space="preserve">will be required. Use the MOU if the coalition is partnering with an outside agency as its fiscal agent. </w:t>
      </w:r>
    </w:p>
    <w:p w14:paraId="0C861C77" w14:textId="77777777" w:rsidR="00192613" w:rsidRPr="00BB68FF" w:rsidRDefault="00192613" w:rsidP="00632458">
      <w:pPr>
        <w:pStyle w:val="ListParagraph"/>
        <w:numPr>
          <w:ilvl w:val="0"/>
          <w:numId w:val="0"/>
        </w:numPr>
        <w:ind w:left="20"/>
        <w:rPr>
          <w:sz w:val="22"/>
          <w:szCs w:val="22"/>
        </w:rPr>
      </w:pPr>
    </w:p>
    <w:p w14:paraId="371B1C89" w14:textId="77777777" w:rsidR="000A26B1" w:rsidRPr="00BB68FF" w:rsidRDefault="000A26B1" w:rsidP="000A26B1">
      <w:pPr>
        <w:pStyle w:val="ListParagraph"/>
        <w:numPr>
          <w:ilvl w:val="0"/>
          <w:numId w:val="0"/>
        </w:numPr>
        <w:ind w:left="1100"/>
        <w:rPr>
          <w:sz w:val="22"/>
          <w:szCs w:val="22"/>
        </w:rPr>
      </w:pPr>
    </w:p>
    <w:p w14:paraId="097D3E32" w14:textId="1914D3B8" w:rsidR="00D90224" w:rsidRPr="00BB68FF" w:rsidRDefault="00D90224" w:rsidP="00D90224">
      <w:pPr>
        <w:pStyle w:val="ListParagraph"/>
        <w:numPr>
          <w:ilvl w:val="1"/>
          <w:numId w:val="20"/>
        </w:numPr>
        <w:rPr>
          <w:sz w:val="22"/>
          <w:szCs w:val="22"/>
        </w:rPr>
      </w:pPr>
      <w:r w:rsidRPr="00BB68FF">
        <w:rPr>
          <w:sz w:val="22"/>
          <w:szCs w:val="22"/>
        </w:rPr>
        <w:t xml:space="preserve">The signatures on the MOU </w:t>
      </w:r>
      <w:r w:rsidRPr="00BB68FF">
        <w:rPr>
          <w:b/>
          <w:bCs/>
          <w:sz w:val="22"/>
          <w:szCs w:val="22"/>
          <w:u w:val="single"/>
        </w:rPr>
        <w:t>must</w:t>
      </w:r>
      <w:r w:rsidRPr="00BB68FF">
        <w:rPr>
          <w:sz w:val="22"/>
          <w:szCs w:val="22"/>
        </w:rPr>
        <w:t xml:space="preserve"> include that of the </w:t>
      </w:r>
      <w:r w:rsidR="004B2347">
        <w:rPr>
          <w:sz w:val="22"/>
          <w:szCs w:val="22"/>
        </w:rPr>
        <w:t>F</w:t>
      </w:r>
      <w:r w:rsidRPr="00BB68FF">
        <w:rPr>
          <w:sz w:val="22"/>
          <w:szCs w:val="22"/>
        </w:rPr>
        <w:t xml:space="preserve">iscal </w:t>
      </w:r>
      <w:r w:rsidR="004B2347">
        <w:rPr>
          <w:sz w:val="22"/>
          <w:szCs w:val="22"/>
        </w:rPr>
        <w:t>A</w:t>
      </w:r>
      <w:r w:rsidRPr="00BB68FF">
        <w:rPr>
          <w:sz w:val="22"/>
          <w:szCs w:val="22"/>
        </w:rPr>
        <w:t xml:space="preserve">gent and the coalition. </w:t>
      </w:r>
    </w:p>
    <w:p w14:paraId="16E4683E" w14:textId="77777777" w:rsidR="000A26B1" w:rsidRPr="00BB68FF" w:rsidRDefault="000A26B1" w:rsidP="000A26B1">
      <w:pPr>
        <w:pStyle w:val="ListParagraph"/>
        <w:numPr>
          <w:ilvl w:val="0"/>
          <w:numId w:val="0"/>
        </w:numPr>
        <w:ind w:left="1100"/>
        <w:rPr>
          <w:sz w:val="22"/>
          <w:szCs w:val="22"/>
        </w:rPr>
      </w:pPr>
    </w:p>
    <w:p w14:paraId="24C7B625" w14:textId="26228F69" w:rsidR="00D90224" w:rsidRPr="00BB68FF" w:rsidRDefault="00D90224" w:rsidP="00D90224">
      <w:pPr>
        <w:pStyle w:val="ListParagraph"/>
        <w:numPr>
          <w:ilvl w:val="1"/>
          <w:numId w:val="20"/>
        </w:numPr>
        <w:rPr>
          <w:sz w:val="22"/>
          <w:szCs w:val="22"/>
        </w:rPr>
      </w:pPr>
      <w:r w:rsidRPr="00BB68FF">
        <w:rPr>
          <w:sz w:val="22"/>
          <w:szCs w:val="22"/>
        </w:rPr>
        <w:t xml:space="preserve">The date </w:t>
      </w:r>
      <w:r w:rsidRPr="00BB68FF">
        <w:rPr>
          <w:b/>
          <w:bCs/>
          <w:sz w:val="22"/>
          <w:szCs w:val="22"/>
          <w:u w:val="single"/>
        </w:rPr>
        <w:t>must</w:t>
      </w:r>
      <w:r w:rsidRPr="00BB68FF">
        <w:rPr>
          <w:sz w:val="22"/>
          <w:szCs w:val="22"/>
        </w:rPr>
        <w:t xml:space="preserve"> be dated between January 2021 and the deadline for this application. </w:t>
      </w:r>
    </w:p>
    <w:p w14:paraId="6A376483" w14:textId="77777777" w:rsidR="000A26B1" w:rsidRPr="00BB68FF" w:rsidRDefault="000A26B1" w:rsidP="000A26B1">
      <w:pPr>
        <w:pStyle w:val="ListParagraph"/>
        <w:numPr>
          <w:ilvl w:val="0"/>
          <w:numId w:val="0"/>
        </w:numPr>
        <w:ind w:left="1100"/>
        <w:rPr>
          <w:sz w:val="22"/>
          <w:szCs w:val="22"/>
        </w:rPr>
      </w:pPr>
    </w:p>
    <w:p w14:paraId="1CA362D7" w14:textId="4B7C7702" w:rsidR="00D90224" w:rsidRPr="00BB68FF" w:rsidRDefault="00D90224" w:rsidP="00D90224">
      <w:pPr>
        <w:pStyle w:val="ListParagraph"/>
        <w:numPr>
          <w:ilvl w:val="1"/>
          <w:numId w:val="20"/>
        </w:numPr>
        <w:rPr>
          <w:sz w:val="22"/>
          <w:szCs w:val="22"/>
        </w:rPr>
      </w:pPr>
      <w:r w:rsidRPr="00BB68FF">
        <w:rPr>
          <w:sz w:val="22"/>
          <w:szCs w:val="22"/>
        </w:rPr>
        <w:t xml:space="preserve">The MOU submitted in the application should reflect the working relationship between </w:t>
      </w:r>
      <w:r w:rsidR="0079271A">
        <w:rPr>
          <w:sz w:val="22"/>
          <w:szCs w:val="22"/>
        </w:rPr>
        <w:t>F</w:t>
      </w:r>
      <w:r w:rsidRPr="00BB68FF">
        <w:rPr>
          <w:sz w:val="22"/>
          <w:szCs w:val="22"/>
        </w:rPr>
        <w:t xml:space="preserve">iscal </w:t>
      </w:r>
      <w:r w:rsidR="0079271A">
        <w:rPr>
          <w:sz w:val="22"/>
          <w:szCs w:val="22"/>
        </w:rPr>
        <w:t>A</w:t>
      </w:r>
      <w:r w:rsidRPr="00BB68FF">
        <w:rPr>
          <w:sz w:val="22"/>
          <w:szCs w:val="22"/>
        </w:rPr>
        <w:t xml:space="preserve">gent and the coalition. Below are considerations when developing a relationship with an outside partnering agency serving as the </w:t>
      </w:r>
      <w:r w:rsidR="002A2C2B">
        <w:rPr>
          <w:sz w:val="22"/>
          <w:szCs w:val="22"/>
        </w:rPr>
        <w:t>F</w:t>
      </w:r>
      <w:r w:rsidRPr="00BB68FF">
        <w:rPr>
          <w:sz w:val="22"/>
          <w:szCs w:val="22"/>
        </w:rPr>
        <w:t xml:space="preserve">iscal </w:t>
      </w:r>
      <w:r w:rsidR="002A2C2B">
        <w:rPr>
          <w:sz w:val="22"/>
          <w:szCs w:val="22"/>
        </w:rPr>
        <w:t>A</w:t>
      </w:r>
      <w:r w:rsidRPr="00BB68FF">
        <w:rPr>
          <w:sz w:val="22"/>
          <w:szCs w:val="22"/>
        </w:rPr>
        <w:t>gent on behalf of a community coalition:</w:t>
      </w:r>
    </w:p>
    <w:p w14:paraId="43138AD4" w14:textId="77777777" w:rsidR="00D90224" w:rsidRPr="00BB68FF" w:rsidRDefault="00D90224" w:rsidP="00D90224">
      <w:pPr>
        <w:spacing w:after="0"/>
        <w:ind w:left="20"/>
        <w:rPr>
          <w:rFonts w:ascii="Times New Roman" w:hAnsi="Times New Roman" w:cs="Times New Roman"/>
        </w:rPr>
      </w:pPr>
    </w:p>
    <w:p w14:paraId="5FC1ADBF" w14:textId="77777777" w:rsidR="00D90224" w:rsidRPr="00BB68FF" w:rsidRDefault="00D90224" w:rsidP="00D90224">
      <w:pPr>
        <w:pStyle w:val="NoSpacing"/>
        <w:numPr>
          <w:ilvl w:val="0"/>
          <w:numId w:val="21"/>
        </w:numPr>
        <w:rPr>
          <w:rFonts w:ascii="Times New Roman" w:hAnsi="Times New Roman"/>
          <w:sz w:val="22"/>
        </w:rPr>
      </w:pPr>
      <w:r w:rsidRPr="00BB68FF">
        <w:rPr>
          <w:rFonts w:ascii="Times New Roman" w:hAnsi="Times New Roman"/>
          <w:sz w:val="22"/>
        </w:rPr>
        <w:t>While it is allowable for the recipient to retain a portion for administration of the DFC grant, DFC funds are not meant to substantially supplement the budget of a partnering agency. DFC funds are specifically intended to support the work of the community-based coalition.</w:t>
      </w:r>
    </w:p>
    <w:p w14:paraId="24336436" w14:textId="0F6D0588" w:rsidR="00D90224" w:rsidRPr="00BB68FF" w:rsidRDefault="00EB50E3" w:rsidP="00D90224">
      <w:pPr>
        <w:pStyle w:val="NoSpacing"/>
        <w:numPr>
          <w:ilvl w:val="0"/>
          <w:numId w:val="21"/>
        </w:numPr>
        <w:rPr>
          <w:rFonts w:ascii="Times New Roman" w:hAnsi="Times New Roman"/>
          <w:sz w:val="22"/>
        </w:rPr>
      </w:pPr>
      <w:r w:rsidRPr="00BB68FF">
        <w:rPr>
          <w:rFonts w:ascii="Times New Roman" w:hAnsi="Times New Roman"/>
          <w:sz w:val="22"/>
        </w:rPr>
        <w:t>A</w:t>
      </w:r>
      <w:r w:rsidR="00D90224" w:rsidRPr="00BB68FF">
        <w:rPr>
          <w:rFonts w:ascii="Times New Roman" w:hAnsi="Times New Roman"/>
          <w:sz w:val="22"/>
        </w:rPr>
        <w:t xml:space="preserve"> coalition’s volunteer leadership should have a management role in all financial decisions related to a DFC grant applied for on their behalf by a partnering organization.</w:t>
      </w:r>
    </w:p>
    <w:p w14:paraId="62982DB4" w14:textId="6479F4CA" w:rsidR="00D90224" w:rsidRPr="004A2A0B" w:rsidRDefault="00D90224" w:rsidP="00D90224">
      <w:pPr>
        <w:pStyle w:val="NoSpacing"/>
        <w:numPr>
          <w:ilvl w:val="0"/>
          <w:numId w:val="21"/>
        </w:numPr>
        <w:rPr>
          <w:rFonts w:ascii="Times New Roman" w:hAnsi="Times New Roman"/>
          <w:sz w:val="22"/>
        </w:rPr>
      </w:pPr>
      <w:r w:rsidRPr="00BB68FF">
        <w:rPr>
          <w:rFonts w:ascii="Times New Roman" w:hAnsi="Times New Roman"/>
          <w:sz w:val="22"/>
        </w:rPr>
        <w:t>The recipient and coalition may want to seek professional guidance such as an attorney and/or accountant when entering into such an agreement. Both the recipient and coalition should be fully aware of and understand the commitment in which they plan to enter.</w:t>
      </w:r>
    </w:p>
    <w:p w14:paraId="031E342D" w14:textId="77777777" w:rsidR="00D90224" w:rsidRPr="004A2A0B" w:rsidRDefault="00D90224" w:rsidP="00D90224">
      <w:pPr>
        <w:spacing w:after="0"/>
        <w:ind w:left="20"/>
        <w:rPr>
          <w:rFonts w:ascii="Times New Roman" w:hAnsi="Times New Roman" w:cs="Times New Roman"/>
        </w:rPr>
      </w:pPr>
    </w:p>
    <w:p w14:paraId="6B0E6268" w14:textId="77777777" w:rsidR="00694DFC" w:rsidRPr="004A2A0B" w:rsidRDefault="00694DFC" w:rsidP="00B87470">
      <w:pPr>
        <w:spacing w:after="0"/>
        <w:ind w:left="20"/>
        <w:rPr>
          <w:rFonts w:ascii="Times New Roman" w:hAnsi="Times New Roman" w:cs="Times New Roman"/>
          <w:b/>
          <w:bCs/>
        </w:rPr>
      </w:pPr>
    </w:p>
    <w:p w14:paraId="11109A14" w14:textId="385D1C32" w:rsidR="00F24521" w:rsidRDefault="00F24521" w:rsidP="00430074">
      <w:pPr>
        <w:spacing w:after="0"/>
        <w:ind w:left="20"/>
        <w:jc w:val="center"/>
        <w:rPr>
          <w:rFonts w:ascii="Times New Roman" w:hAnsi="Times New Roman" w:cs="Times New Roman"/>
          <w:b/>
          <w:bCs/>
          <w:sz w:val="36"/>
          <w:szCs w:val="36"/>
        </w:rPr>
        <w:sectPr w:rsidR="00F24521" w:rsidSect="00F24521">
          <w:footerReference w:type="first" r:id="rId73"/>
          <w:pgSz w:w="12240" w:h="15840"/>
          <w:pgMar w:top="1440" w:right="1440" w:bottom="1440" w:left="1440" w:header="720" w:footer="720" w:gutter="0"/>
          <w:cols w:space="720"/>
          <w:titlePg/>
          <w:docGrid w:linePitch="360"/>
        </w:sectPr>
      </w:pPr>
    </w:p>
    <w:p w14:paraId="1C195C64" w14:textId="1DF6686B" w:rsidR="00430074" w:rsidRPr="007764B4" w:rsidRDefault="00430074" w:rsidP="00430074">
      <w:pPr>
        <w:spacing w:after="0"/>
        <w:ind w:left="20"/>
        <w:jc w:val="center"/>
        <w:rPr>
          <w:rFonts w:ascii="Times New Roman" w:hAnsi="Times New Roman" w:cs="Times New Roman"/>
          <w:b/>
          <w:bCs/>
          <w:sz w:val="36"/>
          <w:szCs w:val="36"/>
        </w:rPr>
      </w:pPr>
      <w:r w:rsidRPr="007764B4">
        <w:rPr>
          <w:rFonts w:ascii="Times New Roman" w:hAnsi="Times New Roman" w:cs="Times New Roman"/>
          <w:b/>
          <w:bCs/>
          <w:sz w:val="36"/>
          <w:szCs w:val="36"/>
        </w:rPr>
        <w:lastRenderedPageBreak/>
        <w:t>Memorandum of Understanding</w:t>
      </w:r>
    </w:p>
    <w:p w14:paraId="13FA1CC8" w14:textId="57E3AD5F" w:rsidR="00430074" w:rsidRPr="007764B4" w:rsidRDefault="00430074" w:rsidP="00430074">
      <w:pPr>
        <w:spacing w:after="0"/>
        <w:ind w:left="20"/>
        <w:jc w:val="center"/>
        <w:rPr>
          <w:rFonts w:ascii="Times New Roman" w:hAnsi="Times New Roman" w:cs="Times New Roman"/>
          <w:b/>
          <w:bCs/>
          <w:sz w:val="36"/>
          <w:szCs w:val="36"/>
        </w:rPr>
      </w:pPr>
      <w:r w:rsidRPr="007764B4">
        <w:rPr>
          <w:rFonts w:ascii="Times New Roman" w:hAnsi="Times New Roman" w:cs="Times New Roman"/>
          <w:b/>
          <w:bCs/>
          <w:sz w:val="36"/>
          <w:szCs w:val="36"/>
        </w:rPr>
        <w:t xml:space="preserve">between </w:t>
      </w:r>
      <w:r w:rsidR="00B278D5">
        <w:rPr>
          <w:rFonts w:ascii="Times New Roman" w:hAnsi="Times New Roman" w:cs="Times New Roman"/>
          <w:b/>
          <w:bCs/>
          <w:sz w:val="36"/>
          <w:szCs w:val="36"/>
        </w:rPr>
        <w:t>Fiscal Agent</w:t>
      </w:r>
      <w:r w:rsidRPr="007764B4">
        <w:rPr>
          <w:rFonts w:ascii="Times New Roman" w:hAnsi="Times New Roman" w:cs="Times New Roman"/>
          <w:b/>
          <w:bCs/>
          <w:sz w:val="36"/>
          <w:szCs w:val="36"/>
        </w:rPr>
        <w:t xml:space="preserve"> and Coalition</w:t>
      </w:r>
    </w:p>
    <w:p w14:paraId="7D2EDDD3" w14:textId="77777777" w:rsidR="00430074" w:rsidRPr="001E5083" w:rsidRDefault="00430074" w:rsidP="00430074">
      <w:pPr>
        <w:spacing w:after="0"/>
        <w:ind w:left="20"/>
        <w:rPr>
          <w:rFonts w:ascii="Times New Roman" w:hAnsi="Times New Roman" w:cs="Times New Roman"/>
        </w:rPr>
      </w:pPr>
    </w:p>
    <w:p w14:paraId="0A00D833" w14:textId="53434C5E" w:rsidR="00430074" w:rsidRPr="001E5083" w:rsidRDefault="00430074" w:rsidP="3015CABC">
      <w:pPr>
        <w:pStyle w:val="NoSpacing"/>
        <w:jc w:val="center"/>
        <w:rPr>
          <w:rFonts w:ascii="Times New Roman" w:hAnsi="Times New Roman"/>
          <w:sz w:val="22"/>
        </w:rPr>
      </w:pPr>
      <w:r w:rsidRPr="001E5083">
        <w:rPr>
          <w:rFonts w:ascii="Times New Roman" w:hAnsi="Times New Roman"/>
          <w:sz w:val="22"/>
        </w:rPr>
        <w:t xml:space="preserve">This agreement between </w:t>
      </w:r>
      <w:r w:rsidRPr="001E5083">
        <w:rPr>
          <w:rFonts w:ascii="Times New Roman" w:hAnsi="Times New Roman"/>
          <w:i/>
          <w:sz w:val="22"/>
        </w:rPr>
        <w:t>[</w:t>
      </w:r>
      <w:r w:rsidR="00A46A54">
        <w:rPr>
          <w:rFonts w:ascii="Times New Roman" w:hAnsi="Times New Roman"/>
          <w:i/>
          <w:sz w:val="22"/>
        </w:rPr>
        <w:t>Fiscal Agent</w:t>
      </w:r>
      <w:r>
        <w:rPr>
          <w:rFonts w:ascii="Times New Roman" w:hAnsi="Times New Roman"/>
          <w:i/>
          <w:sz w:val="22"/>
        </w:rPr>
        <w:t xml:space="preserve"> Name</w:t>
      </w:r>
      <w:r w:rsidRPr="001E5083">
        <w:rPr>
          <w:rFonts w:ascii="Times New Roman" w:hAnsi="Times New Roman"/>
          <w:i/>
          <w:sz w:val="22"/>
        </w:rPr>
        <w:t>]</w:t>
      </w:r>
      <w:r w:rsidRPr="001E5083">
        <w:rPr>
          <w:rFonts w:ascii="Times New Roman" w:hAnsi="Times New Roman"/>
          <w:sz w:val="22"/>
        </w:rPr>
        <w:t xml:space="preserve"> and </w:t>
      </w:r>
      <w:r w:rsidRPr="001E5083">
        <w:rPr>
          <w:rFonts w:ascii="Times New Roman" w:hAnsi="Times New Roman"/>
          <w:i/>
          <w:sz w:val="22"/>
        </w:rPr>
        <w:t>[Coalition name]</w:t>
      </w:r>
      <w:r w:rsidRPr="001E5083">
        <w:rPr>
          <w:rFonts w:ascii="Times New Roman" w:hAnsi="Times New Roman"/>
          <w:sz w:val="22"/>
        </w:rPr>
        <w:t xml:space="preserve"> shall be from </w:t>
      </w:r>
      <w:r w:rsidRPr="001E5083">
        <w:rPr>
          <w:rFonts w:ascii="Times New Roman" w:hAnsi="Times New Roman"/>
          <w:i/>
          <w:sz w:val="22"/>
        </w:rPr>
        <w:t>[Month/Date/Year]</w:t>
      </w:r>
      <w:r w:rsidRPr="001E5083">
        <w:rPr>
          <w:rFonts w:ascii="Times New Roman" w:hAnsi="Times New Roman"/>
          <w:sz w:val="22"/>
        </w:rPr>
        <w:t xml:space="preserve"> until terminated by mutual agreement:</w:t>
      </w:r>
    </w:p>
    <w:p w14:paraId="5D72C968" w14:textId="77777777" w:rsidR="00430074" w:rsidRPr="001E5083" w:rsidRDefault="00430074" w:rsidP="00430074">
      <w:pPr>
        <w:pStyle w:val="NoSpacing"/>
        <w:rPr>
          <w:rFonts w:ascii="Times New Roman" w:hAnsi="Times New Roman"/>
          <w:sz w:val="22"/>
        </w:rPr>
      </w:pPr>
    </w:p>
    <w:p w14:paraId="17A5936B" w14:textId="77777777" w:rsidR="00430074" w:rsidRPr="001E5083" w:rsidRDefault="00430074" w:rsidP="00430074">
      <w:pPr>
        <w:pStyle w:val="NoSpacing"/>
        <w:rPr>
          <w:rFonts w:ascii="Times New Roman" w:hAnsi="Times New Roman"/>
          <w:b/>
          <w:sz w:val="22"/>
        </w:rPr>
      </w:pPr>
      <w:r w:rsidRPr="001E5083">
        <w:rPr>
          <w:rFonts w:ascii="Times New Roman" w:hAnsi="Times New Roman"/>
          <w:b/>
          <w:spacing w:val="-1"/>
          <w:sz w:val="22"/>
        </w:rPr>
        <w:t xml:space="preserve">RESPONSIBILITIES </w:t>
      </w:r>
      <w:r w:rsidRPr="001E5083">
        <w:rPr>
          <w:rFonts w:ascii="Times New Roman" w:hAnsi="Times New Roman"/>
          <w:b/>
          <w:sz w:val="22"/>
        </w:rPr>
        <w:t>OF</w:t>
      </w:r>
      <w:r w:rsidRPr="001E5083">
        <w:rPr>
          <w:rFonts w:ascii="Times New Roman" w:hAnsi="Times New Roman"/>
          <w:b/>
          <w:spacing w:val="-3"/>
          <w:sz w:val="22"/>
        </w:rPr>
        <w:t xml:space="preserve"> </w:t>
      </w:r>
      <w:r w:rsidRPr="001E5083">
        <w:rPr>
          <w:rFonts w:ascii="Times New Roman" w:hAnsi="Times New Roman"/>
          <w:b/>
          <w:sz w:val="22"/>
        </w:rPr>
        <w:t>THE COALITION:</w:t>
      </w:r>
    </w:p>
    <w:p w14:paraId="46153448" w14:textId="77777777" w:rsidR="00430074" w:rsidRPr="001E5083" w:rsidRDefault="00430074" w:rsidP="00430074">
      <w:pPr>
        <w:pStyle w:val="NoSpacing"/>
        <w:rPr>
          <w:rFonts w:ascii="Times New Roman" w:hAnsi="Times New Roman"/>
          <w:sz w:val="22"/>
        </w:rPr>
      </w:pPr>
    </w:p>
    <w:p w14:paraId="368381C7" w14:textId="77777777" w:rsidR="00430074" w:rsidRPr="001E5083" w:rsidRDefault="00430074" w:rsidP="00430074">
      <w:pPr>
        <w:pStyle w:val="NoSpacing"/>
        <w:numPr>
          <w:ilvl w:val="0"/>
          <w:numId w:val="4"/>
        </w:numPr>
        <w:rPr>
          <w:rFonts w:ascii="Times New Roman" w:hAnsi="Times New Roman"/>
          <w:sz w:val="22"/>
        </w:rPr>
      </w:pPr>
      <w:r w:rsidRPr="001E5083">
        <w:rPr>
          <w:rFonts w:ascii="Times New Roman" w:hAnsi="Times New Roman"/>
          <w:sz w:val="22"/>
        </w:rPr>
        <w:t>Set policy for and oversee its own programs including goals and objectives in alignment with the DFC Support Program’s Terms and Conditions</w:t>
      </w:r>
      <w:r>
        <w:rPr>
          <w:rFonts w:ascii="Times New Roman" w:hAnsi="Times New Roman"/>
          <w:sz w:val="22"/>
        </w:rPr>
        <w:t xml:space="preserve"> of the grant award</w:t>
      </w:r>
      <w:r w:rsidRPr="001E5083" w:rsidDel="003F110B">
        <w:rPr>
          <w:rFonts w:ascii="Times New Roman" w:hAnsi="Times New Roman"/>
          <w:sz w:val="22"/>
        </w:rPr>
        <w:t>.</w:t>
      </w:r>
    </w:p>
    <w:p w14:paraId="6E167E0A" w14:textId="615AD069" w:rsidR="00430074" w:rsidRPr="001E5083" w:rsidRDefault="00430074" w:rsidP="00430074">
      <w:pPr>
        <w:pStyle w:val="NoSpacing"/>
        <w:numPr>
          <w:ilvl w:val="0"/>
          <w:numId w:val="4"/>
        </w:numPr>
        <w:rPr>
          <w:rFonts w:ascii="Times New Roman" w:hAnsi="Times New Roman"/>
          <w:sz w:val="22"/>
        </w:rPr>
      </w:pPr>
      <w:r w:rsidRPr="001E5083">
        <w:rPr>
          <w:rFonts w:ascii="Times New Roman" w:hAnsi="Times New Roman"/>
          <w:sz w:val="22"/>
        </w:rPr>
        <w:t xml:space="preserve">Participate, advise, and/or direct staff and volunteers, set goals and objectives for contract employees, and negotiate and make recommendations for contracts in collaboration with the </w:t>
      </w:r>
      <w:r w:rsidR="00690C61">
        <w:rPr>
          <w:rFonts w:ascii="Times New Roman" w:hAnsi="Times New Roman"/>
          <w:sz w:val="22"/>
        </w:rPr>
        <w:t>fiscal agent</w:t>
      </w:r>
      <w:r w:rsidRPr="001E5083">
        <w:rPr>
          <w:rFonts w:ascii="Times New Roman" w:hAnsi="Times New Roman"/>
          <w:sz w:val="22"/>
        </w:rPr>
        <w:t>.</w:t>
      </w:r>
    </w:p>
    <w:p w14:paraId="6FEE4229" w14:textId="77777777" w:rsidR="00430074" w:rsidRPr="001E5083" w:rsidRDefault="00430074" w:rsidP="00430074">
      <w:pPr>
        <w:pStyle w:val="NoSpacing"/>
        <w:numPr>
          <w:ilvl w:val="0"/>
          <w:numId w:val="4"/>
        </w:numPr>
        <w:rPr>
          <w:rFonts w:ascii="Times New Roman" w:hAnsi="Times New Roman"/>
          <w:sz w:val="22"/>
        </w:rPr>
      </w:pPr>
      <w:r w:rsidRPr="001E5083">
        <w:rPr>
          <w:rFonts w:ascii="Times New Roman" w:hAnsi="Times New Roman"/>
          <w:sz w:val="22"/>
        </w:rPr>
        <w:t>Create, approve, and partner in the management of the DFC budget in compliance with grant requirements.</w:t>
      </w:r>
    </w:p>
    <w:p w14:paraId="226D1AE7" w14:textId="64D9652D" w:rsidR="00430074" w:rsidRPr="001E5083" w:rsidRDefault="00430074" w:rsidP="00430074">
      <w:pPr>
        <w:pStyle w:val="NoSpacing"/>
        <w:numPr>
          <w:ilvl w:val="0"/>
          <w:numId w:val="4"/>
        </w:numPr>
        <w:rPr>
          <w:rFonts w:ascii="Times New Roman" w:hAnsi="Times New Roman"/>
          <w:sz w:val="22"/>
        </w:rPr>
      </w:pPr>
      <w:r w:rsidRPr="001E5083">
        <w:rPr>
          <w:rFonts w:ascii="Times New Roman" w:hAnsi="Times New Roman"/>
          <w:sz w:val="22"/>
        </w:rPr>
        <w:t xml:space="preserve">Provide copies of all required documents to the </w:t>
      </w:r>
      <w:r w:rsidR="006A0C96">
        <w:rPr>
          <w:rFonts w:ascii="Times New Roman" w:hAnsi="Times New Roman"/>
          <w:sz w:val="22"/>
        </w:rPr>
        <w:t>f</w:t>
      </w:r>
      <w:r w:rsidR="00A46A54">
        <w:rPr>
          <w:rFonts w:ascii="Times New Roman" w:hAnsi="Times New Roman"/>
          <w:sz w:val="22"/>
        </w:rPr>
        <w:t xml:space="preserve">iscal </w:t>
      </w:r>
      <w:r w:rsidR="006A0C96">
        <w:rPr>
          <w:rFonts w:ascii="Times New Roman" w:hAnsi="Times New Roman"/>
          <w:sz w:val="22"/>
        </w:rPr>
        <w:t>a</w:t>
      </w:r>
      <w:r w:rsidR="00A46A54">
        <w:rPr>
          <w:rFonts w:ascii="Times New Roman" w:hAnsi="Times New Roman"/>
          <w:sz w:val="22"/>
        </w:rPr>
        <w:t>gent</w:t>
      </w:r>
      <w:r w:rsidRPr="001E5083">
        <w:rPr>
          <w:rFonts w:ascii="Times New Roman" w:hAnsi="Times New Roman"/>
          <w:sz w:val="22"/>
        </w:rPr>
        <w:t xml:space="preserve"> applicant as requested.</w:t>
      </w:r>
    </w:p>
    <w:p w14:paraId="4EADDB12" w14:textId="40C27A24" w:rsidR="00430074" w:rsidRPr="001E5083" w:rsidRDefault="00430074" w:rsidP="00430074">
      <w:pPr>
        <w:pStyle w:val="NoSpacing"/>
        <w:numPr>
          <w:ilvl w:val="0"/>
          <w:numId w:val="4"/>
        </w:numPr>
        <w:rPr>
          <w:rFonts w:ascii="Times New Roman" w:hAnsi="Times New Roman"/>
          <w:sz w:val="22"/>
        </w:rPr>
      </w:pPr>
      <w:r w:rsidRPr="001E5083">
        <w:rPr>
          <w:rFonts w:ascii="Times New Roman" w:hAnsi="Times New Roman"/>
          <w:sz w:val="22"/>
        </w:rPr>
        <w:t xml:space="preserve">Reimburse </w:t>
      </w:r>
      <w:r w:rsidR="00A46A54">
        <w:rPr>
          <w:rFonts w:ascii="Times New Roman" w:hAnsi="Times New Roman"/>
          <w:sz w:val="22"/>
        </w:rPr>
        <w:t>fiscal agent</w:t>
      </w:r>
      <w:r w:rsidRPr="001E5083">
        <w:rPr>
          <w:rFonts w:ascii="Times New Roman" w:hAnsi="Times New Roman"/>
          <w:sz w:val="22"/>
        </w:rPr>
        <w:t xml:space="preserve"> for any indirect or direct expenses incurred by the coalition with prior approval.</w:t>
      </w:r>
    </w:p>
    <w:p w14:paraId="7EBA227E" w14:textId="77777777" w:rsidR="00430074" w:rsidRPr="001E5083" w:rsidRDefault="00430074" w:rsidP="00430074">
      <w:pPr>
        <w:pStyle w:val="NoSpacing"/>
        <w:numPr>
          <w:ilvl w:val="0"/>
          <w:numId w:val="4"/>
        </w:numPr>
        <w:rPr>
          <w:rFonts w:ascii="Times New Roman" w:hAnsi="Times New Roman"/>
          <w:sz w:val="22"/>
        </w:rPr>
      </w:pPr>
      <w:r w:rsidRPr="001E5083">
        <w:rPr>
          <w:rFonts w:ascii="Times New Roman" w:hAnsi="Times New Roman"/>
          <w:sz w:val="22"/>
        </w:rPr>
        <w:t>Be solely responsible for liabilities arising out of its program and its interaction with program participants.</w:t>
      </w:r>
    </w:p>
    <w:p w14:paraId="45CA3DA0" w14:textId="77777777" w:rsidR="00430074" w:rsidRPr="001E5083" w:rsidRDefault="00430074" w:rsidP="00430074">
      <w:pPr>
        <w:pStyle w:val="NoSpacing"/>
        <w:numPr>
          <w:ilvl w:val="0"/>
          <w:numId w:val="4"/>
        </w:numPr>
        <w:rPr>
          <w:rFonts w:ascii="Times New Roman" w:hAnsi="Times New Roman"/>
          <w:sz w:val="22"/>
        </w:rPr>
      </w:pPr>
      <w:r w:rsidRPr="001E5083">
        <w:rPr>
          <w:rFonts w:ascii="Times New Roman" w:hAnsi="Times New Roman"/>
          <w:sz w:val="22"/>
        </w:rPr>
        <w:t>Other</w:t>
      </w:r>
      <w:r>
        <w:rPr>
          <w:rFonts w:ascii="Times New Roman" w:hAnsi="Times New Roman"/>
          <w:sz w:val="22"/>
        </w:rPr>
        <w:t xml:space="preserve"> local responsibilities</w:t>
      </w:r>
      <w:r w:rsidRPr="001E5083">
        <w:rPr>
          <w:rFonts w:ascii="Times New Roman" w:hAnsi="Times New Roman"/>
          <w:sz w:val="22"/>
        </w:rPr>
        <w:t xml:space="preserve">. </w:t>
      </w:r>
    </w:p>
    <w:p w14:paraId="7AAAF4B8" w14:textId="77777777" w:rsidR="00430074" w:rsidRPr="001E5083" w:rsidRDefault="00430074" w:rsidP="00430074">
      <w:pPr>
        <w:pStyle w:val="NoSpacing"/>
        <w:rPr>
          <w:rFonts w:ascii="Times New Roman" w:hAnsi="Times New Roman"/>
          <w:sz w:val="22"/>
        </w:rPr>
      </w:pPr>
    </w:p>
    <w:p w14:paraId="0B7B2FA2" w14:textId="3BD63495" w:rsidR="00430074" w:rsidRPr="001E5083" w:rsidRDefault="00430074" w:rsidP="00430074">
      <w:pPr>
        <w:pStyle w:val="NoSpacing"/>
        <w:rPr>
          <w:rFonts w:ascii="Times New Roman" w:hAnsi="Times New Roman"/>
          <w:b/>
          <w:sz w:val="22"/>
        </w:rPr>
      </w:pPr>
      <w:r w:rsidRPr="001E5083">
        <w:rPr>
          <w:rFonts w:ascii="Times New Roman" w:hAnsi="Times New Roman"/>
          <w:b/>
          <w:sz w:val="22"/>
        </w:rPr>
        <w:t xml:space="preserve">RESPONSIBILITIES OF THE </w:t>
      </w:r>
      <w:r w:rsidR="006A0C96">
        <w:rPr>
          <w:rFonts w:ascii="Times New Roman" w:hAnsi="Times New Roman"/>
          <w:b/>
          <w:sz w:val="22"/>
        </w:rPr>
        <w:t>FISCAL AGENT</w:t>
      </w:r>
      <w:r w:rsidRPr="001E5083">
        <w:rPr>
          <w:rFonts w:ascii="Times New Roman" w:hAnsi="Times New Roman"/>
          <w:b/>
          <w:sz w:val="22"/>
        </w:rPr>
        <w:t>:</w:t>
      </w:r>
    </w:p>
    <w:p w14:paraId="0FDF05D6" w14:textId="77777777" w:rsidR="00430074" w:rsidRPr="001E5083" w:rsidRDefault="00430074" w:rsidP="00430074">
      <w:pPr>
        <w:pStyle w:val="NoSpacing"/>
        <w:rPr>
          <w:rFonts w:ascii="Times New Roman" w:hAnsi="Times New Roman"/>
          <w:b/>
          <w:sz w:val="22"/>
        </w:rPr>
      </w:pPr>
    </w:p>
    <w:p w14:paraId="79EFAE1E" w14:textId="77777777" w:rsidR="00430074" w:rsidRPr="001E5083" w:rsidRDefault="00430074" w:rsidP="00430074">
      <w:pPr>
        <w:pStyle w:val="NoSpacing"/>
        <w:numPr>
          <w:ilvl w:val="0"/>
          <w:numId w:val="5"/>
        </w:numPr>
        <w:rPr>
          <w:rFonts w:ascii="Times New Roman" w:hAnsi="Times New Roman"/>
          <w:sz w:val="22"/>
        </w:rPr>
      </w:pPr>
      <w:r w:rsidRPr="001E5083">
        <w:rPr>
          <w:rFonts w:ascii="Times New Roman" w:hAnsi="Times New Roman"/>
          <w:sz w:val="22"/>
        </w:rPr>
        <w:t>Provide the coalition staff with office space.</w:t>
      </w:r>
    </w:p>
    <w:p w14:paraId="7AF7AAC2" w14:textId="77777777" w:rsidR="00430074" w:rsidRPr="001E5083" w:rsidRDefault="00430074" w:rsidP="00430074">
      <w:pPr>
        <w:pStyle w:val="NoSpacing"/>
        <w:numPr>
          <w:ilvl w:val="0"/>
          <w:numId w:val="5"/>
        </w:numPr>
        <w:rPr>
          <w:rFonts w:ascii="Times New Roman" w:hAnsi="Times New Roman"/>
          <w:sz w:val="22"/>
        </w:rPr>
      </w:pPr>
      <w:r w:rsidRPr="001E5083">
        <w:rPr>
          <w:rFonts w:ascii="Times New Roman" w:hAnsi="Times New Roman"/>
          <w:sz w:val="22"/>
        </w:rPr>
        <w:t>Compile financial reports on a mutually agreed upon schedule and provide to coalition.</w:t>
      </w:r>
    </w:p>
    <w:p w14:paraId="0A5ECA0B" w14:textId="77777777" w:rsidR="00430074" w:rsidRPr="001E5083" w:rsidRDefault="00430074" w:rsidP="00430074">
      <w:pPr>
        <w:pStyle w:val="NoSpacing"/>
        <w:numPr>
          <w:ilvl w:val="0"/>
          <w:numId w:val="5"/>
        </w:numPr>
        <w:rPr>
          <w:rFonts w:ascii="Times New Roman" w:eastAsia="Times New Roman" w:hAnsi="Times New Roman"/>
          <w:sz w:val="22"/>
        </w:rPr>
      </w:pPr>
      <w:r w:rsidRPr="001E5083">
        <w:rPr>
          <w:rFonts w:ascii="Times New Roman" w:hAnsi="Times New Roman"/>
          <w:sz w:val="22"/>
        </w:rPr>
        <w:t xml:space="preserve">Provide accounting services to prepare and distribute payroll, pay invoices, prepare and submit the </w:t>
      </w:r>
      <w:r w:rsidRPr="001E5083">
        <w:rPr>
          <w:rFonts w:ascii="Times New Roman" w:eastAsia="Times New Roman" w:hAnsi="Times New Roman"/>
          <w:sz w:val="22"/>
        </w:rPr>
        <w:t>appropriate forms for employment, wages and payroll taxes on behalf of the coalition.</w:t>
      </w:r>
    </w:p>
    <w:p w14:paraId="7179BB52" w14:textId="77777777" w:rsidR="00430074" w:rsidRPr="001E5083" w:rsidRDefault="00430074" w:rsidP="00430074">
      <w:pPr>
        <w:pStyle w:val="NoSpacing"/>
        <w:numPr>
          <w:ilvl w:val="0"/>
          <w:numId w:val="5"/>
        </w:numPr>
        <w:rPr>
          <w:rFonts w:ascii="Times New Roman" w:eastAsia="Times New Roman" w:hAnsi="Times New Roman"/>
          <w:sz w:val="22"/>
        </w:rPr>
      </w:pPr>
      <w:r w:rsidRPr="001E5083">
        <w:rPr>
          <w:rFonts w:ascii="Times New Roman" w:eastAsia="Times New Roman" w:hAnsi="Times New Roman"/>
          <w:sz w:val="22"/>
        </w:rPr>
        <w:t>Negotiate and/or bid and approve contracts in collaboration with the coalition.</w:t>
      </w:r>
    </w:p>
    <w:p w14:paraId="661422E3" w14:textId="77777777" w:rsidR="00430074" w:rsidRPr="001E5083" w:rsidRDefault="00430074" w:rsidP="00430074">
      <w:pPr>
        <w:pStyle w:val="NoSpacing"/>
        <w:numPr>
          <w:ilvl w:val="0"/>
          <w:numId w:val="5"/>
        </w:numPr>
        <w:rPr>
          <w:rFonts w:ascii="Times New Roman" w:eastAsia="Times New Roman" w:hAnsi="Times New Roman"/>
          <w:sz w:val="22"/>
        </w:rPr>
      </w:pPr>
      <w:r w:rsidRPr="001E5083">
        <w:rPr>
          <w:rFonts w:ascii="Times New Roman" w:eastAsia="Times New Roman" w:hAnsi="Times New Roman"/>
          <w:sz w:val="22"/>
        </w:rPr>
        <w:t>Maintain all records pertaining to costs and expenses to reflect costs of labor, materials, equipment, supplies, services, and other costs and expenses when reimbursement is claimed or payment is made and share such information with the coalition.</w:t>
      </w:r>
    </w:p>
    <w:p w14:paraId="2D8B4019" w14:textId="77777777" w:rsidR="00430074" w:rsidRPr="001E5083" w:rsidRDefault="00430074" w:rsidP="00430074">
      <w:pPr>
        <w:pStyle w:val="NoSpacing"/>
        <w:numPr>
          <w:ilvl w:val="0"/>
          <w:numId w:val="5"/>
        </w:numPr>
        <w:rPr>
          <w:rFonts w:ascii="Times New Roman" w:eastAsia="Times New Roman" w:hAnsi="Times New Roman"/>
          <w:sz w:val="22"/>
        </w:rPr>
      </w:pPr>
      <w:r w:rsidRPr="001E5083">
        <w:rPr>
          <w:rFonts w:ascii="Times New Roman" w:eastAsia="Times New Roman" w:hAnsi="Times New Roman"/>
          <w:color w:val="000000" w:themeColor="text1"/>
          <w:sz w:val="22"/>
        </w:rPr>
        <w:t xml:space="preserve">Financial records, supporting documents, statistical records, and all other non-Federal entity records pertinent to a Federal award must be retained for a period of three years from the date of submission of the final expenditure report or, for Federal awards that are renewed quarterly or annually, from the date of the submission of the quarterly or annual financial report, respectively, as reported to ONDCP or HHS in the case of a sub-recipient. ONDCP and HHS does not impose any other record retention requirements upon non-Federal entities. The only exceptions are the following: </w:t>
      </w:r>
    </w:p>
    <w:p w14:paraId="5226CC8F" w14:textId="77777777" w:rsidR="00430074" w:rsidRPr="001E5083" w:rsidRDefault="00430074" w:rsidP="007043E0">
      <w:pPr>
        <w:pStyle w:val="ListParagraph"/>
        <w:numPr>
          <w:ilvl w:val="1"/>
          <w:numId w:val="23"/>
        </w:numPr>
        <w:spacing w:line="240" w:lineRule="auto"/>
        <w:rPr>
          <w:color w:val="000000" w:themeColor="text1"/>
          <w:sz w:val="22"/>
          <w:szCs w:val="22"/>
        </w:rPr>
      </w:pPr>
      <w:r w:rsidRPr="001E5083">
        <w:rPr>
          <w:color w:val="000000" w:themeColor="text1"/>
          <w:sz w:val="22"/>
          <w:szCs w:val="22"/>
        </w:rPr>
        <w:t xml:space="preserve">If any litigation, claim, or audit is started before the expiration of the 3-year period, the records must be retained until all litigation, claims, or audit findings involving the records have been resolved and final action taken. </w:t>
      </w:r>
    </w:p>
    <w:p w14:paraId="35825CBF" w14:textId="77777777" w:rsidR="00430074" w:rsidRPr="001E5083" w:rsidRDefault="00430074" w:rsidP="007043E0">
      <w:pPr>
        <w:pStyle w:val="ListParagraph"/>
        <w:numPr>
          <w:ilvl w:val="1"/>
          <w:numId w:val="23"/>
        </w:numPr>
        <w:spacing w:line="240" w:lineRule="auto"/>
        <w:rPr>
          <w:color w:val="000000" w:themeColor="text1"/>
          <w:sz w:val="22"/>
          <w:szCs w:val="22"/>
        </w:rPr>
      </w:pPr>
      <w:r w:rsidRPr="001E5083">
        <w:rPr>
          <w:color w:val="000000" w:themeColor="text1"/>
          <w:sz w:val="22"/>
          <w:szCs w:val="22"/>
        </w:rPr>
        <w:t xml:space="preserve">When the non-Federal entity is notified in writing by HHS for audit, ONDCP for audit, ONDCP for indirect costs, or HHS to extend the retention period. </w:t>
      </w:r>
    </w:p>
    <w:p w14:paraId="652CDA36" w14:textId="77777777" w:rsidR="00430074" w:rsidRPr="001E5083" w:rsidRDefault="00430074" w:rsidP="007043E0">
      <w:pPr>
        <w:pStyle w:val="ListParagraph"/>
        <w:numPr>
          <w:ilvl w:val="1"/>
          <w:numId w:val="23"/>
        </w:numPr>
        <w:spacing w:line="240" w:lineRule="auto"/>
        <w:rPr>
          <w:color w:val="000000" w:themeColor="text1"/>
          <w:sz w:val="22"/>
          <w:szCs w:val="22"/>
        </w:rPr>
      </w:pPr>
      <w:r w:rsidRPr="001E5083">
        <w:rPr>
          <w:color w:val="000000" w:themeColor="text1"/>
          <w:sz w:val="22"/>
          <w:szCs w:val="22"/>
        </w:rPr>
        <w:t xml:space="preserve">Records for real property and equipment acquired with Federal funds must be retained for 3 years after final disposition. </w:t>
      </w:r>
    </w:p>
    <w:p w14:paraId="55AB136E" w14:textId="66873B45" w:rsidR="0036571B" w:rsidRDefault="00430074" w:rsidP="007043E0">
      <w:pPr>
        <w:pStyle w:val="ListParagraph"/>
        <w:numPr>
          <w:ilvl w:val="1"/>
          <w:numId w:val="23"/>
        </w:numPr>
        <w:spacing w:line="240" w:lineRule="auto"/>
        <w:rPr>
          <w:color w:val="000000" w:themeColor="text1"/>
          <w:sz w:val="22"/>
          <w:szCs w:val="22"/>
        </w:rPr>
        <w:sectPr w:rsidR="0036571B" w:rsidSect="00F24521">
          <w:pgSz w:w="12240" w:h="15840"/>
          <w:pgMar w:top="1440" w:right="1440" w:bottom="1440" w:left="1440" w:header="720" w:footer="720" w:gutter="0"/>
          <w:cols w:space="720"/>
          <w:titlePg/>
          <w:docGrid w:linePitch="360"/>
        </w:sectPr>
      </w:pPr>
      <w:r w:rsidRPr="001E5083">
        <w:rPr>
          <w:color w:val="000000" w:themeColor="text1"/>
          <w:sz w:val="22"/>
          <w:szCs w:val="22"/>
        </w:rPr>
        <w:t xml:space="preserve">When records are transferred to or maintained by ONDCP or HHS, the 3-year retention requirement is not applicable to the non-Federal entity. </w:t>
      </w:r>
    </w:p>
    <w:p w14:paraId="41278B7C" w14:textId="206B766E" w:rsidR="00430074" w:rsidRPr="001E5083" w:rsidRDefault="00430074" w:rsidP="007043E0">
      <w:pPr>
        <w:pStyle w:val="ListParagraph"/>
        <w:numPr>
          <w:ilvl w:val="1"/>
          <w:numId w:val="23"/>
        </w:numPr>
        <w:spacing w:line="240" w:lineRule="auto"/>
        <w:rPr>
          <w:color w:val="000000" w:themeColor="text1"/>
          <w:sz w:val="22"/>
          <w:szCs w:val="22"/>
        </w:rPr>
      </w:pPr>
      <w:r w:rsidRPr="001E5083">
        <w:rPr>
          <w:color w:val="000000" w:themeColor="text1"/>
          <w:sz w:val="22"/>
          <w:szCs w:val="22"/>
        </w:rPr>
        <w:lastRenderedPageBreak/>
        <w:t xml:space="preserve">Records for program income transactions after the period of performance. In some cases, recipients must report program income after the period of performance. Where there is such a requirement, the retention period for the records pertaining to the earning of the program income starts from the end of the non-Federal entity's fiscal year in which the program income is earned. </w:t>
      </w:r>
    </w:p>
    <w:p w14:paraId="251EF7EE" w14:textId="77777777" w:rsidR="00430074" w:rsidRPr="001E5083" w:rsidRDefault="00430074" w:rsidP="007043E0">
      <w:pPr>
        <w:pStyle w:val="ListParagraph"/>
        <w:numPr>
          <w:ilvl w:val="1"/>
          <w:numId w:val="23"/>
        </w:numPr>
        <w:spacing w:line="240" w:lineRule="auto"/>
        <w:rPr>
          <w:color w:val="000000" w:themeColor="text1"/>
          <w:sz w:val="22"/>
          <w:szCs w:val="22"/>
        </w:rPr>
      </w:pPr>
      <w:r w:rsidRPr="001E5083">
        <w:rPr>
          <w:color w:val="000000" w:themeColor="text1"/>
          <w:sz w:val="22"/>
          <w:szCs w:val="22"/>
        </w:rPr>
        <w:t>Indirect cost rate proposals and cost allocations plans. This paragraph applies to the following types of documents and their supporting records: Indirect cost rate computations or proposals, cost allocation plans, and any similar accounting computations of the rate at which a particular group of costs is chargeable (such as computer usage chargeback rates or composite fringe benefit rates)</w:t>
      </w:r>
    </w:p>
    <w:p w14:paraId="301A1DCF" w14:textId="77777777" w:rsidR="00430074" w:rsidRPr="001E5083" w:rsidRDefault="00430074" w:rsidP="00430074">
      <w:pPr>
        <w:pStyle w:val="NoSpacing"/>
        <w:numPr>
          <w:ilvl w:val="0"/>
          <w:numId w:val="5"/>
        </w:numPr>
        <w:rPr>
          <w:rFonts w:ascii="Times New Roman" w:eastAsia="Times New Roman" w:hAnsi="Times New Roman"/>
          <w:sz w:val="22"/>
        </w:rPr>
      </w:pPr>
      <w:r w:rsidRPr="001E5083">
        <w:rPr>
          <w:rFonts w:ascii="Times New Roman" w:eastAsia="Times New Roman" w:hAnsi="Times New Roman"/>
          <w:sz w:val="22"/>
        </w:rPr>
        <w:t>Obtain Workman’s Compensation Insurance and liability coverage for the coalition’s employee.</w:t>
      </w:r>
    </w:p>
    <w:p w14:paraId="74F65873" w14:textId="77777777" w:rsidR="00430074" w:rsidRPr="001E5083" w:rsidRDefault="00430074" w:rsidP="00430074">
      <w:pPr>
        <w:pStyle w:val="NoSpacing"/>
        <w:numPr>
          <w:ilvl w:val="0"/>
          <w:numId w:val="5"/>
        </w:numPr>
        <w:rPr>
          <w:rFonts w:ascii="Times New Roman" w:eastAsia="Times New Roman" w:hAnsi="Times New Roman"/>
          <w:sz w:val="22"/>
        </w:rPr>
      </w:pPr>
      <w:r w:rsidRPr="001E5083">
        <w:rPr>
          <w:rFonts w:ascii="Times New Roman" w:eastAsia="Times New Roman" w:hAnsi="Times New Roman"/>
          <w:sz w:val="22"/>
        </w:rPr>
        <w:t>Other</w:t>
      </w:r>
      <w:r>
        <w:rPr>
          <w:rFonts w:ascii="Times New Roman" w:eastAsia="Times New Roman" w:hAnsi="Times New Roman"/>
          <w:sz w:val="22"/>
        </w:rPr>
        <w:t xml:space="preserve"> local responsibilities</w:t>
      </w:r>
      <w:r w:rsidRPr="001E5083">
        <w:rPr>
          <w:rFonts w:ascii="Times New Roman" w:eastAsia="Times New Roman" w:hAnsi="Times New Roman"/>
          <w:sz w:val="22"/>
        </w:rPr>
        <w:t>.</w:t>
      </w:r>
    </w:p>
    <w:p w14:paraId="29AC3435" w14:textId="77777777" w:rsidR="00430074" w:rsidRPr="001E5083" w:rsidRDefault="00430074" w:rsidP="00430074">
      <w:pPr>
        <w:pStyle w:val="NoSpacing"/>
        <w:rPr>
          <w:rFonts w:ascii="Times New Roman" w:eastAsia="Times New Roman" w:hAnsi="Times New Roman"/>
          <w:sz w:val="22"/>
        </w:rPr>
      </w:pPr>
    </w:p>
    <w:p w14:paraId="0E2FE222" w14:textId="6E7C5A2B" w:rsidR="00430074" w:rsidRDefault="00430074" w:rsidP="00430074">
      <w:pPr>
        <w:pStyle w:val="NoSpacing"/>
        <w:rPr>
          <w:rFonts w:ascii="Times New Roman" w:hAnsi="Times New Roman"/>
          <w:sz w:val="22"/>
        </w:rPr>
      </w:pPr>
      <w:r w:rsidRPr="001E5083">
        <w:rPr>
          <w:rFonts w:ascii="Times New Roman" w:eastAsia="Times New Roman" w:hAnsi="Times New Roman"/>
          <w:i/>
          <w:iCs/>
          <w:sz w:val="22"/>
        </w:rPr>
        <w:t>[</w:t>
      </w:r>
      <w:r w:rsidR="00B31EA1">
        <w:rPr>
          <w:rFonts w:ascii="Times New Roman" w:eastAsia="Times New Roman" w:hAnsi="Times New Roman"/>
          <w:i/>
          <w:iCs/>
          <w:sz w:val="22"/>
        </w:rPr>
        <w:t>Fiscal Agent</w:t>
      </w:r>
      <w:r>
        <w:rPr>
          <w:rFonts w:ascii="Times New Roman" w:eastAsia="Times New Roman" w:hAnsi="Times New Roman"/>
          <w:i/>
          <w:iCs/>
          <w:sz w:val="22"/>
        </w:rPr>
        <w:t xml:space="preserve"> Name</w:t>
      </w:r>
      <w:r w:rsidRPr="001E5083">
        <w:rPr>
          <w:rFonts w:ascii="Times New Roman" w:eastAsia="Times New Roman" w:hAnsi="Times New Roman"/>
          <w:i/>
          <w:iCs/>
          <w:sz w:val="22"/>
        </w:rPr>
        <w:t>]</w:t>
      </w:r>
      <w:r w:rsidRPr="001E5083">
        <w:rPr>
          <w:rFonts w:ascii="Times New Roman" w:eastAsia="Times New Roman" w:hAnsi="Times New Roman"/>
          <w:sz w:val="22"/>
        </w:rPr>
        <w:t xml:space="preserve"> an</w:t>
      </w:r>
      <w:r w:rsidRPr="001E5083">
        <w:rPr>
          <w:rFonts w:ascii="Times New Roman" w:hAnsi="Times New Roman"/>
          <w:sz w:val="22"/>
        </w:rPr>
        <w:t xml:space="preserve">d </w:t>
      </w:r>
      <w:r w:rsidRPr="001E5083">
        <w:rPr>
          <w:rFonts w:ascii="Times New Roman" w:hAnsi="Times New Roman"/>
          <w:i/>
          <w:iCs/>
          <w:sz w:val="22"/>
        </w:rPr>
        <w:t>[Coalition name]</w:t>
      </w:r>
      <w:r w:rsidRPr="001E5083">
        <w:rPr>
          <w:rFonts w:ascii="Times New Roman" w:hAnsi="Times New Roman"/>
          <w:sz w:val="22"/>
        </w:rPr>
        <w:t xml:space="preserve"> mutually agree to abide by all applicable federal and state anti-discrimination statutes, regulations, policies, and procedures.  This agreement shall be subject to all applicable provisions of state and federal law and regulations related to the delivery and funding of grant activities.</w:t>
      </w:r>
    </w:p>
    <w:p w14:paraId="74A6E3B3" w14:textId="0069EAC9" w:rsidR="00430074" w:rsidRDefault="00430074">
      <w:pPr>
        <w:rPr>
          <w:rFonts w:ascii="Calibri" w:eastAsia="Calibri" w:hAnsi="Calibri" w:cs="Times New Roman"/>
          <w:sz w:val="24"/>
          <w:szCs w:val="24"/>
        </w:rPr>
      </w:pPr>
    </w:p>
    <w:tbl>
      <w:tblPr>
        <w:tblStyle w:val="TableGrid"/>
        <w:tblW w:w="0" w:type="auto"/>
        <w:tblLook w:val="04A0" w:firstRow="1" w:lastRow="0" w:firstColumn="1" w:lastColumn="0" w:noHBand="0" w:noVBand="1"/>
      </w:tblPr>
      <w:tblGrid>
        <w:gridCol w:w="4675"/>
        <w:gridCol w:w="4675"/>
      </w:tblGrid>
      <w:tr w:rsidR="00834796" w14:paraId="545DF7D3" w14:textId="77777777" w:rsidTr="0A84BE0A">
        <w:tc>
          <w:tcPr>
            <w:tcW w:w="4675" w:type="dxa"/>
          </w:tcPr>
          <w:p w14:paraId="33200BDD" w14:textId="0B735196" w:rsidR="00834796" w:rsidRDefault="16CF8B8A">
            <w:pPr>
              <w:rPr>
                <w:rFonts w:ascii="Times New Roman" w:eastAsia="Times New Roman" w:hAnsi="Times New Roman" w:cs="Times New Roman"/>
              </w:rPr>
            </w:pPr>
            <w:r w:rsidRPr="3015CABC">
              <w:rPr>
                <w:rFonts w:ascii="Times New Roman" w:eastAsia="Times New Roman" w:hAnsi="Times New Roman" w:cs="Times New Roman"/>
              </w:rPr>
              <w:t>Name and Title of Legal Applicant</w:t>
            </w:r>
          </w:p>
          <w:p w14:paraId="3BC08F82" w14:textId="77777777" w:rsidR="00FD65BE" w:rsidRDefault="00FD65BE">
            <w:pPr>
              <w:rPr>
                <w:rFonts w:ascii="Times New Roman" w:eastAsia="Times New Roman" w:hAnsi="Times New Roman" w:cs="Times New Roman"/>
              </w:rPr>
            </w:pPr>
          </w:p>
          <w:p w14:paraId="4DA5E643" w14:textId="77777777" w:rsidR="00FD65BE" w:rsidRDefault="00FD65BE">
            <w:pPr>
              <w:rPr>
                <w:rFonts w:ascii="Times New Roman" w:eastAsia="Times New Roman" w:hAnsi="Times New Roman" w:cs="Times New Roman"/>
              </w:rPr>
            </w:pPr>
          </w:p>
          <w:p w14:paraId="1EB80ACB" w14:textId="6F73EF08" w:rsidR="00FD65BE" w:rsidRDefault="00FD65BE">
            <w:pPr>
              <w:rPr>
                <w:rFonts w:ascii="Times New Roman" w:eastAsia="Times New Roman" w:hAnsi="Times New Roman" w:cs="Times New Roman"/>
              </w:rPr>
            </w:pPr>
          </w:p>
        </w:tc>
        <w:tc>
          <w:tcPr>
            <w:tcW w:w="4675" w:type="dxa"/>
          </w:tcPr>
          <w:p w14:paraId="1582C220" w14:textId="1058CC81" w:rsidR="00834796" w:rsidRDefault="5D5F0714">
            <w:pPr>
              <w:rPr>
                <w:rFonts w:ascii="Times New Roman" w:eastAsia="Times New Roman" w:hAnsi="Times New Roman" w:cs="Times New Roman"/>
              </w:rPr>
            </w:pPr>
            <w:r w:rsidRPr="3015CABC">
              <w:rPr>
                <w:rFonts w:ascii="Times New Roman" w:eastAsia="Times New Roman" w:hAnsi="Times New Roman" w:cs="Times New Roman"/>
              </w:rPr>
              <w:t>Name and Title of Coalition Representative</w:t>
            </w:r>
          </w:p>
        </w:tc>
      </w:tr>
      <w:tr w:rsidR="00834796" w14:paraId="36FC15A9" w14:textId="77777777" w:rsidTr="0A84BE0A">
        <w:tc>
          <w:tcPr>
            <w:tcW w:w="4675" w:type="dxa"/>
          </w:tcPr>
          <w:p w14:paraId="67B5F911" w14:textId="77777777" w:rsidR="00834796" w:rsidRDefault="5D5F0714">
            <w:pPr>
              <w:rPr>
                <w:rFonts w:ascii="Times New Roman" w:eastAsia="Times New Roman" w:hAnsi="Times New Roman" w:cs="Times New Roman"/>
              </w:rPr>
            </w:pPr>
            <w:r w:rsidRPr="3015CABC">
              <w:rPr>
                <w:rFonts w:ascii="Times New Roman" w:eastAsia="Times New Roman" w:hAnsi="Times New Roman" w:cs="Times New Roman"/>
              </w:rPr>
              <w:t>Signature</w:t>
            </w:r>
          </w:p>
          <w:p w14:paraId="486D63E1" w14:textId="77777777" w:rsidR="00FD65BE" w:rsidRDefault="00FD65BE">
            <w:pPr>
              <w:rPr>
                <w:rFonts w:ascii="Times New Roman" w:eastAsia="Times New Roman" w:hAnsi="Times New Roman" w:cs="Times New Roman"/>
              </w:rPr>
            </w:pPr>
          </w:p>
          <w:p w14:paraId="33F94E51" w14:textId="4B20E7E7" w:rsidR="00FD65BE" w:rsidRDefault="00FD65BE">
            <w:pPr>
              <w:rPr>
                <w:rFonts w:ascii="Times New Roman" w:eastAsia="Times New Roman" w:hAnsi="Times New Roman" w:cs="Times New Roman"/>
              </w:rPr>
            </w:pPr>
          </w:p>
        </w:tc>
        <w:tc>
          <w:tcPr>
            <w:tcW w:w="4675" w:type="dxa"/>
          </w:tcPr>
          <w:p w14:paraId="7E3E4C25" w14:textId="200683C7" w:rsidR="00834796" w:rsidRDefault="5D5F0714">
            <w:pPr>
              <w:rPr>
                <w:rFonts w:ascii="Times New Roman" w:eastAsia="Times New Roman" w:hAnsi="Times New Roman" w:cs="Times New Roman"/>
              </w:rPr>
            </w:pPr>
            <w:r w:rsidRPr="3015CABC">
              <w:rPr>
                <w:rFonts w:ascii="Times New Roman" w:eastAsia="Times New Roman" w:hAnsi="Times New Roman" w:cs="Times New Roman"/>
              </w:rPr>
              <w:t>Signature</w:t>
            </w:r>
          </w:p>
        </w:tc>
      </w:tr>
      <w:tr w:rsidR="00834796" w14:paraId="27CD2334" w14:textId="77777777" w:rsidTr="0A84BE0A">
        <w:tc>
          <w:tcPr>
            <w:tcW w:w="4675" w:type="dxa"/>
          </w:tcPr>
          <w:p w14:paraId="647E858D" w14:textId="77777777" w:rsidR="00834796" w:rsidRDefault="5D5F0714">
            <w:pPr>
              <w:rPr>
                <w:rFonts w:ascii="Times New Roman" w:eastAsia="Times New Roman" w:hAnsi="Times New Roman" w:cs="Times New Roman"/>
              </w:rPr>
            </w:pPr>
            <w:r w:rsidRPr="3015CABC">
              <w:rPr>
                <w:rFonts w:ascii="Times New Roman" w:eastAsia="Times New Roman" w:hAnsi="Times New Roman" w:cs="Times New Roman"/>
              </w:rPr>
              <w:t>Date</w:t>
            </w:r>
          </w:p>
          <w:p w14:paraId="110A9B9E" w14:textId="77777777" w:rsidR="00FD65BE" w:rsidRDefault="00FD65BE">
            <w:pPr>
              <w:rPr>
                <w:rFonts w:ascii="Times New Roman" w:eastAsia="Times New Roman" w:hAnsi="Times New Roman" w:cs="Times New Roman"/>
              </w:rPr>
            </w:pPr>
          </w:p>
          <w:p w14:paraId="7FD7D5B9" w14:textId="64D66C6E" w:rsidR="00FD65BE" w:rsidRDefault="00FD65BE">
            <w:pPr>
              <w:rPr>
                <w:rFonts w:ascii="Times New Roman" w:eastAsia="Times New Roman" w:hAnsi="Times New Roman" w:cs="Times New Roman"/>
              </w:rPr>
            </w:pPr>
          </w:p>
        </w:tc>
        <w:tc>
          <w:tcPr>
            <w:tcW w:w="4675" w:type="dxa"/>
          </w:tcPr>
          <w:p w14:paraId="162F188A" w14:textId="13EB07E0" w:rsidR="00834796" w:rsidRDefault="5D5F0714">
            <w:pPr>
              <w:rPr>
                <w:rFonts w:ascii="Times New Roman" w:eastAsia="Times New Roman" w:hAnsi="Times New Roman" w:cs="Times New Roman"/>
              </w:rPr>
            </w:pPr>
            <w:r w:rsidRPr="3015CABC">
              <w:rPr>
                <w:rFonts w:ascii="Times New Roman" w:eastAsia="Times New Roman" w:hAnsi="Times New Roman" w:cs="Times New Roman"/>
              </w:rPr>
              <w:t>Date</w:t>
            </w:r>
          </w:p>
        </w:tc>
      </w:tr>
    </w:tbl>
    <w:p w14:paraId="2CDA39FF" w14:textId="77777777" w:rsidR="00430074" w:rsidRDefault="00430074"/>
    <w:sectPr w:rsidR="00430074" w:rsidSect="00F245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9A7DB" w14:textId="77777777" w:rsidR="007C2493" w:rsidRDefault="007C2493" w:rsidP="00430074">
      <w:pPr>
        <w:spacing w:after="0" w:line="240" w:lineRule="auto"/>
      </w:pPr>
      <w:r>
        <w:separator/>
      </w:r>
    </w:p>
  </w:endnote>
  <w:endnote w:type="continuationSeparator" w:id="0">
    <w:p w14:paraId="2885620A" w14:textId="77777777" w:rsidR="007C2493" w:rsidRDefault="007C2493" w:rsidP="00430074">
      <w:pPr>
        <w:spacing w:after="0" w:line="240" w:lineRule="auto"/>
      </w:pPr>
      <w:r>
        <w:continuationSeparator/>
      </w:r>
    </w:p>
  </w:endnote>
  <w:endnote w:type="continuationNotice" w:id="1">
    <w:p w14:paraId="77070CFD" w14:textId="77777777" w:rsidR="007C2493" w:rsidRDefault="007C24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AD7EC" w14:textId="77777777" w:rsidR="000938D3" w:rsidRDefault="000938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4698991"/>
      <w:docPartObj>
        <w:docPartGallery w:val="Page Numbers (Bottom of Page)"/>
        <w:docPartUnique/>
      </w:docPartObj>
    </w:sdtPr>
    <w:sdtEndPr/>
    <w:sdtContent>
      <w:sdt>
        <w:sdtPr>
          <w:id w:val="-1769616900"/>
          <w:docPartObj>
            <w:docPartGallery w:val="Page Numbers (Top of Page)"/>
            <w:docPartUnique/>
          </w:docPartObj>
        </w:sdtPr>
        <w:sdtEndPr/>
        <w:sdtContent>
          <w:sdt>
            <w:sdtPr>
              <w:rPr>
                <w:sz w:val="20"/>
                <w:szCs w:val="20"/>
              </w:rPr>
              <w:id w:val="-1672713586"/>
              <w:docPartObj>
                <w:docPartGallery w:val="Page Numbers (Bottom of Page)"/>
                <w:docPartUnique/>
              </w:docPartObj>
            </w:sdtPr>
            <w:sdtEndPr/>
            <w:sdtContent>
              <w:sdt>
                <w:sdtPr>
                  <w:rPr>
                    <w:sz w:val="20"/>
                    <w:szCs w:val="20"/>
                  </w:rPr>
                  <w:id w:val="-1216968577"/>
                  <w:docPartObj>
                    <w:docPartGallery w:val="Page Numbers (Top of Page)"/>
                    <w:docPartUnique/>
                  </w:docPartObj>
                </w:sdtPr>
                <w:sdtEndPr/>
                <w:sdtContent>
                  <w:p w14:paraId="06777733" w14:textId="62947EDB" w:rsidR="00256153" w:rsidRPr="00667BFC" w:rsidRDefault="00EC533C" w:rsidP="00256153">
                    <w:pPr>
                      <w:rPr>
                        <w:rFonts w:ascii="Times New Roman" w:hAnsi="Times New Roman" w:cs="Times New Roman"/>
                        <w:b/>
                        <w:bCs/>
                      </w:rPr>
                    </w:pPr>
                    <w:r w:rsidRPr="00982CE1">
                      <w:rPr>
                        <w:rFonts w:ascii="Times New Roman" w:hAnsi="Times New Roman" w:cs="Times New Roman"/>
                        <w:b/>
                        <w:bCs/>
                        <w:sz w:val="20"/>
                        <w:szCs w:val="20"/>
                      </w:rPr>
                      <w:t>APPENDIX B. Evidence-Based Resources</w:t>
                    </w:r>
                  </w:p>
                  <w:p w14:paraId="66E29F77" w14:textId="66DA5FA7" w:rsidR="00DA6A90" w:rsidRPr="009E1C28" w:rsidRDefault="00DA6A90" w:rsidP="00256153">
                    <w:pPr>
                      <w:rPr>
                        <w:sz w:val="20"/>
                        <w:szCs w:val="20"/>
                      </w:rPr>
                    </w:pPr>
                    <w:r w:rsidRPr="009E1C28">
                      <w:rPr>
                        <w:b/>
                        <w:bCs/>
                        <w:sz w:val="20"/>
                        <w:szCs w:val="20"/>
                      </w:rPr>
                      <w:tab/>
                    </w:r>
                    <w:r w:rsidRPr="009E1C28">
                      <w:rPr>
                        <w:b/>
                        <w:bCs/>
                        <w:sz w:val="20"/>
                        <w:szCs w:val="20"/>
                      </w:rPr>
                      <w:tab/>
                    </w:r>
                    <w:r w:rsidRPr="009E1C28">
                      <w:rPr>
                        <w:b/>
                        <w:bCs/>
                        <w:sz w:val="20"/>
                        <w:szCs w:val="20"/>
                      </w:rPr>
                      <w:tab/>
                    </w:r>
                    <w:r>
                      <w:rPr>
                        <w:b/>
                        <w:bCs/>
                        <w:sz w:val="20"/>
                        <w:szCs w:val="20"/>
                      </w:rPr>
                      <w:tab/>
                    </w:r>
                    <w:r>
                      <w:rPr>
                        <w:b/>
                        <w:bCs/>
                        <w:sz w:val="20"/>
                        <w:szCs w:val="20"/>
                      </w:rPr>
                      <w:tab/>
                    </w:r>
                  </w:p>
                </w:sdtContent>
              </w:sdt>
            </w:sdtContent>
          </w:sdt>
          <w:p w14:paraId="389AC594" w14:textId="6E6DF278" w:rsidR="00224905" w:rsidRDefault="00195FFE" w:rsidP="00D22BA1">
            <w:pPr>
              <w:pStyle w:val="Footer"/>
              <w:jc w:val="right"/>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D341B" w14:textId="77777777" w:rsidR="00E111EF" w:rsidRDefault="00E111EF" w:rsidP="00E111EF">
    <w:pPr>
      <w:rPr>
        <w:rFonts w:ascii="Times New Roman" w:hAnsi="Times New Roman" w:cs="Times New Roman"/>
        <w:b/>
        <w:bCs/>
        <w:sz w:val="20"/>
        <w:szCs w:val="20"/>
      </w:rPr>
    </w:pPr>
  </w:p>
  <w:p w14:paraId="356361ED" w14:textId="77777777" w:rsidR="00982CE1" w:rsidRPr="00982CE1" w:rsidRDefault="00982CE1" w:rsidP="00BB68FF">
    <w:pPr>
      <w:spacing w:after="5"/>
      <w:ind w:left="20" w:hanging="10"/>
      <w:rPr>
        <w:rFonts w:ascii="Times New Roman" w:eastAsia="Times New Roman" w:hAnsi="Times New Roman" w:cs="Times New Roman"/>
        <w:b/>
        <w:bCs/>
        <w:color w:val="000000" w:themeColor="text1"/>
        <w:sz w:val="20"/>
        <w:szCs w:val="20"/>
      </w:rPr>
    </w:pPr>
    <w:r w:rsidRPr="00982CE1">
      <w:rPr>
        <w:rFonts w:ascii="Times New Roman" w:eastAsia="Times New Roman" w:hAnsi="Times New Roman" w:cs="Times New Roman"/>
        <w:b/>
        <w:bCs/>
        <w:color w:val="000000" w:themeColor="text1"/>
        <w:sz w:val="20"/>
        <w:szCs w:val="20"/>
      </w:rPr>
      <w:t>Appendix A. Review and Selection Process</w:t>
    </w:r>
  </w:p>
  <w:p w14:paraId="6AAB82C3" w14:textId="2ADE50F1" w:rsidR="00E111EF" w:rsidRPr="00E111EF" w:rsidRDefault="00E111EF" w:rsidP="00DD2962">
    <w:pPr>
      <w:rPr>
        <w:rFonts w:ascii="Times New Roman" w:hAnsi="Times New Roman" w:cs="Times New Roman"/>
        <w:b/>
        <w:bCs/>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9BE78" w14:textId="77777777" w:rsidR="00982CE1" w:rsidRDefault="00982CE1" w:rsidP="00E111EF">
    <w:pPr>
      <w:rPr>
        <w:rFonts w:ascii="Times New Roman" w:hAnsi="Times New Roman" w:cs="Times New Roman"/>
        <w:b/>
        <w:bCs/>
        <w:sz w:val="20"/>
        <w:szCs w:val="20"/>
      </w:rPr>
    </w:pPr>
  </w:p>
  <w:p w14:paraId="773BA7E8" w14:textId="77777777" w:rsidR="00982CE1" w:rsidRPr="00982CE1" w:rsidRDefault="00982CE1" w:rsidP="0057289B">
    <w:pPr>
      <w:rPr>
        <w:rFonts w:ascii="Times New Roman" w:hAnsi="Times New Roman" w:cs="Times New Roman"/>
        <w:b/>
        <w:bCs/>
        <w:sz w:val="20"/>
        <w:szCs w:val="20"/>
      </w:rPr>
    </w:pPr>
    <w:r w:rsidRPr="00982CE1">
      <w:rPr>
        <w:rFonts w:ascii="Times New Roman" w:hAnsi="Times New Roman" w:cs="Times New Roman"/>
        <w:b/>
        <w:bCs/>
        <w:sz w:val="20"/>
        <w:szCs w:val="20"/>
      </w:rPr>
      <w:t>APPENDIX B. Evidence-Based Resources</w:t>
    </w:r>
  </w:p>
  <w:p w14:paraId="602153FF" w14:textId="77777777" w:rsidR="00982CE1" w:rsidRPr="00E111EF" w:rsidRDefault="00982CE1" w:rsidP="00DD2962">
    <w:pPr>
      <w:rPr>
        <w:rFonts w:ascii="Times New Roman" w:hAnsi="Times New Roman" w:cs="Times New Roman"/>
        <w:b/>
        <w:bCs/>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E3A93" w14:textId="77777777" w:rsidR="00256153" w:rsidRDefault="00256153" w:rsidP="00E111EF">
    <w:pPr>
      <w:rPr>
        <w:rFonts w:ascii="Times New Roman" w:hAnsi="Times New Roman" w:cs="Times New Roman"/>
        <w:b/>
        <w:bCs/>
        <w:sz w:val="20"/>
        <w:szCs w:val="20"/>
      </w:rPr>
    </w:pPr>
  </w:p>
  <w:p w14:paraId="1569D858" w14:textId="7CBCE1D9" w:rsidR="00256153" w:rsidRPr="00982CE1" w:rsidRDefault="00256153" w:rsidP="00982CE1">
    <w:pPr>
      <w:rPr>
        <w:rFonts w:ascii="Times New Roman" w:hAnsi="Times New Roman" w:cs="Times New Roman"/>
        <w:b/>
        <w:bCs/>
        <w:sz w:val="20"/>
        <w:szCs w:val="20"/>
      </w:rPr>
    </w:pPr>
    <w:r w:rsidRPr="00982CE1">
      <w:rPr>
        <w:rFonts w:ascii="Times New Roman" w:hAnsi="Times New Roman" w:cs="Times New Roman"/>
        <w:b/>
        <w:bCs/>
        <w:sz w:val="20"/>
        <w:szCs w:val="20"/>
      </w:rPr>
      <w:t>APPENDIX</w:t>
    </w:r>
    <w:r w:rsidR="003747DD">
      <w:rPr>
        <w:rFonts w:ascii="Times New Roman" w:hAnsi="Times New Roman" w:cs="Times New Roman"/>
        <w:b/>
        <w:bCs/>
        <w:sz w:val="20"/>
        <w:szCs w:val="20"/>
      </w:rPr>
      <w:t xml:space="preserve"> B</w:t>
    </w:r>
    <w:r w:rsidRPr="00982CE1">
      <w:rPr>
        <w:rFonts w:ascii="Times New Roman" w:hAnsi="Times New Roman" w:cs="Times New Roman"/>
        <w:b/>
        <w:bCs/>
        <w:sz w:val="20"/>
        <w:szCs w:val="20"/>
      </w:rPr>
      <w:t>. Evidence-Based Resources</w:t>
    </w:r>
  </w:p>
  <w:p w14:paraId="189D71A0" w14:textId="77777777" w:rsidR="00256153" w:rsidRPr="00E111EF" w:rsidRDefault="00256153" w:rsidP="00DD2962">
    <w:pPr>
      <w:rPr>
        <w:rFonts w:ascii="Times New Roman" w:hAnsi="Times New Roman" w:cs="Times New Roman"/>
        <w:b/>
        <w:bCs/>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CAF95" w14:textId="77777777" w:rsidR="003747DD" w:rsidRDefault="003747DD" w:rsidP="00E111EF">
    <w:pPr>
      <w:rPr>
        <w:rFonts w:ascii="Times New Roman" w:hAnsi="Times New Roman" w:cs="Times New Roman"/>
        <w:b/>
        <w:bCs/>
        <w:sz w:val="20"/>
        <w:szCs w:val="20"/>
      </w:rPr>
    </w:pPr>
  </w:p>
  <w:p w14:paraId="4328BECC" w14:textId="50E39072" w:rsidR="003747DD" w:rsidRPr="00982CE1" w:rsidRDefault="003747DD" w:rsidP="00982CE1">
    <w:pPr>
      <w:rPr>
        <w:rFonts w:ascii="Times New Roman" w:hAnsi="Times New Roman" w:cs="Times New Roman"/>
        <w:b/>
        <w:bCs/>
        <w:sz w:val="20"/>
        <w:szCs w:val="20"/>
      </w:rPr>
    </w:pPr>
    <w:r w:rsidRPr="00982CE1">
      <w:rPr>
        <w:rFonts w:ascii="Times New Roman" w:hAnsi="Times New Roman" w:cs="Times New Roman"/>
        <w:b/>
        <w:bCs/>
        <w:sz w:val="20"/>
        <w:szCs w:val="20"/>
      </w:rPr>
      <w:t>APPENDIX</w:t>
    </w:r>
    <w:r>
      <w:rPr>
        <w:rFonts w:ascii="Times New Roman" w:hAnsi="Times New Roman" w:cs="Times New Roman"/>
        <w:b/>
        <w:bCs/>
        <w:sz w:val="20"/>
        <w:szCs w:val="20"/>
      </w:rPr>
      <w:t xml:space="preserve"> C</w:t>
    </w:r>
    <w:r w:rsidRPr="00982CE1">
      <w:rPr>
        <w:rFonts w:ascii="Times New Roman" w:hAnsi="Times New Roman" w:cs="Times New Roman"/>
        <w:b/>
        <w:bCs/>
        <w:sz w:val="20"/>
        <w:szCs w:val="20"/>
      </w:rPr>
      <w:t xml:space="preserve">. </w:t>
    </w:r>
    <w:r w:rsidR="004A2A0B">
      <w:rPr>
        <w:rFonts w:ascii="Times New Roman" w:hAnsi="Times New Roman" w:cs="Times New Roman"/>
        <w:b/>
        <w:bCs/>
        <w:sz w:val="20"/>
        <w:szCs w:val="20"/>
      </w:rPr>
      <w:t>Sample Coalition Involvement Agreement</w:t>
    </w:r>
  </w:p>
  <w:p w14:paraId="0D2C5F85" w14:textId="77777777" w:rsidR="003747DD" w:rsidRPr="00E111EF" w:rsidRDefault="003747DD" w:rsidP="00DD2962">
    <w:pPr>
      <w:rPr>
        <w:rFonts w:ascii="Times New Roman" w:hAnsi="Times New Roman" w:cs="Times New Roman"/>
        <w:b/>
        <w:bCs/>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20159" w14:textId="77777777" w:rsidR="0036571B" w:rsidRPr="0036571B" w:rsidRDefault="0036571B" w:rsidP="0036571B">
    <w:pPr>
      <w:rPr>
        <w:rFonts w:ascii="Times New Roman" w:hAnsi="Times New Roman" w:cs="Times New Roman"/>
        <w:b/>
        <w:bCs/>
        <w:sz w:val="20"/>
        <w:szCs w:val="20"/>
      </w:rPr>
    </w:pPr>
    <w:r w:rsidRPr="0036571B">
      <w:rPr>
        <w:rFonts w:ascii="Times New Roman" w:hAnsi="Times New Roman" w:cs="Times New Roman"/>
        <w:b/>
        <w:bCs/>
        <w:sz w:val="20"/>
        <w:szCs w:val="20"/>
      </w:rPr>
      <w:t>APPENDIX D.  Sample MOU between Fiscal Agent and Coalition</w:t>
    </w:r>
  </w:p>
  <w:p w14:paraId="79F51939" w14:textId="77777777" w:rsidR="0036571B" w:rsidRPr="00E111EF" w:rsidRDefault="0036571B" w:rsidP="00DD2962">
    <w:pPr>
      <w:rPr>
        <w:rFonts w:ascii="Times New Roman" w:hAnsi="Times New Roman" w:cs="Times New Roman"/>
        <w:b/>
        <w:b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97B70" w14:textId="77777777" w:rsidR="007C2493" w:rsidRDefault="007C2493" w:rsidP="00430074">
      <w:pPr>
        <w:spacing w:after="0" w:line="240" w:lineRule="auto"/>
      </w:pPr>
      <w:r>
        <w:separator/>
      </w:r>
    </w:p>
  </w:footnote>
  <w:footnote w:type="continuationSeparator" w:id="0">
    <w:p w14:paraId="03FC726C" w14:textId="77777777" w:rsidR="007C2493" w:rsidRDefault="007C2493" w:rsidP="00430074">
      <w:pPr>
        <w:spacing w:after="0" w:line="240" w:lineRule="auto"/>
      </w:pPr>
      <w:r>
        <w:continuationSeparator/>
      </w:r>
    </w:p>
  </w:footnote>
  <w:footnote w:type="continuationNotice" w:id="1">
    <w:p w14:paraId="4ABA7482" w14:textId="77777777" w:rsidR="007C2493" w:rsidRDefault="007C24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8D534" w14:textId="77777777" w:rsidR="000938D3" w:rsidRDefault="00093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7B821" w14:textId="77777777" w:rsidR="000938D3" w:rsidRDefault="00093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93A5B" w14:textId="77777777" w:rsidR="000938D3" w:rsidRDefault="00093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05BF"/>
    <w:multiLevelType w:val="hybridMultilevel"/>
    <w:tmpl w:val="FFFFFFFF"/>
    <w:lvl w:ilvl="0" w:tplc="49DCD30E">
      <w:start w:val="1"/>
      <w:numFmt w:val="decimal"/>
      <w:lvlText w:val="%1."/>
      <w:lvlJc w:val="left"/>
      <w:pPr>
        <w:ind w:left="720" w:hanging="360"/>
      </w:pPr>
    </w:lvl>
    <w:lvl w:ilvl="1" w:tplc="5D1EB590">
      <w:start w:val="1"/>
      <w:numFmt w:val="lowerLetter"/>
      <w:lvlText w:val="%2."/>
      <w:lvlJc w:val="left"/>
      <w:pPr>
        <w:ind w:left="1440" w:hanging="360"/>
      </w:pPr>
    </w:lvl>
    <w:lvl w:ilvl="2" w:tplc="E67EEBB4">
      <w:start w:val="1"/>
      <w:numFmt w:val="lowerRoman"/>
      <w:lvlText w:val="%3."/>
      <w:lvlJc w:val="right"/>
      <w:pPr>
        <w:ind w:left="2160" w:hanging="180"/>
      </w:pPr>
    </w:lvl>
    <w:lvl w:ilvl="3" w:tplc="E5D6CB72">
      <w:start w:val="1"/>
      <w:numFmt w:val="decimal"/>
      <w:lvlText w:val="%4."/>
      <w:lvlJc w:val="left"/>
      <w:pPr>
        <w:ind w:left="2880" w:hanging="360"/>
      </w:pPr>
    </w:lvl>
    <w:lvl w:ilvl="4" w:tplc="875AFF7C">
      <w:start w:val="1"/>
      <w:numFmt w:val="lowerLetter"/>
      <w:lvlText w:val="%5."/>
      <w:lvlJc w:val="left"/>
      <w:pPr>
        <w:ind w:left="3600" w:hanging="360"/>
      </w:pPr>
    </w:lvl>
    <w:lvl w:ilvl="5" w:tplc="043483D8">
      <w:start w:val="1"/>
      <w:numFmt w:val="lowerRoman"/>
      <w:lvlText w:val="%6."/>
      <w:lvlJc w:val="right"/>
      <w:pPr>
        <w:ind w:left="4320" w:hanging="180"/>
      </w:pPr>
    </w:lvl>
    <w:lvl w:ilvl="6" w:tplc="9222A072">
      <w:start w:val="1"/>
      <w:numFmt w:val="decimal"/>
      <w:lvlText w:val="%7."/>
      <w:lvlJc w:val="left"/>
      <w:pPr>
        <w:ind w:left="5040" w:hanging="360"/>
      </w:pPr>
    </w:lvl>
    <w:lvl w:ilvl="7" w:tplc="E59E5CF0">
      <w:start w:val="1"/>
      <w:numFmt w:val="lowerLetter"/>
      <w:lvlText w:val="%8."/>
      <w:lvlJc w:val="left"/>
      <w:pPr>
        <w:ind w:left="5760" w:hanging="360"/>
      </w:pPr>
    </w:lvl>
    <w:lvl w:ilvl="8" w:tplc="CB586CAA">
      <w:start w:val="1"/>
      <w:numFmt w:val="lowerRoman"/>
      <w:lvlText w:val="%9."/>
      <w:lvlJc w:val="right"/>
      <w:pPr>
        <w:ind w:left="6480" w:hanging="180"/>
      </w:pPr>
    </w:lvl>
  </w:abstractNum>
  <w:abstractNum w:abstractNumId="1" w15:restartNumberingAfterBreak="0">
    <w:nsid w:val="01D57231"/>
    <w:multiLevelType w:val="hybridMultilevel"/>
    <w:tmpl w:val="F22E8E84"/>
    <w:lvl w:ilvl="0" w:tplc="3AB8275A">
      <w:start w:val="1"/>
      <w:numFmt w:val="bullet"/>
      <w:lvlText w:val=""/>
      <w:lvlJc w:val="left"/>
      <w:pPr>
        <w:ind w:left="75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35D3F"/>
    <w:multiLevelType w:val="hybridMultilevel"/>
    <w:tmpl w:val="FFFFFFFF"/>
    <w:lvl w:ilvl="0" w:tplc="F0B265E2">
      <w:start w:val="1"/>
      <w:numFmt w:val="bullet"/>
      <w:lvlText w:val=""/>
      <w:lvlJc w:val="left"/>
      <w:pPr>
        <w:ind w:left="720" w:hanging="360"/>
      </w:pPr>
      <w:rPr>
        <w:rFonts w:ascii="Symbol" w:hAnsi="Symbol" w:hint="default"/>
      </w:rPr>
    </w:lvl>
    <w:lvl w:ilvl="1" w:tplc="0FA8022C">
      <w:start w:val="1"/>
      <w:numFmt w:val="bullet"/>
      <w:lvlText w:val=""/>
      <w:lvlJc w:val="left"/>
      <w:pPr>
        <w:ind w:left="1440" w:hanging="360"/>
      </w:pPr>
      <w:rPr>
        <w:rFonts w:ascii="Symbol" w:hAnsi="Symbol" w:hint="default"/>
      </w:rPr>
    </w:lvl>
    <w:lvl w:ilvl="2" w:tplc="CC1CE5DA">
      <w:start w:val="1"/>
      <w:numFmt w:val="bullet"/>
      <w:lvlText w:val=""/>
      <w:lvlJc w:val="left"/>
      <w:pPr>
        <w:ind w:left="2160" w:hanging="360"/>
      </w:pPr>
      <w:rPr>
        <w:rFonts w:ascii="Wingdings" w:hAnsi="Wingdings" w:hint="default"/>
      </w:rPr>
    </w:lvl>
    <w:lvl w:ilvl="3" w:tplc="596027AE">
      <w:start w:val="1"/>
      <w:numFmt w:val="bullet"/>
      <w:lvlText w:val=""/>
      <w:lvlJc w:val="left"/>
      <w:pPr>
        <w:ind w:left="2880" w:hanging="360"/>
      </w:pPr>
      <w:rPr>
        <w:rFonts w:ascii="Symbol" w:hAnsi="Symbol" w:hint="default"/>
      </w:rPr>
    </w:lvl>
    <w:lvl w:ilvl="4" w:tplc="A1245D74">
      <w:start w:val="1"/>
      <w:numFmt w:val="bullet"/>
      <w:lvlText w:val="o"/>
      <w:lvlJc w:val="left"/>
      <w:pPr>
        <w:ind w:left="3600" w:hanging="360"/>
      </w:pPr>
      <w:rPr>
        <w:rFonts w:ascii="Courier New" w:hAnsi="Courier New" w:hint="default"/>
      </w:rPr>
    </w:lvl>
    <w:lvl w:ilvl="5" w:tplc="81562F24">
      <w:start w:val="1"/>
      <w:numFmt w:val="bullet"/>
      <w:lvlText w:val=""/>
      <w:lvlJc w:val="left"/>
      <w:pPr>
        <w:ind w:left="4320" w:hanging="360"/>
      </w:pPr>
      <w:rPr>
        <w:rFonts w:ascii="Wingdings" w:hAnsi="Wingdings" w:hint="default"/>
      </w:rPr>
    </w:lvl>
    <w:lvl w:ilvl="6" w:tplc="ED30DD52">
      <w:start w:val="1"/>
      <w:numFmt w:val="bullet"/>
      <w:lvlText w:val=""/>
      <w:lvlJc w:val="left"/>
      <w:pPr>
        <w:ind w:left="5040" w:hanging="360"/>
      </w:pPr>
      <w:rPr>
        <w:rFonts w:ascii="Symbol" w:hAnsi="Symbol" w:hint="default"/>
      </w:rPr>
    </w:lvl>
    <w:lvl w:ilvl="7" w:tplc="157CA35C">
      <w:start w:val="1"/>
      <w:numFmt w:val="bullet"/>
      <w:lvlText w:val="o"/>
      <w:lvlJc w:val="left"/>
      <w:pPr>
        <w:ind w:left="5760" w:hanging="360"/>
      </w:pPr>
      <w:rPr>
        <w:rFonts w:ascii="Courier New" w:hAnsi="Courier New" w:hint="default"/>
      </w:rPr>
    </w:lvl>
    <w:lvl w:ilvl="8" w:tplc="806652EE">
      <w:start w:val="1"/>
      <w:numFmt w:val="bullet"/>
      <w:lvlText w:val=""/>
      <w:lvlJc w:val="left"/>
      <w:pPr>
        <w:ind w:left="6480" w:hanging="360"/>
      </w:pPr>
      <w:rPr>
        <w:rFonts w:ascii="Wingdings" w:hAnsi="Wingdings" w:hint="default"/>
      </w:rPr>
    </w:lvl>
  </w:abstractNum>
  <w:abstractNum w:abstractNumId="3" w15:restartNumberingAfterBreak="0">
    <w:nsid w:val="073D64BF"/>
    <w:multiLevelType w:val="hybridMultilevel"/>
    <w:tmpl w:val="3312C376"/>
    <w:lvl w:ilvl="0" w:tplc="04090001">
      <w:start w:val="1"/>
      <w:numFmt w:val="bullet"/>
      <w:lvlText w:val=""/>
      <w:lvlJc w:val="left"/>
      <w:pPr>
        <w:ind w:left="380" w:hanging="360"/>
      </w:pPr>
      <w:rPr>
        <w:rFonts w:ascii="Symbol" w:hAnsi="Symbol" w:hint="default"/>
      </w:rPr>
    </w:lvl>
    <w:lvl w:ilvl="1" w:tplc="F5EE38EE">
      <w:start w:val="1"/>
      <w:numFmt w:val="lowerLetter"/>
      <w:lvlText w:val="%2."/>
      <w:lvlJc w:val="left"/>
      <w:pPr>
        <w:ind w:left="1100" w:hanging="360"/>
      </w:pPr>
    </w:lvl>
    <w:lvl w:ilvl="2" w:tplc="8E8AE396">
      <w:start w:val="1"/>
      <w:numFmt w:val="lowerRoman"/>
      <w:lvlText w:val="%3."/>
      <w:lvlJc w:val="right"/>
      <w:pPr>
        <w:ind w:left="1820" w:hanging="180"/>
      </w:pPr>
    </w:lvl>
    <w:lvl w:ilvl="3" w:tplc="A746C3B2">
      <w:start w:val="1"/>
      <w:numFmt w:val="decimal"/>
      <w:lvlText w:val="%4."/>
      <w:lvlJc w:val="left"/>
      <w:pPr>
        <w:ind w:left="2540" w:hanging="360"/>
      </w:pPr>
    </w:lvl>
    <w:lvl w:ilvl="4" w:tplc="11AC7426">
      <w:start w:val="1"/>
      <w:numFmt w:val="lowerLetter"/>
      <w:lvlText w:val="%5."/>
      <w:lvlJc w:val="left"/>
      <w:pPr>
        <w:ind w:left="3260" w:hanging="360"/>
      </w:pPr>
    </w:lvl>
    <w:lvl w:ilvl="5" w:tplc="51CED978">
      <w:start w:val="1"/>
      <w:numFmt w:val="lowerRoman"/>
      <w:lvlText w:val="%6."/>
      <w:lvlJc w:val="right"/>
      <w:pPr>
        <w:ind w:left="3980" w:hanging="180"/>
      </w:pPr>
    </w:lvl>
    <w:lvl w:ilvl="6" w:tplc="8FE84B54">
      <w:start w:val="1"/>
      <w:numFmt w:val="decimal"/>
      <w:lvlText w:val="%7."/>
      <w:lvlJc w:val="left"/>
      <w:pPr>
        <w:ind w:left="4700" w:hanging="360"/>
      </w:pPr>
    </w:lvl>
    <w:lvl w:ilvl="7" w:tplc="691CD38A">
      <w:start w:val="1"/>
      <w:numFmt w:val="lowerLetter"/>
      <w:lvlText w:val="%8."/>
      <w:lvlJc w:val="left"/>
      <w:pPr>
        <w:ind w:left="5420" w:hanging="360"/>
      </w:pPr>
    </w:lvl>
    <w:lvl w:ilvl="8" w:tplc="E514C57A">
      <w:start w:val="1"/>
      <w:numFmt w:val="lowerRoman"/>
      <w:lvlText w:val="%9."/>
      <w:lvlJc w:val="right"/>
      <w:pPr>
        <w:ind w:left="6140" w:hanging="180"/>
      </w:pPr>
    </w:lvl>
  </w:abstractNum>
  <w:abstractNum w:abstractNumId="4" w15:restartNumberingAfterBreak="0">
    <w:nsid w:val="0B0A23ED"/>
    <w:multiLevelType w:val="hybridMultilevel"/>
    <w:tmpl w:val="FFFFFFFF"/>
    <w:lvl w:ilvl="0" w:tplc="DC1CBC06">
      <w:start w:val="1"/>
      <w:numFmt w:val="decimal"/>
      <w:lvlText w:val="%1."/>
      <w:lvlJc w:val="left"/>
      <w:pPr>
        <w:ind w:left="720" w:hanging="360"/>
      </w:pPr>
    </w:lvl>
    <w:lvl w:ilvl="1" w:tplc="E9BC82CA">
      <w:start w:val="1"/>
      <w:numFmt w:val="lowerLetter"/>
      <w:lvlText w:val="%2."/>
      <w:lvlJc w:val="left"/>
      <w:pPr>
        <w:ind w:left="1440" w:hanging="360"/>
      </w:pPr>
    </w:lvl>
    <w:lvl w:ilvl="2" w:tplc="09767518">
      <w:start w:val="1"/>
      <w:numFmt w:val="lowerRoman"/>
      <w:lvlText w:val="%3."/>
      <w:lvlJc w:val="right"/>
      <w:pPr>
        <w:ind w:left="2160" w:hanging="180"/>
      </w:pPr>
    </w:lvl>
    <w:lvl w:ilvl="3" w:tplc="8574519A">
      <w:start w:val="1"/>
      <w:numFmt w:val="decimal"/>
      <w:lvlText w:val="%4."/>
      <w:lvlJc w:val="left"/>
      <w:pPr>
        <w:ind w:left="2880" w:hanging="360"/>
      </w:pPr>
    </w:lvl>
    <w:lvl w:ilvl="4" w:tplc="E1CC0626">
      <w:start w:val="1"/>
      <w:numFmt w:val="lowerLetter"/>
      <w:lvlText w:val="%5."/>
      <w:lvlJc w:val="left"/>
      <w:pPr>
        <w:ind w:left="3600" w:hanging="360"/>
      </w:pPr>
    </w:lvl>
    <w:lvl w:ilvl="5" w:tplc="1AF8E90A">
      <w:start w:val="1"/>
      <w:numFmt w:val="lowerRoman"/>
      <w:lvlText w:val="%6."/>
      <w:lvlJc w:val="right"/>
      <w:pPr>
        <w:ind w:left="4320" w:hanging="180"/>
      </w:pPr>
    </w:lvl>
    <w:lvl w:ilvl="6" w:tplc="B3426FCA">
      <w:start w:val="1"/>
      <w:numFmt w:val="decimal"/>
      <w:lvlText w:val="%7."/>
      <w:lvlJc w:val="left"/>
      <w:pPr>
        <w:ind w:left="5040" w:hanging="360"/>
      </w:pPr>
    </w:lvl>
    <w:lvl w:ilvl="7" w:tplc="F21824E8">
      <w:start w:val="1"/>
      <w:numFmt w:val="lowerLetter"/>
      <w:lvlText w:val="%8."/>
      <w:lvlJc w:val="left"/>
      <w:pPr>
        <w:ind w:left="5760" w:hanging="360"/>
      </w:pPr>
    </w:lvl>
    <w:lvl w:ilvl="8" w:tplc="45985930">
      <w:start w:val="1"/>
      <w:numFmt w:val="lowerRoman"/>
      <w:lvlText w:val="%9."/>
      <w:lvlJc w:val="right"/>
      <w:pPr>
        <w:ind w:left="6480" w:hanging="180"/>
      </w:pPr>
    </w:lvl>
  </w:abstractNum>
  <w:abstractNum w:abstractNumId="5" w15:restartNumberingAfterBreak="0">
    <w:nsid w:val="1019416A"/>
    <w:multiLevelType w:val="hybridMultilevel"/>
    <w:tmpl w:val="A260C732"/>
    <w:lvl w:ilvl="0" w:tplc="7FAA28C6">
      <w:start w:val="1"/>
      <w:numFmt w:val="bullet"/>
      <w:lvlText w:val="·"/>
      <w:lvlJc w:val="left"/>
      <w:pPr>
        <w:ind w:left="720" w:hanging="360"/>
      </w:pPr>
      <w:rPr>
        <w:rFonts w:ascii="Symbol" w:hAnsi="Symbol" w:hint="default"/>
      </w:rPr>
    </w:lvl>
    <w:lvl w:ilvl="1" w:tplc="9F82C224">
      <w:start w:val="1"/>
      <w:numFmt w:val="bullet"/>
      <w:lvlText w:val="o"/>
      <w:lvlJc w:val="left"/>
      <w:pPr>
        <w:ind w:left="1440" w:hanging="360"/>
      </w:pPr>
      <w:rPr>
        <w:rFonts w:ascii="Courier New" w:hAnsi="Courier New" w:hint="default"/>
      </w:rPr>
    </w:lvl>
    <w:lvl w:ilvl="2" w:tplc="5C18991E">
      <w:start w:val="1"/>
      <w:numFmt w:val="bullet"/>
      <w:lvlText w:val=""/>
      <w:lvlJc w:val="left"/>
      <w:pPr>
        <w:ind w:left="2160" w:hanging="360"/>
      </w:pPr>
      <w:rPr>
        <w:rFonts w:ascii="Wingdings" w:hAnsi="Wingdings" w:hint="default"/>
      </w:rPr>
    </w:lvl>
    <w:lvl w:ilvl="3" w:tplc="8DAA4516">
      <w:start w:val="1"/>
      <w:numFmt w:val="bullet"/>
      <w:lvlText w:val=""/>
      <w:lvlJc w:val="left"/>
      <w:pPr>
        <w:ind w:left="2880" w:hanging="360"/>
      </w:pPr>
      <w:rPr>
        <w:rFonts w:ascii="Symbol" w:hAnsi="Symbol" w:hint="default"/>
      </w:rPr>
    </w:lvl>
    <w:lvl w:ilvl="4" w:tplc="C83A0F1E">
      <w:start w:val="1"/>
      <w:numFmt w:val="bullet"/>
      <w:lvlText w:val="o"/>
      <w:lvlJc w:val="left"/>
      <w:pPr>
        <w:ind w:left="3600" w:hanging="360"/>
      </w:pPr>
      <w:rPr>
        <w:rFonts w:ascii="Courier New" w:hAnsi="Courier New" w:hint="default"/>
      </w:rPr>
    </w:lvl>
    <w:lvl w:ilvl="5" w:tplc="73FCF2C2">
      <w:start w:val="1"/>
      <w:numFmt w:val="bullet"/>
      <w:lvlText w:val=""/>
      <w:lvlJc w:val="left"/>
      <w:pPr>
        <w:ind w:left="4320" w:hanging="360"/>
      </w:pPr>
      <w:rPr>
        <w:rFonts w:ascii="Wingdings" w:hAnsi="Wingdings" w:hint="default"/>
      </w:rPr>
    </w:lvl>
    <w:lvl w:ilvl="6" w:tplc="7BDABAEA">
      <w:start w:val="1"/>
      <w:numFmt w:val="bullet"/>
      <w:lvlText w:val=""/>
      <w:lvlJc w:val="left"/>
      <w:pPr>
        <w:ind w:left="5040" w:hanging="360"/>
      </w:pPr>
      <w:rPr>
        <w:rFonts w:ascii="Symbol" w:hAnsi="Symbol" w:hint="default"/>
      </w:rPr>
    </w:lvl>
    <w:lvl w:ilvl="7" w:tplc="160C3534">
      <w:start w:val="1"/>
      <w:numFmt w:val="bullet"/>
      <w:lvlText w:val="o"/>
      <w:lvlJc w:val="left"/>
      <w:pPr>
        <w:ind w:left="5760" w:hanging="360"/>
      </w:pPr>
      <w:rPr>
        <w:rFonts w:ascii="Courier New" w:hAnsi="Courier New" w:hint="default"/>
      </w:rPr>
    </w:lvl>
    <w:lvl w:ilvl="8" w:tplc="919C9A42">
      <w:start w:val="1"/>
      <w:numFmt w:val="bullet"/>
      <w:lvlText w:val=""/>
      <w:lvlJc w:val="left"/>
      <w:pPr>
        <w:ind w:left="6480" w:hanging="360"/>
      </w:pPr>
      <w:rPr>
        <w:rFonts w:ascii="Wingdings" w:hAnsi="Wingdings" w:hint="default"/>
      </w:rPr>
    </w:lvl>
  </w:abstractNum>
  <w:abstractNum w:abstractNumId="6" w15:restartNumberingAfterBreak="0">
    <w:nsid w:val="104C5926"/>
    <w:multiLevelType w:val="hybridMultilevel"/>
    <w:tmpl w:val="9E1C1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4950D9"/>
    <w:multiLevelType w:val="hybridMultilevel"/>
    <w:tmpl w:val="32D8090A"/>
    <w:lvl w:ilvl="0" w:tplc="3AB8275A">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8" w15:restartNumberingAfterBreak="0">
    <w:nsid w:val="1D5331E6"/>
    <w:multiLevelType w:val="hybridMultilevel"/>
    <w:tmpl w:val="0EECF10A"/>
    <w:lvl w:ilvl="0" w:tplc="D6DA0D58">
      <w:start w:val="1"/>
      <w:numFmt w:val="bullet"/>
      <w:lvlText w:val="·"/>
      <w:lvlJc w:val="left"/>
      <w:pPr>
        <w:ind w:left="720" w:hanging="360"/>
      </w:pPr>
      <w:rPr>
        <w:rFonts w:ascii="Symbol" w:hAnsi="Symbol" w:hint="default"/>
      </w:rPr>
    </w:lvl>
    <w:lvl w:ilvl="1" w:tplc="6B32E252">
      <w:start w:val="1"/>
      <w:numFmt w:val="bullet"/>
      <w:lvlText w:val="o"/>
      <w:lvlJc w:val="left"/>
      <w:pPr>
        <w:ind w:left="1440" w:hanging="360"/>
      </w:pPr>
      <w:rPr>
        <w:rFonts w:ascii="Courier New" w:hAnsi="Courier New" w:hint="default"/>
      </w:rPr>
    </w:lvl>
    <w:lvl w:ilvl="2" w:tplc="1F127052">
      <w:start w:val="1"/>
      <w:numFmt w:val="bullet"/>
      <w:lvlText w:val=""/>
      <w:lvlJc w:val="left"/>
      <w:pPr>
        <w:ind w:left="2160" w:hanging="360"/>
      </w:pPr>
      <w:rPr>
        <w:rFonts w:ascii="Wingdings" w:hAnsi="Wingdings" w:hint="default"/>
      </w:rPr>
    </w:lvl>
    <w:lvl w:ilvl="3" w:tplc="6B6A5B42">
      <w:start w:val="1"/>
      <w:numFmt w:val="bullet"/>
      <w:lvlText w:val=""/>
      <w:lvlJc w:val="left"/>
      <w:pPr>
        <w:ind w:left="2880" w:hanging="360"/>
      </w:pPr>
      <w:rPr>
        <w:rFonts w:ascii="Symbol" w:hAnsi="Symbol" w:hint="default"/>
      </w:rPr>
    </w:lvl>
    <w:lvl w:ilvl="4" w:tplc="6D304E0C">
      <w:start w:val="1"/>
      <w:numFmt w:val="bullet"/>
      <w:lvlText w:val="o"/>
      <w:lvlJc w:val="left"/>
      <w:pPr>
        <w:ind w:left="3600" w:hanging="360"/>
      </w:pPr>
      <w:rPr>
        <w:rFonts w:ascii="Courier New" w:hAnsi="Courier New" w:hint="default"/>
      </w:rPr>
    </w:lvl>
    <w:lvl w:ilvl="5" w:tplc="B9A8111A">
      <w:start w:val="1"/>
      <w:numFmt w:val="bullet"/>
      <w:lvlText w:val=""/>
      <w:lvlJc w:val="left"/>
      <w:pPr>
        <w:ind w:left="4320" w:hanging="360"/>
      </w:pPr>
      <w:rPr>
        <w:rFonts w:ascii="Wingdings" w:hAnsi="Wingdings" w:hint="default"/>
      </w:rPr>
    </w:lvl>
    <w:lvl w:ilvl="6" w:tplc="54BC0ED8">
      <w:start w:val="1"/>
      <w:numFmt w:val="bullet"/>
      <w:lvlText w:val=""/>
      <w:lvlJc w:val="left"/>
      <w:pPr>
        <w:ind w:left="5040" w:hanging="360"/>
      </w:pPr>
      <w:rPr>
        <w:rFonts w:ascii="Symbol" w:hAnsi="Symbol" w:hint="default"/>
      </w:rPr>
    </w:lvl>
    <w:lvl w:ilvl="7" w:tplc="BFB03EDA">
      <w:start w:val="1"/>
      <w:numFmt w:val="bullet"/>
      <w:lvlText w:val="o"/>
      <w:lvlJc w:val="left"/>
      <w:pPr>
        <w:ind w:left="5760" w:hanging="360"/>
      </w:pPr>
      <w:rPr>
        <w:rFonts w:ascii="Courier New" w:hAnsi="Courier New" w:hint="default"/>
      </w:rPr>
    </w:lvl>
    <w:lvl w:ilvl="8" w:tplc="91A4D022">
      <w:start w:val="1"/>
      <w:numFmt w:val="bullet"/>
      <w:lvlText w:val=""/>
      <w:lvlJc w:val="left"/>
      <w:pPr>
        <w:ind w:left="6480" w:hanging="360"/>
      </w:pPr>
      <w:rPr>
        <w:rFonts w:ascii="Wingdings" w:hAnsi="Wingdings" w:hint="default"/>
      </w:rPr>
    </w:lvl>
  </w:abstractNum>
  <w:abstractNum w:abstractNumId="9" w15:restartNumberingAfterBreak="0">
    <w:nsid w:val="21C37DE2"/>
    <w:multiLevelType w:val="hybridMultilevel"/>
    <w:tmpl w:val="4EE64EEA"/>
    <w:lvl w:ilvl="0" w:tplc="E1449BFE">
      <w:start w:val="1"/>
      <w:numFmt w:val="bullet"/>
      <w:lvlText w:val=""/>
      <w:lvlJc w:val="left"/>
      <w:pPr>
        <w:ind w:left="720" w:hanging="360"/>
      </w:pPr>
      <w:rPr>
        <w:rFonts w:ascii="Symbol" w:hAnsi="Symbol" w:hint="default"/>
      </w:rPr>
    </w:lvl>
    <w:lvl w:ilvl="1" w:tplc="DE54C01A">
      <w:start w:val="1"/>
      <w:numFmt w:val="bullet"/>
      <w:lvlText w:val="·"/>
      <w:lvlJc w:val="left"/>
      <w:pPr>
        <w:ind w:left="1440" w:hanging="360"/>
      </w:pPr>
      <w:rPr>
        <w:rFonts w:ascii="Symbol" w:hAnsi="Symbol" w:hint="default"/>
      </w:rPr>
    </w:lvl>
    <w:lvl w:ilvl="2" w:tplc="170A4894">
      <w:start w:val="1"/>
      <w:numFmt w:val="bullet"/>
      <w:lvlText w:val=""/>
      <w:lvlJc w:val="left"/>
      <w:pPr>
        <w:ind w:left="2160" w:hanging="360"/>
      </w:pPr>
      <w:rPr>
        <w:rFonts w:ascii="Wingdings" w:hAnsi="Wingdings" w:hint="default"/>
      </w:rPr>
    </w:lvl>
    <w:lvl w:ilvl="3" w:tplc="D1148384">
      <w:start w:val="1"/>
      <w:numFmt w:val="bullet"/>
      <w:lvlText w:val=""/>
      <w:lvlJc w:val="left"/>
      <w:pPr>
        <w:ind w:left="2880" w:hanging="360"/>
      </w:pPr>
      <w:rPr>
        <w:rFonts w:ascii="Symbol" w:hAnsi="Symbol" w:hint="default"/>
      </w:rPr>
    </w:lvl>
    <w:lvl w:ilvl="4" w:tplc="C1EC0EF2">
      <w:start w:val="1"/>
      <w:numFmt w:val="bullet"/>
      <w:lvlText w:val="o"/>
      <w:lvlJc w:val="left"/>
      <w:pPr>
        <w:ind w:left="3600" w:hanging="360"/>
      </w:pPr>
      <w:rPr>
        <w:rFonts w:ascii="Courier New" w:hAnsi="Courier New" w:hint="default"/>
      </w:rPr>
    </w:lvl>
    <w:lvl w:ilvl="5" w:tplc="BE66ED16">
      <w:start w:val="1"/>
      <w:numFmt w:val="bullet"/>
      <w:lvlText w:val=""/>
      <w:lvlJc w:val="left"/>
      <w:pPr>
        <w:ind w:left="4320" w:hanging="360"/>
      </w:pPr>
      <w:rPr>
        <w:rFonts w:ascii="Wingdings" w:hAnsi="Wingdings" w:hint="default"/>
      </w:rPr>
    </w:lvl>
    <w:lvl w:ilvl="6" w:tplc="FE1AC8B6">
      <w:start w:val="1"/>
      <w:numFmt w:val="bullet"/>
      <w:lvlText w:val=""/>
      <w:lvlJc w:val="left"/>
      <w:pPr>
        <w:ind w:left="5040" w:hanging="360"/>
      </w:pPr>
      <w:rPr>
        <w:rFonts w:ascii="Symbol" w:hAnsi="Symbol" w:hint="default"/>
      </w:rPr>
    </w:lvl>
    <w:lvl w:ilvl="7" w:tplc="AAC02302">
      <w:start w:val="1"/>
      <w:numFmt w:val="bullet"/>
      <w:lvlText w:val="o"/>
      <w:lvlJc w:val="left"/>
      <w:pPr>
        <w:ind w:left="5760" w:hanging="360"/>
      </w:pPr>
      <w:rPr>
        <w:rFonts w:ascii="Courier New" w:hAnsi="Courier New" w:hint="default"/>
      </w:rPr>
    </w:lvl>
    <w:lvl w:ilvl="8" w:tplc="6F5EE026">
      <w:start w:val="1"/>
      <w:numFmt w:val="bullet"/>
      <w:lvlText w:val=""/>
      <w:lvlJc w:val="left"/>
      <w:pPr>
        <w:ind w:left="6480" w:hanging="360"/>
      </w:pPr>
      <w:rPr>
        <w:rFonts w:ascii="Wingdings" w:hAnsi="Wingdings" w:hint="default"/>
      </w:rPr>
    </w:lvl>
  </w:abstractNum>
  <w:abstractNum w:abstractNumId="10" w15:restartNumberingAfterBreak="0">
    <w:nsid w:val="224728F0"/>
    <w:multiLevelType w:val="hybridMultilevel"/>
    <w:tmpl w:val="92E8487E"/>
    <w:lvl w:ilvl="0" w:tplc="9448FCC8">
      <w:start w:val="1"/>
      <w:numFmt w:val="bullet"/>
      <w:lvlText w:val="·"/>
      <w:lvlJc w:val="left"/>
      <w:pPr>
        <w:ind w:left="720" w:hanging="360"/>
      </w:pPr>
      <w:rPr>
        <w:rFonts w:ascii="Symbol" w:hAnsi="Symbol" w:hint="default"/>
      </w:rPr>
    </w:lvl>
    <w:lvl w:ilvl="1" w:tplc="32A8A72E">
      <w:start w:val="1"/>
      <w:numFmt w:val="bullet"/>
      <w:lvlText w:val="o"/>
      <w:lvlJc w:val="left"/>
      <w:pPr>
        <w:ind w:left="1440" w:hanging="360"/>
      </w:pPr>
      <w:rPr>
        <w:rFonts w:ascii="Courier New" w:hAnsi="Courier New" w:hint="default"/>
      </w:rPr>
    </w:lvl>
    <w:lvl w:ilvl="2" w:tplc="035E772C">
      <w:start w:val="1"/>
      <w:numFmt w:val="bullet"/>
      <w:lvlText w:val=""/>
      <w:lvlJc w:val="left"/>
      <w:pPr>
        <w:ind w:left="2160" w:hanging="360"/>
      </w:pPr>
      <w:rPr>
        <w:rFonts w:ascii="Wingdings" w:hAnsi="Wingdings" w:hint="default"/>
      </w:rPr>
    </w:lvl>
    <w:lvl w:ilvl="3" w:tplc="630AD704">
      <w:start w:val="1"/>
      <w:numFmt w:val="bullet"/>
      <w:lvlText w:val=""/>
      <w:lvlJc w:val="left"/>
      <w:pPr>
        <w:ind w:left="2880" w:hanging="360"/>
      </w:pPr>
      <w:rPr>
        <w:rFonts w:ascii="Symbol" w:hAnsi="Symbol" w:hint="default"/>
      </w:rPr>
    </w:lvl>
    <w:lvl w:ilvl="4" w:tplc="5EE4AFE6">
      <w:start w:val="1"/>
      <w:numFmt w:val="bullet"/>
      <w:lvlText w:val="o"/>
      <w:lvlJc w:val="left"/>
      <w:pPr>
        <w:ind w:left="3600" w:hanging="360"/>
      </w:pPr>
      <w:rPr>
        <w:rFonts w:ascii="Courier New" w:hAnsi="Courier New" w:hint="default"/>
      </w:rPr>
    </w:lvl>
    <w:lvl w:ilvl="5" w:tplc="BEDEC61C">
      <w:start w:val="1"/>
      <w:numFmt w:val="bullet"/>
      <w:lvlText w:val=""/>
      <w:lvlJc w:val="left"/>
      <w:pPr>
        <w:ind w:left="4320" w:hanging="360"/>
      </w:pPr>
      <w:rPr>
        <w:rFonts w:ascii="Wingdings" w:hAnsi="Wingdings" w:hint="default"/>
      </w:rPr>
    </w:lvl>
    <w:lvl w:ilvl="6" w:tplc="C748CC76">
      <w:start w:val="1"/>
      <w:numFmt w:val="bullet"/>
      <w:lvlText w:val=""/>
      <w:lvlJc w:val="left"/>
      <w:pPr>
        <w:ind w:left="5040" w:hanging="360"/>
      </w:pPr>
      <w:rPr>
        <w:rFonts w:ascii="Symbol" w:hAnsi="Symbol" w:hint="default"/>
      </w:rPr>
    </w:lvl>
    <w:lvl w:ilvl="7" w:tplc="3F0ABBB6">
      <w:start w:val="1"/>
      <w:numFmt w:val="bullet"/>
      <w:lvlText w:val="o"/>
      <w:lvlJc w:val="left"/>
      <w:pPr>
        <w:ind w:left="5760" w:hanging="360"/>
      </w:pPr>
      <w:rPr>
        <w:rFonts w:ascii="Courier New" w:hAnsi="Courier New" w:hint="default"/>
      </w:rPr>
    </w:lvl>
    <w:lvl w:ilvl="8" w:tplc="C4D6BA6C">
      <w:start w:val="1"/>
      <w:numFmt w:val="bullet"/>
      <w:lvlText w:val=""/>
      <w:lvlJc w:val="left"/>
      <w:pPr>
        <w:ind w:left="6480" w:hanging="360"/>
      </w:pPr>
      <w:rPr>
        <w:rFonts w:ascii="Wingdings" w:hAnsi="Wingdings" w:hint="default"/>
      </w:rPr>
    </w:lvl>
  </w:abstractNum>
  <w:abstractNum w:abstractNumId="11" w15:restartNumberingAfterBreak="0">
    <w:nsid w:val="2EB4786D"/>
    <w:multiLevelType w:val="hybridMultilevel"/>
    <w:tmpl w:val="80DE25CC"/>
    <w:lvl w:ilvl="0" w:tplc="FFFFFFFF">
      <w:start w:val="1"/>
      <w:numFmt w:val="lowerLetter"/>
      <w:lvlText w:val="%1."/>
      <w:lvlJc w:val="left"/>
      <w:pPr>
        <w:ind w:left="360" w:hanging="360"/>
      </w:pPr>
      <w:rPr>
        <w:spacing w:val="-1"/>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1BC4715"/>
    <w:multiLevelType w:val="hybridMultilevel"/>
    <w:tmpl w:val="56CE761A"/>
    <w:lvl w:ilvl="0" w:tplc="50E865E0">
      <w:start w:val="1"/>
      <w:numFmt w:val="bullet"/>
      <w:lvlText w:val="·"/>
      <w:lvlJc w:val="left"/>
      <w:pPr>
        <w:ind w:left="720" w:hanging="360"/>
      </w:pPr>
      <w:rPr>
        <w:rFonts w:ascii="Symbol" w:hAnsi="Symbol" w:hint="default"/>
      </w:rPr>
    </w:lvl>
    <w:lvl w:ilvl="1" w:tplc="E00A6E1C">
      <w:start w:val="1"/>
      <w:numFmt w:val="bullet"/>
      <w:lvlText w:val="o"/>
      <w:lvlJc w:val="left"/>
      <w:pPr>
        <w:ind w:left="1440" w:hanging="360"/>
      </w:pPr>
      <w:rPr>
        <w:rFonts w:ascii="Courier New" w:hAnsi="Courier New" w:hint="default"/>
      </w:rPr>
    </w:lvl>
    <w:lvl w:ilvl="2" w:tplc="813EB358">
      <w:start w:val="1"/>
      <w:numFmt w:val="bullet"/>
      <w:lvlText w:val=""/>
      <w:lvlJc w:val="left"/>
      <w:pPr>
        <w:ind w:left="2160" w:hanging="360"/>
      </w:pPr>
      <w:rPr>
        <w:rFonts w:ascii="Wingdings" w:hAnsi="Wingdings" w:hint="default"/>
      </w:rPr>
    </w:lvl>
    <w:lvl w:ilvl="3" w:tplc="D6E490FA">
      <w:start w:val="1"/>
      <w:numFmt w:val="bullet"/>
      <w:lvlText w:val=""/>
      <w:lvlJc w:val="left"/>
      <w:pPr>
        <w:ind w:left="2880" w:hanging="360"/>
      </w:pPr>
      <w:rPr>
        <w:rFonts w:ascii="Symbol" w:hAnsi="Symbol" w:hint="default"/>
      </w:rPr>
    </w:lvl>
    <w:lvl w:ilvl="4" w:tplc="6B725E1A">
      <w:start w:val="1"/>
      <w:numFmt w:val="bullet"/>
      <w:lvlText w:val="o"/>
      <w:lvlJc w:val="left"/>
      <w:pPr>
        <w:ind w:left="3600" w:hanging="360"/>
      </w:pPr>
      <w:rPr>
        <w:rFonts w:ascii="Courier New" w:hAnsi="Courier New" w:hint="default"/>
      </w:rPr>
    </w:lvl>
    <w:lvl w:ilvl="5" w:tplc="A504FA54">
      <w:start w:val="1"/>
      <w:numFmt w:val="bullet"/>
      <w:lvlText w:val=""/>
      <w:lvlJc w:val="left"/>
      <w:pPr>
        <w:ind w:left="4320" w:hanging="360"/>
      </w:pPr>
      <w:rPr>
        <w:rFonts w:ascii="Wingdings" w:hAnsi="Wingdings" w:hint="default"/>
      </w:rPr>
    </w:lvl>
    <w:lvl w:ilvl="6" w:tplc="F9F60AB4">
      <w:start w:val="1"/>
      <w:numFmt w:val="bullet"/>
      <w:lvlText w:val=""/>
      <w:lvlJc w:val="left"/>
      <w:pPr>
        <w:ind w:left="5040" w:hanging="360"/>
      </w:pPr>
      <w:rPr>
        <w:rFonts w:ascii="Symbol" w:hAnsi="Symbol" w:hint="default"/>
      </w:rPr>
    </w:lvl>
    <w:lvl w:ilvl="7" w:tplc="EC0C1882">
      <w:start w:val="1"/>
      <w:numFmt w:val="bullet"/>
      <w:lvlText w:val="o"/>
      <w:lvlJc w:val="left"/>
      <w:pPr>
        <w:ind w:left="5760" w:hanging="360"/>
      </w:pPr>
      <w:rPr>
        <w:rFonts w:ascii="Courier New" w:hAnsi="Courier New" w:hint="default"/>
      </w:rPr>
    </w:lvl>
    <w:lvl w:ilvl="8" w:tplc="B09A786A">
      <w:start w:val="1"/>
      <w:numFmt w:val="bullet"/>
      <w:lvlText w:val=""/>
      <w:lvlJc w:val="left"/>
      <w:pPr>
        <w:ind w:left="6480" w:hanging="360"/>
      </w:pPr>
      <w:rPr>
        <w:rFonts w:ascii="Wingdings" w:hAnsi="Wingdings" w:hint="default"/>
      </w:rPr>
    </w:lvl>
  </w:abstractNum>
  <w:abstractNum w:abstractNumId="13" w15:restartNumberingAfterBreak="0">
    <w:nsid w:val="323C59B6"/>
    <w:multiLevelType w:val="hybridMultilevel"/>
    <w:tmpl w:val="EC9257AA"/>
    <w:lvl w:ilvl="0" w:tplc="9912BAA4">
      <w:start w:val="1"/>
      <w:numFmt w:val="bullet"/>
      <w:lvlText w:val="·"/>
      <w:lvlJc w:val="left"/>
      <w:pPr>
        <w:ind w:left="720" w:hanging="360"/>
      </w:pPr>
      <w:rPr>
        <w:rFonts w:ascii="Symbol" w:hAnsi="Symbol" w:hint="default"/>
      </w:rPr>
    </w:lvl>
    <w:lvl w:ilvl="1" w:tplc="992A5272">
      <w:start w:val="1"/>
      <w:numFmt w:val="bullet"/>
      <w:lvlText w:val="o"/>
      <w:lvlJc w:val="left"/>
      <w:pPr>
        <w:ind w:left="1440" w:hanging="360"/>
      </w:pPr>
      <w:rPr>
        <w:rFonts w:ascii="Courier New" w:hAnsi="Courier New" w:hint="default"/>
      </w:rPr>
    </w:lvl>
    <w:lvl w:ilvl="2" w:tplc="5CB4FBE0">
      <w:start w:val="1"/>
      <w:numFmt w:val="bullet"/>
      <w:lvlText w:val=""/>
      <w:lvlJc w:val="left"/>
      <w:pPr>
        <w:ind w:left="2160" w:hanging="360"/>
      </w:pPr>
      <w:rPr>
        <w:rFonts w:ascii="Wingdings" w:hAnsi="Wingdings" w:hint="default"/>
      </w:rPr>
    </w:lvl>
    <w:lvl w:ilvl="3" w:tplc="50A4081E">
      <w:start w:val="1"/>
      <w:numFmt w:val="bullet"/>
      <w:lvlText w:val=""/>
      <w:lvlJc w:val="left"/>
      <w:pPr>
        <w:ind w:left="2880" w:hanging="360"/>
      </w:pPr>
      <w:rPr>
        <w:rFonts w:ascii="Symbol" w:hAnsi="Symbol" w:hint="default"/>
      </w:rPr>
    </w:lvl>
    <w:lvl w:ilvl="4" w:tplc="CB867CDC">
      <w:start w:val="1"/>
      <w:numFmt w:val="bullet"/>
      <w:lvlText w:val="o"/>
      <w:lvlJc w:val="left"/>
      <w:pPr>
        <w:ind w:left="3600" w:hanging="360"/>
      </w:pPr>
      <w:rPr>
        <w:rFonts w:ascii="Courier New" w:hAnsi="Courier New" w:hint="default"/>
      </w:rPr>
    </w:lvl>
    <w:lvl w:ilvl="5" w:tplc="67D24CE8">
      <w:start w:val="1"/>
      <w:numFmt w:val="bullet"/>
      <w:lvlText w:val=""/>
      <w:lvlJc w:val="left"/>
      <w:pPr>
        <w:ind w:left="4320" w:hanging="360"/>
      </w:pPr>
      <w:rPr>
        <w:rFonts w:ascii="Wingdings" w:hAnsi="Wingdings" w:hint="default"/>
      </w:rPr>
    </w:lvl>
    <w:lvl w:ilvl="6" w:tplc="F9AC0494">
      <w:start w:val="1"/>
      <w:numFmt w:val="bullet"/>
      <w:lvlText w:val=""/>
      <w:lvlJc w:val="left"/>
      <w:pPr>
        <w:ind w:left="5040" w:hanging="360"/>
      </w:pPr>
      <w:rPr>
        <w:rFonts w:ascii="Symbol" w:hAnsi="Symbol" w:hint="default"/>
      </w:rPr>
    </w:lvl>
    <w:lvl w:ilvl="7" w:tplc="25187B32">
      <w:start w:val="1"/>
      <w:numFmt w:val="bullet"/>
      <w:lvlText w:val="o"/>
      <w:lvlJc w:val="left"/>
      <w:pPr>
        <w:ind w:left="5760" w:hanging="360"/>
      </w:pPr>
      <w:rPr>
        <w:rFonts w:ascii="Courier New" w:hAnsi="Courier New" w:hint="default"/>
      </w:rPr>
    </w:lvl>
    <w:lvl w:ilvl="8" w:tplc="A1AA9528">
      <w:start w:val="1"/>
      <w:numFmt w:val="bullet"/>
      <w:lvlText w:val=""/>
      <w:lvlJc w:val="left"/>
      <w:pPr>
        <w:ind w:left="6480" w:hanging="360"/>
      </w:pPr>
      <w:rPr>
        <w:rFonts w:ascii="Wingdings" w:hAnsi="Wingdings" w:hint="default"/>
      </w:rPr>
    </w:lvl>
  </w:abstractNum>
  <w:abstractNum w:abstractNumId="14" w15:restartNumberingAfterBreak="0">
    <w:nsid w:val="32D14370"/>
    <w:multiLevelType w:val="hybridMultilevel"/>
    <w:tmpl w:val="B96A8B6E"/>
    <w:lvl w:ilvl="0" w:tplc="5E788128">
      <w:start w:val="1"/>
      <w:numFmt w:val="bullet"/>
      <w:lvlText w:val="·"/>
      <w:lvlJc w:val="left"/>
      <w:pPr>
        <w:ind w:left="720" w:hanging="360"/>
      </w:pPr>
      <w:rPr>
        <w:rFonts w:ascii="Symbol" w:hAnsi="Symbol" w:hint="default"/>
      </w:rPr>
    </w:lvl>
    <w:lvl w:ilvl="1" w:tplc="3D64703E">
      <w:start w:val="1"/>
      <w:numFmt w:val="bullet"/>
      <w:lvlText w:val="o"/>
      <w:lvlJc w:val="left"/>
      <w:pPr>
        <w:ind w:left="1440" w:hanging="360"/>
      </w:pPr>
      <w:rPr>
        <w:rFonts w:ascii="Courier New" w:hAnsi="Courier New" w:hint="default"/>
      </w:rPr>
    </w:lvl>
    <w:lvl w:ilvl="2" w:tplc="7B06228E">
      <w:start w:val="1"/>
      <w:numFmt w:val="bullet"/>
      <w:lvlText w:val=""/>
      <w:lvlJc w:val="left"/>
      <w:pPr>
        <w:ind w:left="2160" w:hanging="360"/>
      </w:pPr>
      <w:rPr>
        <w:rFonts w:ascii="Wingdings" w:hAnsi="Wingdings" w:hint="default"/>
      </w:rPr>
    </w:lvl>
    <w:lvl w:ilvl="3" w:tplc="1A84BDFA">
      <w:start w:val="1"/>
      <w:numFmt w:val="bullet"/>
      <w:lvlText w:val=""/>
      <w:lvlJc w:val="left"/>
      <w:pPr>
        <w:ind w:left="2880" w:hanging="360"/>
      </w:pPr>
      <w:rPr>
        <w:rFonts w:ascii="Symbol" w:hAnsi="Symbol" w:hint="default"/>
      </w:rPr>
    </w:lvl>
    <w:lvl w:ilvl="4" w:tplc="BB425640">
      <w:start w:val="1"/>
      <w:numFmt w:val="bullet"/>
      <w:lvlText w:val="o"/>
      <w:lvlJc w:val="left"/>
      <w:pPr>
        <w:ind w:left="3600" w:hanging="360"/>
      </w:pPr>
      <w:rPr>
        <w:rFonts w:ascii="Courier New" w:hAnsi="Courier New" w:hint="default"/>
      </w:rPr>
    </w:lvl>
    <w:lvl w:ilvl="5" w:tplc="2778B0F8">
      <w:start w:val="1"/>
      <w:numFmt w:val="bullet"/>
      <w:lvlText w:val=""/>
      <w:lvlJc w:val="left"/>
      <w:pPr>
        <w:ind w:left="4320" w:hanging="360"/>
      </w:pPr>
      <w:rPr>
        <w:rFonts w:ascii="Wingdings" w:hAnsi="Wingdings" w:hint="default"/>
      </w:rPr>
    </w:lvl>
    <w:lvl w:ilvl="6" w:tplc="9BC08C30">
      <w:start w:val="1"/>
      <w:numFmt w:val="bullet"/>
      <w:lvlText w:val=""/>
      <w:lvlJc w:val="left"/>
      <w:pPr>
        <w:ind w:left="5040" w:hanging="360"/>
      </w:pPr>
      <w:rPr>
        <w:rFonts w:ascii="Symbol" w:hAnsi="Symbol" w:hint="default"/>
      </w:rPr>
    </w:lvl>
    <w:lvl w:ilvl="7" w:tplc="89E834D6">
      <w:start w:val="1"/>
      <w:numFmt w:val="bullet"/>
      <w:lvlText w:val="o"/>
      <w:lvlJc w:val="left"/>
      <w:pPr>
        <w:ind w:left="5760" w:hanging="360"/>
      </w:pPr>
      <w:rPr>
        <w:rFonts w:ascii="Courier New" w:hAnsi="Courier New" w:hint="default"/>
      </w:rPr>
    </w:lvl>
    <w:lvl w:ilvl="8" w:tplc="567C45C0">
      <w:start w:val="1"/>
      <w:numFmt w:val="bullet"/>
      <w:lvlText w:val=""/>
      <w:lvlJc w:val="left"/>
      <w:pPr>
        <w:ind w:left="6480" w:hanging="360"/>
      </w:pPr>
      <w:rPr>
        <w:rFonts w:ascii="Wingdings" w:hAnsi="Wingdings" w:hint="default"/>
      </w:rPr>
    </w:lvl>
  </w:abstractNum>
  <w:abstractNum w:abstractNumId="15" w15:restartNumberingAfterBreak="0">
    <w:nsid w:val="33127D94"/>
    <w:multiLevelType w:val="hybridMultilevel"/>
    <w:tmpl w:val="CCB4B562"/>
    <w:lvl w:ilvl="0" w:tplc="EF38D450">
      <w:start w:val="1"/>
      <w:numFmt w:val="bullet"/>
      <w:lvlText w:val="·"/>
      <w:lvlJc w:val="left"/>
      <w:pPr>
        <w:ind w:left="720" w:hanging="360"/>
      </w:pPr>
      <w:rPr>
        <w:rFonts w:ascii="Symbol" w:hAnsi="Symbol" w:hint="default"/>
      </w:rPr>
    </w:lvl>
    <w:lvl w:ilvl="1" w:tplc="BC46810E">
      <w:start w:val="1"/>
      <w:numFmt w:val="bullet"/>
      <w:lvlText w:val="o"/>
      <w:lvlJc w:val="left"/>
      <w:pPr>
        <w:ind w:left="1440" w:hanging="360"/>
      </w:pPr>
      <w:rPr>
        <w:rFonts w:ascii="Courier New" w:hAnsi="Courier New" w:hint="default"/>
      </w:rPr>
    </w:lvl>
    <w:lvl w:ilvl="2" w:tplc="745EC3B2">
      <w:start w:val="1"/>
      <w:numFmt w:val="bullet"/>
      <w:lvlText w:val=""/>
      <w:lvlJc w:val="left"/>
      <w:pPr>
        <w:ind w:left="2160" w:hanging="360"/>
      </w:pPr>
      <w:rPr>
        <w:rFonts w:ascii="Wingdings" w:hAnsi="Wingdings" w:hint="default"/>
      </w:rPr>
    </w:lvl>
    <w:lvl w:ilvl="3" w:tplc="F47240F8">
      <w:start w:val="1"/>
      <w:numFmt w:val="bullet"/>
      <w:lvlText w:val=""/>
      <w:lvlJc w:val="left"/>
      <w:pPr>
        <w:ind w:left="2880" w:hanging="360"/>
      </w:pPr>
      <w:rPr>
        <w:rFonts w:ascii="Symbol" w:hAnsi="Symbol" w:hint="default"/>
      </w:rPr>
    </w:lvl>
    <w:lvl w:ilvl="4" w:tplc="F30481C4">
      <w:start w:val="1"/>
      <w:numFmt w:val="bullet"/>
      <w:lvlText w:val="o"/>
      <w:lvlJc w:val="left"/>
      <w:pPr>
        <w:ind w:left="3600" w:hanging="360"/>
      </w:pPr>
      <w:rPr>
        <w:rFonts w:ascii="Courier New" w:hAnsi="Courier New" w:hint="default"/>
      </w:rPr>
    </w:lvl>
    <w:lvl w:ilvl="5" w:tplc="B93EF3AC">
      <w:start w:val="1"/>
      <w:numFmt w:val="bullet"/>
      <w:lvlText w:val=""/>
      <w:lvlJc w:val="left"/>
      <w:pPr>
        <w:ind w:left="4320" w:hanging="360"/>
      </w:pPr>
      <w:rPr>
        <w:rFonts w:ascii="Wingdings" w:hAnsi="Wingdings" w:hint="default"/>
      </w:rPr>
    </w:lvl>
    <w:lvl w:ilvl="6" w:tplc="C46E3198">
      <w:start w:val="1"/>
      <w:numFmt w:val="bullet"/>
      <w:lvlText w:val=""/>
      <w:lvlJc w:val="left"/>
      <w:pPr>
        <w:ind w:left="5040" w:hanging="360"/>
      </w:pPr>
      <w:rPr>
        <w:rFonts w:ascii="Symbol" w:hAnsi="Symbol" w:hint="default"/>
      </w:rPr>
    </w:lvl>
    <w:lvl w:ilvl="7" w:tplc="1AD003F2">
      <w:start w:val="1"/>
      <w:numFmt w:val="bullet"/>
      <w:lvlText w:val="o"/>
      <w:lvlJc w:val="left"/>
      <w:pPr>
        <w:ind w:left="5760" w:hanging="360"/>
      </w:pPr>
      <w:rPr>
        <w:rFonts w:ascii="Courier New" w:hAnsi="Courier New" w:hint="default"/>
      </w:rPr>
    </w:lvl>
    <w:lvl w:ilvl="8" w:tplc="DB922F0C">
      <w:start w:val="1"/>
      <w:numFmt w:val="bullet"/>
      <w:lvlText w:val=""/>
      <w:lvlJc w:val="left"/>
      <w:pPr>
        <w:ind w:left="6480" w:hanging="360"/>
      </w:pPr>
      <w:rPr>
        <w:rFonts w:ascii="Wingdings" w:hAnsi="Wingdings" w:hint="default"/>
      </w:rPr>
    </w:lvl>
  </w:abstractNum>
  <w:abstractNum w:abstractNumId="16" w15:restartNumberingAfterBreak="0">
    <w:nsid w:val="3A7E37E5"/>
    <w:multiLevelType w:val="hybridMultilevel"/>
    <w:tmpl w:val="294A4B54"/>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7" w15:restartNumberingAfterBreak="0">
    <w:nsid w:val="47A829D4"/>
    <w:multiLevelType w:val="hybridMultilevel"/>
    <w:tmpl w:val="CC242CB8"/>
    <w:lvl w:ilvl="0" w:tplc="937EE13C">
      <w:start w:val="1"/>
      <w:numFmt w:val="lowerLetter"/>
      <w:lvlText w:val="%1."/>
      <w:lvlJc w:val="left"/>
      <w:pPr>
        <w:ind w:left="360" w:hanging="360"/>
      </w:pPr>
      <w:rPr>
        <w:rFonts w:ascii="Times New Roman" w:eastAsia="Times New Roman" w:hAnsi="Times New Roman" w:hint="default"/>
        <w:spacing w:val="-1"/>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1A43FCE"/>
    <w:multiLevelType w:val="hybridMultilevel"/>
    <w:tmpl w:val="E9AE7212"/>
    <w:lvl w:ilvl="0" w:tplc="FFFFFFFF">
      <w:start w:val="1"/>
      <w:numFmt w:val="lowerLetter"/>
      <w:lvlText w:val="%1."/>
      <w:lvlJc w:val="left"/>
      <w:pPr>
        <w:ind w:left="360" w:hanging="360"/>
      </w:pPr>
      <w:rPr>
        <w:spacing w:val="-1"/>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37B5D8A"/>
    <w:multiLevelType w:val="hybridMultilevel"/>
    <w:tmpl w:val="515A820C"/>
    <w:lvl w:ilvl="0" w:tplc="3AB8275A">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20" w15:restartNumberingAfterBreak="0">
    <w:nsid w:val="55A97B78"/>
    <w:multiLevelType w:val="hybridMultilevel"/>
    <w:tmpl w:val="DB1C4BA8"/>
    <w:lvl w:ilvl="0" w:tplc="F62A3F0C">
      <w:start w:val="1"/>
      <w:numFmt w:val="bullet"/>
      <w:lvlText w:val="·"/>
      <w:lvlJc w:val="left"/>
      <w:pPr>
        <w:ind w:left="720" w:hanging="360"/>
      </w:pPr>
      <w:rPr>
        <w:rFonts w:ascii="Symbol" w:hAnsi="Symbol" w:hint="default"/>
      </w:rPr>
    </w:lvl>
    <w:lvl w:ilvl="1" w:tplc="3E0A75AA">
      <w:start w:val="1"/>
      <w:numFmt w:val="bullet"/>
      <w:lvlText w:val="o"/>
      <w:lvlJc w:val="left"/>
      <w:pPr>
        <w:ind w:left="1440" w:hanging="360"/>
      </w:pPr>
      <w:rPr>
        <w:rFonts w:ascii="Courier New" w:hAnsi="Courier New" w:hint="default"/>
      </w:rPr>
    </w:lvl>
    <w:lvl w:ilvl="2" w:tplc="7BA28FB8">
      <w:start w:val="1"/>
      <w:numFmt w:val="bullet"/>
      <w:lvlText w:val=""/>
      <w:lvlJc w:val="left"/>
      <w:pPr>
        <w:ind w:left="2160" w:hanging="360"/>
      </w:pPr>
      <w:rPr>
        <w:rFonts w:ascii="Wingdings" w:hAnsi="Wingdings" w:hint="default"/>
      </w:rPr>
    </w:lvl>
    <w:lvl w:ilvl="3" w:tplc="EB4E8F40">
      <w:start w:val="1"/>
      <w:numFmt w:val="bullet"/>
      <w:lvlText w:val=""/>
      <w:lvlJc w:val="left"/>
      <w:pPr>
        <w:ind w:left="2880" w:hanging="360"/>
      </w:pPr>
      <w:rPr>
        <w:rFonts w:ascii="Symbol" w:hAnsi="Symbol" w:hint="default"/>
      </w:rPr>
    </w:lvl>
    <w:lvl w:ilvl="4" w:tplc="31063600">
      <w:start w:val="1"/>
      <w:numFmt w:val="bullet"/>
      <w:lvlText w:val="o"/>
      <w:lvlJc w:val="left"/>
      <w:pPr>
        <w:ind w:left="3600" w:hanging="360"/>
      </w:pPr>
      <w:rPr>
        <w:rFonts w:ascii="Courier New" w:hAnsi="Courier New" w:hint="default"/>
      </w:rPr>
    </w:lvl>
    <w:lvl w:ilvl="5" w:tplc="00CAC504">
      <w:start w:val="1"/>
      <w:numFmt w:val="bullet"/>
      <w:lvlText w:val=""/>
      <w:lvlJc w:val="left"/>
      <w:pPr>
        <w:ind w:left="4320" w:hanging="360"/>
      </w:pPr>
      <w:rPr>
        <w:rFonts w:ascii="Wingdings" w:hAnsi="Wingdings" w:hint="default"/>
      </w:rPr>
    </w:lvl>
    <w:lvl w:ilvl="6" w:tplc="AE7427D0">
      <w:start w:val="1"/>
      <w:numFmt w:val="bullet"/>
      <w:lvlText w:val=""/>
      <w:lvlJc w:val="left"/>
      <w:pPr>
        <w:ind w:left="5040" w:hanging="360"/>
      </w:pPr>
      <w:rPr>
        <w:rFonts w:ascii="Symbol" w:hAnsi="Symbol" w:hint="default"/>
      </w:rPr>
    </w:lvl>
    <w:lvl w:ilvl="7" w:tplc="A036A828">
      <w:start w:val="1"/>
      <w:numFmt w:val="bullet"/>
      <w:lvlText w:val="o"/>
      <w:lvlJc w:val="left"/>
      <w:pPr>
        <w:ind w:left="5760" w:hanging="360"/>
      </w:pPr>
      <w:rPr>
        <w:rFonts w:ascii="Courier New" w:hAnsi="Courier New" w:hint="default"/>
      </w:rPr>
    </w:lvl>
    <w:lvl w:ilvl="8" w:tplc="91A033FC">
      <w:start w:val="1"/>
      <w:numFmt w:val="bullet"/>
      <w:lvlText w:val=""/>
      <w:lvlJc w:val="left"/>
      <w:pPr>
        <w:ind w:left="6480" w:hanging="360"/>
      </w:pPr>
      <w:rPr>
        <w:rFonts w:ascii="Wingdings" w:hAnsi="Wingdings" w:hint="default"/>
      </w:rPr>
    </w:lvl>
  </w:abstractNum>
  <w:abstractNum w:abstractNumId="21" w15:restartNumberingAfterBreak="0">
    <w:nsid w:val="55BB2C0D"/>
    <w:multiLevelType w:val="hybridMultilevel"/>
    <w:tmpl w:val="617A0776"/>
    <w:lvl w:ilvl="0" w:tplc="9DEACA38">
      <w:start w:val="1"/>
      <w:numFmt w:val="bullet"/>
      <w:lvlText w:val="·"/>
      <w:lvlJc w:val="left"/>
      <w:pPr>
        <w:ind w:left="720" w:hanging="360"/>
      </w:pPr>
      <w:rPr>
        <w:rFonts w:ascii="Symbol" w:hAnsi="Symbol" w:hint="default"/>
      </w:rPr>
    </w:lvl>
    <w:lvl w:ilvl="1" w:tplc="7264C4EA">
      <w:start w:val="1"/>
      <w:numFmt w:val="bullet"/>
      <w:lvlText w:val="o"/>
      <w:lvlJc w:val="left"/>
      <w:pPr>
        <w:ind w:left="1440" w:hanging="360"/>
      </w:pPr>
      <w:rPr>
        <w:rFonts w:ascii="Courier New" w:hAnsi="Courier New" w:hint="default"/>
      </w:rPr>
    </w:lvl>
    <w:lvl w:ilvl="2" w:tplc="E2BAB9B0">
      <w:start w:val="1"/>
      <w:numFmt w:val="bullet"/>
      <w:lvlText w:val=""/>
      <w:lvlJc w:val="left"/>
      <w:pPr>
        <w:ind w:left="2160" w:hanging="360"/>
      </w:pPr>
      <w:rPr>
        <w:rFonts w:ascii="Wingdings" w:hAnsi="Wingdings" w:hint="default"/>
      </w:rPr>
    </w:lvl>
    <w:lvl w:ilvl="3" w:tplc="35128358">
      <w:start w:val="1"/>
      <w:numFmt w:val="bullet"/>
      <w:lvlText w:val=""/>
      <w:lvlJc w:val="left"/>
      <w:pPr>
        <w:ind w:left="2880" w:hanging="360"/>
      </w:pPr>
      <w:rPr>
        <w:rFonts w:ascii="Symbol" w:hAnsi="Symbol" w:hint="default"/>
      </w:rPr>
    </w:lvl>
    <w:lvl w:ilvl="4" w:tplc="4114EBA8">
      <w:start w:val="1"/>
      <w:numFmt w:val="bullet"/>
      <w:lvlText w:val="o"/>
      <w:lvlJc w:val="left"/>
      <w:pPr>
        <w:ind w:left="3600" w:hanging="360"/>
      </w:pPr>
      <w:rPr>
        <w:rFonts w:ascii="Courier New" w:hAnsi="Courier New" w:hint="default"/>
      </w:rPr>
    </w:lvl>
    <w:lvl w:ilvl="5" w:tplc="35904C30">
      <w:start w:val="1"/>
      <w:numFmt w:val="bullet"/>
      <w:lvlText w:val=""/>
      <w:lvlJc w:val="left"/>
      <w:pPr>
        <w:ind w:left="4320" w:hanging="360"/>
      </w:pPr>
      <w:rPr>
        <w:rFonts w:ascii="Wingdings" w:hAnsi="Wingdings" w:hint="default"/>
      </w:rPr>
    </w:lvl>
    <w:lvl w:ilvl="6" w:tplc="2FAA075E">
      <w:start w:val="1"/>
      <w:numFmt w:val="bullet"/>
      <w:lvlText w:val=""/>
      <w:lvlJc w:val="left"/>
      <w:pPr>
        <w:ind w:left="5040" w:hanging="360"/>
      </w:pPr>
      <w:rPr>
        <w:rFonts w:ascii="Symbol" w:hAnsi="Symbol" w:hint="default"/>
      </w:rPr>
    </w:lvl>
    <w:lvl w:ilvl="7" w:tplc="12B867D2">
      <w:start w:val="1"/>
      <w:numFmt w:val="bullet"/>
      <w:lvlText w:val="o"/>
      <w:lvlJc w:val="left"/>
      <w:pPr>
        <w:ind w:left="5760" w:hanging="360"/>
      </w:pPr>
      <w:rPr>
        <w:rFonts w:ascii="Courier New" w:hAnsi="Courier New" w:hint="default"/>
      </w:rPr>
    </w:lvl>
    <w:lvl w:ilvl="8" w:tplc="524ED4B8">
      <w:start w:val="1"/>
      <w:numFmt w:val="bullet"/>
      <w:lvlText w:val=""/>
      <w:lvlJc w:val="left"/>
      <w:pPr>
        <w:ind w:left="6480" w:hanging="360"/>
      </w:pPr>
      <w:rPr>
        <w:rFonts w:ascii="Wingdings" w:hAnsi="Wingdings" w:hint="default"/>
      </w:rPr>
    </w:lvl>
  </w:abstractNum>
  <w:abstractNum w:abstractNumId="22" w15:restartNumberingAfterBreak="0">
    <w:nsid w:val="57AB0D29"/>
    <w:multiLevelType w:val="hybridMultilevel"/>
    <w:tmpl w:val="2EDE762E"/>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7E324B1"/>
    <w:multiLevelType w:val="hybridMultilevel"/>
    <w:tmpl w:val="4C4C8E30"/>
    <w:lvl w:ilvl="0" w:tplc="2EAA94B6">
      <w:start w:val="1"/>
      <w:numFmt w:val="decimal"/>
      <w:pStyle w:val="ListParagraph"/>
      <w:lvlText w:val="%1."/>
      <w:lvlJc w:val="left"/>
      <w:pPr>
        <w:ind w:left="315" w:hanging="360"/>
      </w:pPr>
      <w:rPr>
        <w:rFonts w:hint="default"/>
      </w:rPr>
    </w:lvl>
    <w:lvl w:ilvl="1" w:tplc="04090019" w:tentative="1">
      <w:start w:val="1"/>
      <w:numFmt w:val="lowerLetter"/>
      <w:lvlText w:val="%2."/>
      <w:lvlJc w:val="left"/>
      <w:pPr>
        <w:ind w:left="1035" w:hanging="360"/>
      </w:pPr>
    </w:lvl>
    <w:lvl w:ilvl="2" w:tplc="0409001B" w:tentative="1">
      <w:start w:val="1"/>
      <w:numFmt w:val="lowerRoman"/>
      <w:lvlText w:val="%3."/>
      <w:lvlJc w:val="right"/>
      <w:pPr>
        <w:ind w:left="1755" w:hanging="180"/>
      </w:pPr>
    </w:lvl>
    <w:lvl w:ilvl="3" w:tplc="0409000F" w:tentative="1">
      <w:start w:val="1"/>
      <w:numFmt w:val="decimal"/>
      <w:lvlText w:val="%4."/>
      <w:lvlJc w:val="left"/>
      <w:pPr>
        <w:ind w:left="2475" w:hanging="360"/>
      </w:pPr>
    </w:lvl>
    <w:lvl w:ilvl="4" w:tplc="04090019" w:tentative="1">
      <w:start w:val="1"/>
      <w:numFmt w:val="lowerLetter"/>
      <w:lvlText w:val="%5."/>
      <w:lvlJc w:val="left"/>
      <w:pPr>
        <w:ind w:left="3195" w:hanging="360"/>
      </w:pPr>
    </w:lvl>
    <w:lvl w:ilvl="5" w:tplc="0409001B" w:tentative="1">
      <w:start w:val="1"/>
      <w:numFmt w:val="lowerRoman"/>
      <w:lvlText w:val="%6."/>
      <w:lvlJc w:val="right"/>
      <w:pPr>
        <w:ind w:left="3915" w:hanging="180"/>
      </w:pPr>
    </w:lvl>
    <w:lvl w:ilvl="6" w:tplc="0409000F" w:tentative="1">
      <w:start w:val="1"/>
      <w:numFmt w:val="decimal"/>
      <w:lvlText w:val="%7."/>
      <w:lvlJc w:val="left"/>
      <w:pPr>
        <w:ind w:left="4635" w:hanging="360"/>
      </w:pPr>
    </w:lvl>
    <w:lvl w:ilvl="7" w:tplc="04090019" w:tentative="1">
      <w:start w:val="1"/>
      <w:numFmt w:val="lowerLetter"/>
      <w:lvlText w:val="%8."/>
      <w:lvlJc w:val="left"/>
      <w:pPr>
        <w:ind w:left="5355" w:hanging="360"/>
      </w:pPr>
    </w:lvl>
    <w:lvl w:ilvl="8" w:tplc="0409001B" w:tentative="1">
      <w:start w:val="1"/>
      <w:numFmt w:val="lowerRoman"/>
      <w:lvlText w:val="%9."/>
      <w:lvlJc w:val="right"/>
      <w:pPr>
        <w:ind w:left="6075" w:hanging="180"/>
      </w:pPr>
    </w:lvl>
  </w:abstractNum>
  <w:num w:numId="1">
    <w:abstractNumId w:val="23"/>
  </w:num>
  <w:num w:numId="2">
    <w:abstractNumId w:val="0"/>
  </w:num>
  <w:num w:numId="3">
    <w:abstractNumId w:val="4"/>
  </w:num>
  <w:num w:numId="4">
    <w:abstractNumId w:val="17"/>
  </w:num>
  <w:num w:numId="5">
    <w:abstractNumId w:val="11"/>
  </w:num>
  <w:num w:numId="6">
    <w:abstractNumId w:val="1"/>
  </w:num>
  <w:num w:numId="7">
    <w:abstractNumId w:val="19"/>
  </w:num>
  <w:num w:numId="8">
    <w:abstractNumId w:val="7"/>
  </w:num>
  <w:num w:numId="9">
    <w:abstractNumId w:val="6"/>
  </w:num>
  <w:num w:numId="10">
    <w:abstractNumId w:val="12"/>
  </w:num>
  <w:num w:numId="11">
    <w:abstractNumId w:val="5"/>
  </w:num>
  <w:num w:numId="12">
    <w:abstractNumId w:val="15"/>
  </w:num>
  <w:num w:numId="13">
    <w:abstractNumId w:val="8"/>
  </w:num>
  <w:num w:numId="14">
    <w:abstractNumId w:val="10"/>
  </w:num>
  <w:num w:numId="15">
    <w:abstractNumId w:val="14"/>
  </w:num>
  <w:num w:numId="16">
    <w:abstractNumId w:val="13"/>
  </w:num>
  <w:num w:numId="17">
    <w:abstractNumId w:val="20"/>
  </w:num>
  <w:num w:numId="18">
    <w:abstractNumId w:val="21"/>
  </w:num>
  <w:num w:numId="19">
    <w:abstractNumId w:val="9"/>
  </w:num>
  <w:num w:numId="20">
    <w:abstractNumId w:val="3"/>
  </w:num>
  <w:num w:numId="21">
    <w:abstractNumId w:val="22"/>
  </w:num>
  <w:num w:numId="22">
    <w:abstractNumId w:val="16"/>
  </w:num>
  <w:num w:numId="23">
    <w:abstractNumId w:val="18"/>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074"/>
    <w:rsid w:val="00017C5B"/>
    <w:rsid w:val="00022F58"/>
    <w:rsid w:val="00033EBF"/>
    <w:rsid w:val="00046076"/>
    <w:rsid w:val="00072301"/>
    <w:rsid w:val="000938D3"/>
    <w:rsid w:val="00093E84"/>
    <w:rsid w:val="000A26B1"/>
    <w:rsid w:val="000B1950"/>
    <w:rsid w:val="000F54A6"/>
    <w:rsid w:val="001100D1"/>
    <w:rsid w:val="00124986"/>
    <w:rsid w:val="0013635F"/>
    <w:rsid w:val="00140413"/>
    <w:rsid w:val="00164ADC"/>
    <w:rsid w:val="00192613"/>
    <w:rsid w:val="00192810"/>
    <w:rsid w:val="00195FFE"/>
    <w:rsid w:val="001A11BE"/>
    <w:rsid w:val="001B0E8A"/>
    <w:rsid w:val="001F7C22"/>
    <w:rsid w:val="0020602F"/>
    <w:rsid w:val="00224905"/>
    <w:rsid w:val="00237AD0"/>
    <w:rsid w:val="00243C82"/>
    <w:rsid w:val="00244E49"/>
    <w:rsid w:val="002550CE"/>
    <w:rsid w:val="00256153"/>
    <w:rsid w:val="00257883"/>
    <w:rsid w:val="00257B2C"/>
    <w:rsid w:val="00273166"/>
    <w:rsid w:val="00295C06"/>
    <w:rsid w:val="002A0FE3"/>
    <w:rsid w:val="002A112B"/>
    <w:rsid w:val="002A2C2B"/>
    <w:rsid w:val="002A6DBA"/>
    <w:rsid w:val="002E33DF"/>
    <w:rsid w:val="00302371"/>
    <w:rsid w:val="0030689D"/>
    <w:rsid w:val="00312065"/>
    <w:rsid w:val="00317F85"/>
    <w:rsid w:val="00321ABE"/>
    <w:rsid w:val="00322211"/>
    <w:rsid w:val="00332172"/>
    <w:rsid w:val="003367F4"/>
    <w:rsid w:val="00345431"/>
    <w:rsid w:val="0036571B"/>
    <w:rsid w:val="00367DDE"/>
    <w:rsid w:val="003747DD"/>
    <w:rsid w:val="003756DB"/>
    <w:rsid w:val="00376933"/>
    <w:rsid w:val="00377F80"/>
    <w:rsid w:val="003A4523"/>
    <w:rsid w:val="003B2B2B"/>
    <w:rsid w:val="003F1FB8"/>
    <w:rsid w:val="003F2126"/>
    <w:rsid w:val="00413CE9"/>
    <w:rsid w:val="004258AC"/>
    <w:rsid w:val="00430074"/>
    <w:rsid w:val="00437104"/>
    <w:rsid w:val="00481680"/>
    <w:rsid w:val="00493DD1"/>
    <w:rsid w:val="004A2A0B"/>
    <w:rsid w:val="004B2347"/>
    <w:rsid w:val="004B6C45"/>
    <w:rsid w:val="004D3644"/>
    <w:rsid w:val="004E424E"/>
    <w:rsid w:val="004F2A29"/>
    <w:rsid w:val="005007EC"/>
    <w:rsid w:val="00503ED3"/>
    <w:rsid w:val="00510B83"/>
    <w:rsid w:val="00522099"/>
    <w:rsid w:val="00566280"/>
    <w:rsid w:val="0057289B"/>
    <w:rsid w:val="005908CC"/>
    <w:rsid w:val="005908F2"/>
    <w:rsid w:val="005B0D8B"/>
    <w:rsid w:val="005D1207"/>
    <w:rsid w:val="005D4B02"/>
    <w:rsid w:val="005E6FF9"/>
    <w:rsid w:val="006315F8"/>
    <w:rsid w:val="00632458"/>
    <w:rsid w:val="00634702"/>
    <w:rsid w:val="00675A84"/>
    <w:rsid w:val="00690922"/>
    <w:rsid w:val="00690C61"/>
    <w:rsid w:val="00694DFC"/>
    <w:rsid w:val="006A0C96"/>
    <w:rsid w:val="006B0886"/>
    <w:rsid w:val="007043E0"/>
    <w:rsid w:val="00721F36"/>
    <w:rsid w:val="0074229C"/>
    <w:rsid w:val="00746C2B"/>
    <w:rsid w:val="007542A8"/>
    <w:rsid w:val="0077250C"/>
    <w:rsid w:val="00772A86"/>
    <w:rsid w:val="0079271A"/>
    <w:rsid w:val="007C2493"/>
    <w:rsid w:val="007D6CC0"/>
    <w:rsid w:val="007D7E5B"/>
    <w:rsid w:val="007F3FC1"/>
    <w:rsid w:val="008033DC"/>
    <w:rsid w:val="008120E5"/>
    <w:rsid w:val="00834796"/>
    <w:rsid w:val="00837C4E"/>
    <w:rsid w:val="0087682A"/>
    <w:rsid w:val="00882D57"/>
    <w:rsid w:val="008D21EE"/>
    <w:rsid w:val="008F25F1"/>
    <w:rsid w:val="00901FE7"/>
    <w:rsid w:val="009101B7"/>
    <w:rsid w:val="00923BD1"/>
    <w:rsid w:val="0094304F"/>
    <w:rsid w:val="009531C2"/>
    <w:rsid w:val="00963C85"/>
    <w:rsid w:val="009813BF"/>
    <w:rsid w:val="00982CE1"/>
    <w:rsid w:val="009B2F19"/>
    <w:rsid w:val="009C625C"/>
    <w:rsid w:val="00A079B7"/>
    <w:rsid w:val="00A17DED"/>
    <w:rsid w:val="00A32A15"/>
    <w:rsid w:val="00A35B0A"/>
    <w:rsid w:val="00A41B73"/>
    <w:rsid w:val="00A45E5B"/>
    <w:rsid w:val="00A46A54"/>
    <w:rsid w:val="00A7594F"/>
    <w:rsid w:val="00A86114"/>
    <w:rsid w:val="00A86AF4"/>
    <w:rsid w:val="00AB1944"/>
    <w:rsid w:val="00AD3A3A"/>
    <w:rsid w:val="00AE1D45"/>
    <w:rsid w:val="00AF27D3"/>
    <w:rsid w:val="00B02EAE"/>
    <w:rsid w:val="00B05DFC"/>
    <w:rsid w:val="00B075F6"/>
    <w:rsid w:val="00B26127"/>
    <w:rsid w:val="00B278D5"/>
    <w:rsid w:val="00B31EA1"/>
    <w:rsid w:val="00B36A0E"/>
    <w:rsid w:val="00B85A70"/>
    <w:rsid w:val="00B87470"/>
    <w:rsid w:val="00B920D2"/>
    <w:rsid w:val="00BA23B2"/>
    <w:rsid w:val="00BA760C"/>
    <w:rsid w:val="00BB68FF"/>
    <w:rsid w:val="00BC40E1"/>
    <w:rsid w:val="00BD2E1D"/>
    <w:rsid w:val="00BE4F3B"/>
    <w:rsid w:val="00BE5B33"/>
    <w:rsid w:val="00BF1977"/>
    <w:rsid w:val="00BF60AB"/>
    <w:rsid w:val="00C114B3"/>
    <w:rsid w:val="00C21FDA"/>
    <w:rsid w:val="00C26DAF"/>
    <w:rsid w:val="00C64BD3"/>
    <w:rsid w:val="00C70411"/>
    <w:rsid w:val="00C77D28"/>
    <w:rsid w:val="00C802D2"/>
    <w:rsid w:val="00C842BA"/>
    <w:rsid w:val="00C84475"/>
    <w:rsid w:val="00C85339"/>
    <w:rsid w:val="00C96E28"/>
    <w:rsid w:val="00CC126D"/>
    <w:rsid w:val="00CD3B04"/>
    <w:rsid w:val="00CD75ED"/>
    <w:rsid w:val="00CE0D57"/>
    <w:rsid w:val="00D1792B"/>
    <w:rsid w:val="00D22BA1"/>
    <w:rsid w:val="00D24C30"/>
    <w:rsid w:val="00D8057F"/>
    <w:rsid w:val="00D90224"/>
    <w:rsid w:val="00DA6A90"/>
    <w:rsid w:val="00DD2962"/>
    <w:rsid w:val="00DE1093"/>
    <w:rsid w:val="00DF55F0"/>
    <w:rsid w:val="00E054B4"/>
    <w:rsid w:val="00E111EF"/>
    <w:rsid w:val="00E14DCC"/>
    <w:rsid w:val="00E2429E"/>
    <w:rsid w:val="00E27343"/>
    <w:rsid w:val="00E461D8"/>
    <w:rsid w:val="00E604AA"/>
    <w:rsid w:val="00E633A5"/>
    <w:rsid w:val="00E85228"/>
    <w:rsid w:val="00E86679"/>
    <w:rsid w:val="00E93717"/>
    <w:rsid w:val="00EB50E3"/>
    <w:rsid w:val="00EC533C"/>
    <w:rsid w:val="00EC60CC"/>
    <w:rsid w:val="00ED1F67"/>
    <w:rsid w:val="00EF3D18"/>
    <w:rsid w:val="00F24521"/>
    <w:rsid w:val="00F35AE0"/>
    <w:rsid w:val="00F85B59"/>
    <w:rsid w:val="00FA2FB0"/>
    <w:rsid w:val="00FB2E9A"/>
    <w:rsid w:val="00FD35FE"/>
    <w:rsid w:val="00FD65BE"/>
    <w:rsid w:val="00FD774B"/>
    <w:rsid w:val="00FE60E8"/>
    <w:rsid w:val="00FF60D0"/>
    <w:rsid w:val="0215020F"/>
    <w:rsid w:val="02235959"/>
    <w:rsid w:val="02938A18"/>
    <w:rsid w:val="02D807DF"/>
    <w:rsid w:val="03DCC73A"/>
    <w:rsid w:val="04C21D7B"/>
    <w:rsid w:val="081D50CD"/>
    <w:rsid w:val="0845BABE"/>
    <w:rsid w:val="08795CC7"/>
    <w:rsid w:val="0944377D"/>
    <w:rsid w:val="0A84BE0A"/>
    <w:rsid w:val="0B93753D"/>
    <w:rsid w:val="0D507705"/>
    <w:rsid w:val="0DE76BBB"/>
    <w:rsid w:val="0E866E4D"/>
    <w:rsid w:val="0E972C33"/>
    <w:rsid w:val="0F11D7A0"/>
    <w:rsid w:val="0F455AEC"/>
    <w:rsid w:val="14BF7E8A"/>
    <w:rsid w:val="14DB03CC"/>
    <w:rsid w:val="14DB7FB0"/>
    <w:rsid w:val="14ED3326"/>
    <w:rsid w:val="14F4CD3E"/>
    <w:rsid w:val="1559784F"/>
    <w:rsid w:val="16CF8B8A"/>
    <w:rsid w:val="19A6ED0B"/>
    <w:rsid w:val="1B72553C"/>
    <w:rsid w:val="1E06A355"/>
    <w:rsid w:val="1FF9478C"/>
    <w:rsid w:val="20B0001B"/>
    <w:rsid w:val="20D2F06C"/>
    <w:rsid w:val="22235BE9"/>
    <w:rsid w:val="23EA318E"/>
    <w:rsid w:val="25222127"/>
    <w:rsid w:val="25671816"/>
    <w:rsid w:val="262A1DE6"/>
    <w:rsid w:val="267E22A4"/>
    <w:rsid w:val="2807809F"/>
    <w:rsid w:val="2C9D2AF5"/>
    <w:rsid w:val="3015CABC"/>
    <w:rsid w:val="3083EF7D"/>
    <w:rsid w:val="32C44177"/>
    <w:rsid w:val="3310F31B"/>
    <w:rsid w:val="33C7ABAA"/>
    <w:rsid w:val="37FFBCC1"/>
    <w:rsid w:val="384D86A9"/>
    <w:rsid w:val="3C054301"/>
    <w:rsid w:val="3E4A2968"/>
    <w:rsid w:val="3FF7C850"/>
    <w:rsid w:val="43E091FB"/>
    <w:rsid w:val="44F74AA1"/>
    <w:rsid w:val="46195C11"/>
    <w:rsid w:val="48CDC175"/>
    <w:rsid w:val="495D3881"/>
    <w:rsid w:val="4D5CF38D"/>
    <w:rsid w:val="4E585BE4"/>
    <w:rsid w:val="4E68D89E"/>
    <w:rsid w:val="4F0F1473"/>
    <w:rsid w:val="4F43CCAA"/>
    <w:rsid w:val="50D8AC9F"/>
    <w:rsid w:val="53A1801E"/>
    <w:rsid w:val="56B3469B"/>
    <w:rsid w:val="56B94D57"/>
    <w:rsid w:val="56ECF700"/>
    <w:rsid w:val="57AB6A44"/>
    <w:rsid w:val="57BF60C2"/>
    <w:rsid w:val="58A1EEC3"/>
    <w:rsid w:val="599B95F0"/>
    <w:rsid w:val="5CDA3854"/>
    <w:rsid w:val="5D5F0714"/>
    <w:rsid w:val="5EA700B6"/>
    <w:rsid w:val="5EC2EC07"/>
    <w:rsid w:val="62A35556"/>
    <w:rsid w:val="630EA6D1"/>
    <w:rsid w:val="63108CBB"/>
    <w:rsid w:val="6732A802"/>
    <w:rsid w:val="680A8FA9"/>
    <w:rsid w:val="6891B156"/>
    <w:rsid w:val="68A95E67"/>
    <w:rsid w:val="698F85F5"/>
    <w:rsid w:val="6EFD567F"/>
    <w:rsid w:val="7240AD0A"/>
    <w:rsid w:val="7323065E"/>
    <w:rsid w:val="737795EC"/>
    <w:rsid w:val="73DDDD2A"/>
    <w:rsid w:val="742AC2A6"/>
    <w:rsid w:val="76CC5375"/>
    <w:rsid w:val="776986A5"/>
    <w:rsid w:val="7C7F4AB2"/>
    <w:rsid w:val="7CA73184"/>
    <w:rsid w:val="7D075339"/>
    <w:rsid w:val="7DB2F8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5A464F"/>
  <w15:chartTrackingRefBased/>
  <w15:docId w15:val="{0795A67B-4A56-4094-BD38-BC51FBC51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074"/>
  </w:style>
  <w:style w:type="paragraph" w:styleId="Heading1">
    <w:name w:val="heading 1"/>
    <w:basedOn w:val="Normal"/>
    <w:next w:val="Normal"/>
    <w:link w:val="Heading1Char"/>
    <w:uiPriority w:val="9"/>
    <w:qFormat/>
    <w:rsid w:val="002249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2490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0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30074"/>
    <w:pPr>
      <w:numPr>
        <w:numId w:val="1"/>
      </w:numPr>
      <w:spacing w:after="0"/>
      <w:contextualSpacing/>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430074"/>
    <w:rPr>
      <w:rFonts w:ascii="Times New Roman" w:eastAsia="Times New Roman" w:hAnsi="Times New Roman" w:cs="Times New Roman"/>
      <w:sz w:val="24"/>
      <w:szCs w:val="24"/>
    </w:rPr>
  </w:style>
  <w:style w:type="paragraph" w:styleId="NoSpacing">
    <w:name w:val="No Spacing"/>
    <w:uiPriority w:val="1"/>
    <w:qFormat/>
    <w:rsid w:val="00430074"/>
    <w:pPr>
      <w:spacing w:after="0" w:line="240" w:lineRule="auto"/>
    </w:pPr>
    <w:rPr>
      <w:rFonts w:ascii="Calibri" w:eastAsia="Calibri" w:hAnsi="Calibri" w:cs="Times New Roman"/>
      <w:sz w:val="24"/>
    </w:rPr>
  </w:style>
  <w:style w:type="paragraph" w:customStyle="1" w:styleId="Normal0">
    <w:name w:val="Normal_0"/>
    <w:basedOn w:val="Normal"/>
    <w:rsid w:val="00430074"/>
    <w:pPr>
      <w:spacing w:after="0" w:line="240" w:lineRule="auto"/>
    </w:pPr>
    <w:rPr>
      <w:rFonts w:ascii="Helvetica" w:eastAsia="Helvetica" w:hAnsi="Helvetica" w:cs="Helvetica"/>
      <w:color w:val="000000"/>
      <w:sz w:val="20"/>
      <w:szCs w:val="20"/>
    </w:rPr>
  </w:style>
  <w:style w:type="character" w:styleId="CommentReference">
    <w:name w:val="annotation reference"/>
    <w:basedOn w:val="DefaultParagraphFont"/>
    <w:uiPriority w:val="99"/>
    <w:semiHidden/>
    <w:unhideWhenUsed/>
    <w:rsid w:val="00430074"/>
    <w:rPr>
      <w:sz w:val="16"/>
      <w:szCs w:val="16"/>
    </w:rPr>
  </w:style>
  <w:style w:type="paragraph" w:styleId="CommentText">
    <w:name w:val="annotation text"/>
    <w:basedOn w:val="Normal"/>
    <w:link w:val="CommentTextChar"/>
    <w:uiPriority w:val="99"/>
    <w:semiHidden/>
    <w:unhideWhenUsed/>
    <w:rsid w:val="00430074"/>
    <w:pPr>
      <w:spacing w:after="5" w:line="240" w:lineRule="auto"/>
      <w:ind w:left="40" w:hanging="10"/>
    </w:pPr>
    <w:rPr>
      <w:rFonts w:ascii="Times New Roman" w:eastAsia="Times New Roman" w:hAnsi="Times New Roman" w:cs="Times New Roman"/>
      <w:color w:val="000000"/>
      <w:sz w:val="20"/>
      <w:szCs w:val="20"/>
    </w:rPr>
  </w:style>
  <w:style w:type="character" w:customStyle="1" w:styleId="CommentTextChar">
    <w:name w:val="Comment Text Char"/>
    <w:basedOn w:val="DefaultParagraphFont"/>
    <w:link w:val="CommentText"/>
    <w:uiPriority w:val="99"/>
    <w:semiHidden/>
    <w:rsid w:val="00430074"/>
    <w:rPr>
      <w:rFonts w:ascii="Times New Roman" w:eastAsia="Times New Roman" w:hAnsi="Times New Roman" w:cs="Times New Roman"/>
      <w:color w:val="000000"/>
      <w:sz w:val="20"/>
      <w:szCs w:val="20"/>
    </w:rPr>
  </w:style>
  <w:style w:type="paragraph" w:styleId="Header">
    <w:name w:val="header"/>
    <w:basedOn w:val="Normal"/>
    <w:link w:val="HeaderChar"/>
    <w:uiPriority w:val="99"/>
    <w:unhideWhenUsed/>
    <w:rsid w:val="00C77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D28"/>
  </w:style>
  <w:style w:type="paragraph" w:styleId="Footer">
    <w:name w:val="footer"/>
    <w:basedOn w:val="Normal"/>
    <w:link w:val="FooterChar"/>
    <w:uiPriority w:val="99"/>
    <w:unhideWhenUsed/>
    <w:rsid w:val="00C77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D28"/>
  </w:style>
  <w:style w:type="paragraph" w:styleId="Revision">
    <w:name w:val="Revision"/>
    <w:hidden/>
    <w:uiPriority w:val="99"/>
    <w:semiHidden/>
    <w:rsid w:val="00237AD0"/>
    <w:pPr>
      <w:spacing w:after="0" w:line="240" w:lineRule="auto"/>
    </w:pPr>
  </w:style>
  <w:style w:type="paragraph" w:styleId="NormalWeb">
    <w:name w:val="Normal (Web)"/>
    <w:basedOn w:val="Normal"/>
    <w:uiPriority w:val="99"/>
    <w:unhideWhenUsed/>
    <w:rsid w:val="00237AD0"/>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2550CE"/>
    <w:pPr>
      <w:spacing w:after="160"/>
      <w:ind w:left="0" w:firstLine="0"/>
    </w:pPr>
    <w:rPr>
      <w:rFonts w:asciiTheme="minorHAnsi" w:eastAsiaTheme="minorHAnsi" w:hAnsiTheme="minorHAnsi" w:cstheme="minorBidi"/>
      <w:b/>
      <w:bCs/>
      <w:color w:val="auto"/>
    </w:rPr>
  </w:style>
  <w:style w:type="character" w:customStyle="1" w:styleId="CommentSubjectChar">
    <w:name w:val="Comment Subject Char"/>
    <w:basedOn w:val="CommentTextChar"/>
    <w:link w:val="CommentSubject"/>
    <w:uiPriority w:val="99"/>
    <w:semiHidden/>
    <w:rsid w:val="002550CE"/>
    <w:rPr>
      <w:rFonts w:ascii="Times New Roman" w:eastAsia="Times New Roman" w:hAnsi="Times New Roman" w:cs="Times New Roman"/>
      <w:b/>
      <w:bCs/>
      <w:color w:val="000000"/>
      <w:sz w:val="20"/>
      <w:szCs w:val="20"/>
    </w:rPr>
  </w:style>
  <w:style w:type="character" w:customStyle="1" w:styleId="Heading1Char">
    <w:name w:val="Heading 1 Char"/>
    <w:basedOn w:val="DefaultParagraphFont"/>
    <w:link w:val="Heading1"/>
    <w:uiPriority w:val="9"/>
    <w:rsid w:val="0022490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24905"/>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224905"/>
    <w:rPr>
      <w:color w:val="0563C1" w:themeColor="hyperlink"/>
      <w:u w:val="single"/>
    </w:rPr>
  </w:style>
  <w:style w:type="character" w:styleId="UnresolvedMention">
    <w:name w:val="Unresolved Mention"/>
    <w:basedOn w:val="DefaultParagraphFont"/>
    <w:uiPriority w:val="99"/>
    <w:unhideWhenUsed/>
    <w:rsid w:val="00A7594F"/>
    <w:rPr>
      <w:color w:val="605E5C"/>
      <w:shd w:val="clear" w:color="auto" w:fill="E1DFDD"/>
    </w:rPr>
  </w:style>
  <w:style w:type="character" w:styleId="Mention">
    <w:name w:val="Mention"/>
    <w:basedOn w:val="DefaultParagraphFont"/>
    <w:uiPriority w:val="99"/>
    <w:unhideWhenUsed/>
    <w:rsid w:val="00A7594F"/>
    <w:rPr>
      <w:color w:val="2B579A"/>
      <w:shd w:val="clear" w:color="auto" w:fill="E1DFDD"/>
    </w:rPr>
  </w:style>
  <w:style w:type="paragraph" w:styleId="BalloonText">
    <w:name w:val="Balloon Text"/>
    <w:basedOn w:val="Normal"/>
    <w:link w:val="BalloonTextChar"/>
    <w:uiPriority w:val="99"/>
    <w:semiHidden/>
    <w:unhideWhenUsed/>
    <w:rsid w:val="009430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30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594155">
      <w:bodyDiv w:val="1"/>
      <w:marLeft w:val="0"/>
      <w:marRight w:val="0"/>
      <w:marTop w:val="0"/>
      <w:marBottom w:val="0"/>
      <w:divBdr>
        <w:top w:val="none" w:sz="0" w:space="0" w:color="auto"/>
        <w:left w:val="none" w:sz="0" w:space="0" w:color="auto"/>
        <w:bottom w:val="none" w:sz="0" w:space="0" w:color="auto"/>
        <w:right w:val="none" w:sz="0" w:space="0" w:color="auto"/>
      </w:divBdr>
    </w:div>
    <w:div w:id="1845509053">
      <w:bodyDiv w:val="1"/>
      <w:marLeft w:val="0"/>
      <w:marRight w:val="0"/>
      <w:marTop w:val="0"/>
      <w:marBottom w:val="0"/>
      <w:divBdr>
        <w:top w:val="none" w:sz="0" w:space="0" w:color="auto"/>
        <w:left w:val="none" w:sz="0" w:space="0" w:color="auto"/>
        <w:bottom w:val="none" w:sz="0" w:space="0" w:color="auto"/>
        <w:right w:val="none" w:sz="0" w:space="0" w:color="auto"/>
      </w:divBdr>
      <w:divsChild>
        <w:div w:id="238442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es.ed.gov/ncee/wwc/" TargetMode="External"/><Relationship Id="rId21" Type="http://schemas.openxmlformats.org/officeDocument/2006/relationships/hyperlink" Target="https://www.cdc.gov/drugoverdose/strategies/resources.html" TargetMode="External"/><Relationship Id="rId42" Type="http://schemas.openxmlformats.org/officeDocument/2006/relationships/hyperlink" Target="https://www.cdc.gov/alcohol/fact-sheets/outlet-density-measurement.htm" TargetMode="External"/><Relationship Id="rId47" Type="http://schemas.openxmlformats.org/officeDocument/2006/relationships/hyperlink" Target="https://www.cdc.gov/violenceprevention/pdf/sv-prevention-technical-package.pdf" TargetMode="External"/><Relationship Id="rId63" Type="http://schemas.openxmlformats.org/officeDocument/2006/relationships/hyperlink" Target="https://www.cdc.gov/tobacco/multimedia/index.htm" TargetMode="External"/><Relationship Id="rId68" Type="http://schemas.openxmlformats.org/officeDocument/2006/relationships/hyperlink" Target="https://www.cdc.gov/drugoverdose/policy/index.html" TargetMode="External"/><Relationship Id="rId2" Type="http://schemas.openxmlformats.org/officeDocument/2006/relationships/numbering" Target="numbering.xml"/><Relationship Id="rId16" Type="http://schemas.openxmlformats.org/officeDocument/2006/relationships/hyperlink" Target="https://www.cdc.gov/healthyyouth/hecat/" TargetMode="External"/><Relationship Id="rId29" Type="http://schemas.openxmlformats.org/officeDocument/2006/relationships/hyperlink" Target="https://www.cdc.gov/alcohol/fact-sheets/binge-drinking.htm" TargetMode="External"/><Relationship Id="rId11" Type="http://schemas.openxmlformats.org/officeDocument/2006/relationships/footer" Target="footer2.xml"/><Relationship Id="rId24" Type="http://schemas.openxmlformats.org/officeDocument/2006/relationships/hyperlink" Target="https://www.cdcfoundation.org/sites/default/files/files/PHAST_Web_Toolkit_Pilot_Version_2.0_For_Dissemination.pdf" TargetMode="External"/><Relationship Id="rId32" Type="http://schemas.openxmlformats.org/officeDocument/2006/relationships/hyperlink" Target="https://www.stopalcoholabuse.gov/Default.aspx" TargetMode="External"/><Relationship Id="rId37" Type="http://schemas.openxmlformats.org/officeDocument/2006/relationships/hyperlink" Target="https://www.thecommunityguide.org/task-force-findings" TargetMode="External"/><Relationship Id="rId40" Type="http://schemas.openxmlformats.org/officeDocument/2006/relationships/hyperlink" Target="http://alcohol-psr.changelabsolutions.org/" TargetMode="External"/><Relationship Id="rId45" Type="http://schemas.openxmlformats.org/officeDocument/2006/relationships/hyperlink" Target="https://www.cdc.gov/violenceprevention/pdf/ipv-technicalpackages.pdf" TargetMode="External"/><Relationship Id="rId53" Type="http://schemas.openxmlformats.org/officeDocument/2006/relationships/hyperlink" Target="https://www.cdc.gov/tobacco/basic_information/e-cigarettes/Quick-Facts-on-the-Risks-of-E-cigarettes-for-Kids-Teens-and-Young-Adults.html" TargetMode="External"/><Relationship Id="rId58" Type="http://schemas.openxmlformats.org/officeDocument/2006/relationships/hyperlink" Target="https://www.cdc.gov/tobacco/stateandcommunity/best-practices-youth-engagement/pdfs/best-practices-youth-engagement-user-guide.pdf" TargetMode="External"/><Relationship Id="rId66" Type="http://schemas.openxmlformats.org/officeDocument/2006/relationships/hyperlink" Target="https://www.cdc.gov/rxawareness/index.html"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cdc.gov/tobacco/stateandcommunity/bp-health-communications/index.htm" TargetMode="External"/><Relationship Id="rId19" Type="http://schemas.openxmlformats.org/officeDocument/2006/relationships/hyperlink" Target="https://www.cdc.gov/healthyyouth/hecat/pdf/scope_and_sequence.pdf" TargetMode="External"/><Relationship Id="rId14" Type="http://schemas.openxmlformats.org/officeDocument/2006/relationships/hyperlink" Target="https://www.drugabuse.gov/sites/default/files/preventingdruguse_2.pdf" TargetMode="External"/><Relationship Id="rId22" Type="http://schemas.openxmlformats.org/officeDocument/2006/relationships/hyperlink" Target="https://www.hidtaprogram.org/ors.php" TargetMode="External"/><Relationship Id="rId27" Type="http://schemas.openxmlformats.org/officeDocument/2006/relationships/hyperlink" Target="https://www.cdc.gov/alcohol/fact-sheets/prevention.htm" TargetMode="External"/><Relationship Id="rId30" Type="http://schemas.openxmlformats.org/officeDocument/2006/relationships/hyperlink" Target="https://www.cdc.gov/cdi/" TargetMode="External"/><Relationship Id="rId35" Type="http://schemas.openxmlformats.org/officeDocument/2006/relationships/hyperlink" Target="https://www.stopalcoholabuse.gov/communitiestalk/stateprofiles/fullmap.aspx" TargetMode="External"/><Relationship Id="rId43" Type="http://schemas.openxmlformats.org/officeDocument/2006/relationships/hyperlink" Target="https://www.cadca.org/resources/strategizer-57-reducing-alcohol-related-harms-through-commercial-host-liability" TargetMode="External"/><Relationship Id="rId48" Type="http://schemas.openxmlformats.org/officeDocument/2006/relationships/hyperlink" Target="https://www.cdc.gov/violenceprevention/pdf/can-prevention-technical-package.pdf" TargetMode="External"/><Relationship Id="rId56" Type="http://schemas.openxmlformats.org/officeDocument/2006/relationships/hyperlink" Target="https://www.aap.org/en/patient-care/tobacco-control-and-prevention/youth-tobacco-cessation/" TargetMode="External"/><Relationship Id="rId64" Type="http://schemas.openxmlformats.org/officeDocument/2006/relationships/hyperlink" Target="https://www.cdc.gov/training/development/evaluate/training-effectiveness.html" TargetMode="External"/><Relationship Id="rId69" Type="http://schemas.openxmlformats.org/officeDocument/2006/relationships/hyperlink" Target="http://www.preventmedabuse.org/" TargetMode="External"/><Relationship Id="rId8" Type="http://schemas.openxmlformats.org/officeDocument/2006/relationships/header" Target="header1.xml"/><Relationship Id="rId51" Type="http://schemas.openxmlformats.org/officeDocument/2006/relationships/hyperlink" Target="https://www.cdc.gov/violenceprevention/pdf/preventingACES.pdf" TargetMode="External"/><Relationship Id="rId72" Type="http://schemas.openxmlformats.org/officeDocument/2006/relationships/footer" Target="footer6.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www.cdc.gov/healthyyouth/hecat/pdf/HECAT_Module_AOD.pdf" TargetMode="External"/><Relationship Id="rId25" Type="http://schemas.openxmlformats.org/officeDocument/2006/relationships/hyperlink" Target="https://www.samhsa.gov/resource-search/ebp" TargetMode="External"/><Relationship Id="rId33" Type="http://schemas.openxmlformats.org/officeDocument/2006/relationships/hyperlink" Target="https://www.stopalcoholabuse.gov/media/ReportToCongress/2020/report_main/2020_Report_to_Congress.pdf" TargetMode="External"/><Relationship Id="rId38" Type="http://schemas.openxmlformats.org/officeDocument/2006/relationships/hyperlink" Target="https://www.thecommunityguide.org/task-force/about-community-preventive-services-task-force" TargetMode="External"/><Relationship Id="rId46" Type="http://schemas.openxmlformats.org/officeDocument/2006/relationships/hyperlink" Target="https://www.cdc.gov/violenceprevention/pdf/suicideTechnicalPackage.pdf" TargetMode="External"/><Relationship Id="rId59" Type="http://schemas.openxmlformats.org/officeDocument/2006/relationships/hyperlink" Target="https://www.cdc.gov/tobacco/stateandcommunity/best-practices-health-equity/index.htm" TargetMode="External"/><Relationship Id="rId67" Type="http://schemas.openxmlformats.org/officeDocument/2006/relationships/hyperlink" Target="https://www.cdc.gov/drugoverdose/pdf/pubs/2018-evidence-based-strategies.pdf" TargetMode="External"/><Relationship Id="rId20" Type="http://schemas.openxmlformats.org/officeDocument/2006/relationships/hyperlink" Target="http://store.samhsa.gov/product/preventing-marijuana-use-among-youth/PEP21-06-01-001" TargetMode="External"/><Relationship Id="rId41" Type="http://schemas.openxmlformats.org/officeDocument/2006/relationships/hyperlink" Target="https://www.cadca.org/resources/strategizer-55-regulating-alcohol-outlet-density-action-guide" TargetMode="External"/><Relationship Id="rId54" Type="http://schemas.openxmlformats.org/officeDocument/2006/relationships/hyperlink" Target="https://tobaccocontrol.bmj.com/content/early/2021/05/05/tobaccocontrol-2020-055722" TargetMode="External"/><Relationship Id="rId62" Type="http://schemas.openxmlformats.org/officeDocument/2006/relationships/hyperlink" Target="https://nccd.cdc.gov/mcrc/index.aspx" TargetMode="External"/><Relationship Id="rId70" Type="http://schemas.openxmlformats.org/officeDocument/2006/relationships/footer" Target="footer5.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drugabuse.gov/publications/preventing-drug-use-among-children-adolescents/prevention-principles" TargetMode="External"/><Relationship Id="rId23" Type="http://schemas.openxmlformats.org/officeDocument/2006/relationships/hyperlink" Target="https://www.hidtaprogram.org/pdf/2019_cornerstoneReport.pdf" TargetMode="External"/><Relationship Id="rId28" Type="http://schemas.openxmlformats.org/officeDocument/2006/relationships/hyperlink" Target="https://www.cdc.gov/alcohol/fact-sheets/underage-drinking.htm" TargetMode="External"/><Relationship Id="rId36" Type="http://schemas.openxmlformats.org/officeDocument/2006/relationships/hyperlink" Target="https://www.thecommunityguide.org/topic/excessive-alcohol-consumption" TargetMode="External"/><Relationship Id="rId49" Type="http://schemas.openxmlformats.org/officeDocument/2006/relationships/hyperlink" Target="https://vetoviolence.cdc.gov/apps/violence-prevention-practice/" TargetMode="External"/><Relationship Id="rId57" Type="http://schemas.openxmlformats.org/officeDocument/2006/relationships/hyperlink" Target="http://tobaccocontrolnetwork.org/tcn-members/" TargetMode="External"/><Relationship Id="rId10" Type="http://schemas.openxmlformats.org/officeDocument/2006/relationships/footer" Target="footer1.xml"/><Relationship Id="rId31" Type="http://schemas.openxmlformats.org/officeDocument/2006/relationships/hyperlink" Target="https://www.cdc.gov/places/index.html" TargetMode="External"/><Relationship Id="rId44" Type="http://schemas.openxmlformats.org/officeDocument/2006/relationships/hyperlink" Target="https://www.cdc.gov/violenceprevention/pdf/yv-technicalpackage.pdf" TargetMode="External"/><Relationship Id="rId52" Type="http://schemas.openxmlformats.org/officeDocument/2006/relationships/hyperlink" Target="http://here/" TargetMode="External"/><Relationship Id="rId60" Type="http://schemas.openxmlformats.org/officeDocument/2006/relationships/hyperlink" Target="https://www.cdc.gov/tobacco/stateandcommunity/best-practices-cessation/index.html" TargetMode="External"/><Relationship Id="rId65" Type="http://schemas.openxmlformats.org/officeDocument/2006/relationships/footer" Target="footer4.xml"/><Relationship Id="rId73"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www.cdc.gov/healthyyouth/hecat/pdf/HECAT_Module_T.pdf" TargetMode="External"/><Relationship Id="rId39" Type="http://schemas.openxmlformats.org/officeDocument/2006/relationships/hyperlink" Target="https://wwwn.cdc.gov/psr/NationalSummary/NSARH.aspx" TargetMode="External"/><Relationship Id="rId34" Type="http://schemas.openxmlformats.org/officeDocument/2006/relationships/hyperlink" Target="https://www.stopalcoholabuse.gov/media/ReportToCongress/2020/report_main/2020_State_Perf_Best_Pract_Report.pdf" TargetMode="External"/><Relationship Id="rId50" Type="http://schemas.openxmlformats.org/officeDocument/2006/relationships/hyperlink" Target="https://www.cdc.gov/violenceprevention/youthviolence/resources.html" TargetMode="External"/><Relationship Id="rId55" Type="http://schemas.openxmlformats.org/officeDocument/2006/relationships/hyperlink" Target="https://www.cdc.gov/tobacco/basic_information/e-cigarettes/pdfs/OSH-E-Cigarettes-and-Youth-What-Parents-Need-to-Know-508.pdf" TargetMode="External"/><Relationship Id="rId7" Type="http://schemas.openxmlformats.org/officeDocument/2006/relationships/endnotes" Target="endnotes.xml"/><Relationship Id="rId71" Type="http://schemas.openxmlformats.org/officeDocument/2006/relationships/hyperlink" Target="https://www.hidtaprogram.org/pdf/cornerstone_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40A31-7157-41F5-A6B4-667B3408E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4029</Words>
  <Characters>22968</Characters>
  <Application>Microsoft Office Word</Application>
  <DocSecurity>0</DocSecurity>
  <Lines>191</Lines>
  <Paragraphs>53</Paragraphs>
  <ScaleCrop>false</ScaleCrop>
  <Company/>
  <LinksUpToDate>false</LinksUpToDate>
  <CharactersWithSpaces>26944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Heirendt, Wendy J. (CDC/DDNID/NCIPC/DOP)</dc:creator>
  <cp:keywords/>
  <dc:description/>
  <cp:lastModifiedBy>Heirendt, Wendy J. (CDC/DDNID/NCIPC/DOP)</cp:lastModifiedBy>
  <cp:revision>3</cp:revision>
  <cp:lastPrinted>2021-12-03T15:12:00Z</cp:lastPrinted>
  <dcterms:created xsi:type="dcterms:W3CDTF">2022-01-26T15:09:00Z</dcterms:created>
  <dcterms:modified xsi:type="dcterms:W3CDTF">2022-01-31T16:11:00Z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2021-10-29T21:11:44Z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a65689f2-8be7-4d1c-8b05-ec1963824194</vt:lpwstr>
  </property>
  <property fmtid="{D5CDD505-2E9C-101B-9397-08002B2CF9AE}" pid="8" name="MSIP_Label_7b94a7b8-f06c-4dfe-bdcc-9b548fd58c31_ContentBits">
    <vt:lpwstr>0</vt:lpwstr>
  </property>
</Properties>
</file>