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1E5" w:rsidRPr="00AE01E5" w:rsidRDefault="00AE01E5" w:rsidP="00AE01E5">
      <w:pPr>
        <w:spacing w:after="0" w:line="240" w:lineRule="auto"/>
        <w:jc w:val="center"/>
        <w:rPr>
          <w:rFonts w:ascii="Times New Roman" w:eastAsia="Times New Roman" w:hAnsi="Times New Roman" w:cs="Times New Roman"/>
          <w:b/>
          <w:sz w:val="24"/>
          <w:szCs w:val="24"/>
        </w:rPr>
      </w:pPr>
      <w:r w:rsidRPr="00AE01E5">
        <w:rPr>
          <w:rFonts w:ascii="Times New Roman" w:eastAsia="Times New Roman" w:hAnsi="Times New Roman" w:cs="Times New Roman"/>
          <w:b/>
          <w:sz w:val="24"/>
          <w:szCs w:val="24"/>
        </w:rPr>
        <w:t>CRNBAA14-</w:t>
      </w:r>
      <w:r w:rsidR="00F30DDC">
        <w:rPr>
          <w:rFonts w:ascii="Times New Roman" w:eastAsia="Times New Roman" w:hAnsi="Times New Roman" w:cs="Times New Roman"/>
          <w:b/>
          <w:sz w:val="24"/>
          <w:szCs w:val="24"/>
        </w:rPr>
        <w:t>001</w:t>
      </w:r>
      <w:bookmarkStart w:id="0" w:name="_GoBack"/>
      <w:bookmarkEnd w:id="0"/>
    </w:p>
    <w:p w:rsidR="00AE01E5" w:rsidRPr="00AE01E5" w:rsidRDefault="00AE01E5" w:rsidP="00AE01E5">
      <w:pPr>
        <w:spacing w:after="0" w:line="240" w:lineRule="auto"/>
        <w:jc w:val="center"/>
        <w:rPr>
          <w:rFonts w:ascii="Times New Roman" w:eastAsia="Times New Roman" w:hAnsi="Times New Roman" w:cs="Times New Roman"/>
          <w:b/>
          <w:sz w:val="24"/>
          <w:szCs w:val="24"/>
        </w:rPr>
      </w:pPr>
    </w:p>
    <w:p w:rsidR="00AE01E5" w:rsidRPr="00AE01E5" w:rsidRDefault="00AE01E5" w:rsidP="00AE01E5">
      <w:pPr>
        <w:spacing w:after="0" w:line="240" w:lineRule="auto"/>
        <w:jc w:val="center"/>
        <w:rPr>
          <w:rFonts w:ascii="Times New Roman" w:eastAsia="Times New Roman" w:hAnsi="Times New Roman" w:cs="Times New Roman"/>
          <w:b/>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INTRODUCTION: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This publication constitutes a Broad Agency Announcement (BAA) as contemplated in Federal Acquisition Regulation (FAR) 6.102(d)(2) and 35.016, the Department of Defense Grants and Agreements regulations (</w:t>
      </w:r>
      <w:proofErr w:type="spellStart"/>
      <w:r w:rsidRPr="00AE01E5">
        <w:rPr>
          <w:rFonts w:ascii="Times New Roman" w:eastAsia="Times New Roman" w:hAnsi="Times New Roman" w:cs="Times New Roman"/>
          <w:color w:val="000000"/>
          <w:sz w:val="24"/>
          <w:szCs w:val="24"/>
        </w:rPr>
        <w:t>DoDGARS</w:t>
      </w:r>
      <w:proofErr w:type="spellEnd"/>
      <w:r w:rsidRPr="00AE01E5">
        <w:rPr>
          <w:rFonts w:ascii="Times New Roman" w:eastAsia="Times New Roman" w:hAnsi="Times New Roman" w:cs="Times New Roman"/>
          <w:color w:val="000000"/>
          <w:sz w:val="24"/>
          <w:szCs w:val="24"/>
        </w:rPr>
        <w:t xml:space="preserve">) 22.315(a) and </w:t>
      </w:r>
      <w:proofErr w:type="spellStart"/>
      <w:r w:rsidRPr="00AE01E5">
        <w:rPr>
          <w:rFonts w:ascii="Times New Roman" w:eastAsia="Times New Roman" w:hAnsi="Times New Roman" w:cs="Times New Roman"/>
          <w:color w:val="000000"/>
          <w:sz w:val="24"/>
          <w:szCs w:val="24"/>
        </w:rPr>
        <w:t>DoD</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Other Transaction Guide for Prototypes Projects, USD(AT&amp;L), OT Guide, Jan 2001.  A formal Request for Proposals (RFP), solicitation, and/or additional information regarding this announcement will not be issued.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spacing w:after="0" w:line="240" w:lineRule="auto"/>
        <w:rPr>
          <w:rFonts w:ascii="Times New Roman" w:eastAsia="Times New Roman" w:hAnsi="Times New Roman" w:cs="Times New Roman"/>
          <w:b/>
          <w:sz w:val="24"/>
          <w:szCs w:val="24"/>
        </w:rPr>
      </w:pPr>
      <w:r w:rsidRPr="00AE01E5">
        <w:rPr>
          <w:rFonts w:ascii="Times New Roman" w:eastAsia="Times New Roman" w:hAnsi="Times New Roman" w:cs="Times New Roman"/>
          <w:sz w:val="24"/>
          <w:szCs w:val="24"/>
        </w:rPr>
        <w:t>Naval Surface Warfare Center (NSWC) Crane will not issue paper copies of this announcement.  NSWC Crane reserves the right to select for award all some or none of the proposals in response to this announcement.  Crane reserves the right to fund all, some or none of the proposals received under this BAA. Crane provides no funding for direct reimbursement of proposal development costs.  Technical and cost proposals (or any other material) submitted in response to this BAA will not be returned.  All proposals will be treated as sensitive competitive information and to disclose their contents only for the purposes of evaluation.</w:t>
      </w:r>
    </w:p>
    <w:p w:rsidR="00AE01E5" w:rsidRPr="00AE01E5" w:rsidRDefault="00AE01E5" w:rsidP="00AE01E5">
      <w:pPr>
        <w:spacing w:after="0" w:line="240" w:lineRule="auto"/>
        <w:jc w:val="center"/>
        <w:rPr>
          <w:rFonts w:ascii="Times New Roman" w:eastAsia="Times New Roman" w:hAnsi="Times New Roman" w:cs="Times New Roman"/>
          <w:b/>
          <w:sz w:val="24"/>
          <w:szCs w:val="24"/>
        </w:rPr>
      </w:pPr>
    </w:p>
    <w:p w:rsidR="00AE01E5" w:rsidRPr="00AE01E5" w:rsidRDefault="00AE01E5" w:rsidP="00AE01E5">
      <w:pPr>
        <w:numPr>
          <w:ilvl w:val="0"/>
          <w:numId w:val="2"/>
        </w:num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GENERAL INFORMATION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1.  Agency Name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Naval Surface Warfare Center Crane Division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300 HWY 361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Crane, IN 47522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2.  Research Opportunity Number   </w:t>
      </w:r>
      <w:r w:rsidR="00F30DDC">
        <w:rPr>
          <w:rFonts w:ascii="Times New Roman" w:eastAsia="Times New Roman" w:hAnsi="Times New Roman" w:cs="Times New Roman"/>
          <w:b/>
          <w:bCs/>
          <w:color w:val="000000"/>
          <w:sz w:val="24"/>
          <w:szCs w:val="24"/>
        </w:rPr>
        <w:t>CRNBAA14-001</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3.  Response Date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Full Proposal Due: </w:t>
      </w:r>
      <w:r w:rsidR="00F30DDC">
        <w:rPr>
          <w:rFonts w:ascii="Times New Roman" w:eastAsia="Times New Roman" w:hAnsi="Times New Roman" w:cs="Times New Roman"/>
          <w:color w:val="000000"/>
          <w:sz w:val="24"/>
          <w:szCs w:val="24"/>
        </w:rPr>
        <w:t>May 22, 2014</w:t>
      </w:r>
      <w:r w:rsidRPr="00AE01E5">
        <w:rPr>
          <w:rFonts w:ascii="Times New Roman" w:eastAsia="Times New Roman" w:hAnsi="Times New Roman" w:cs="Times New Roman"/>
          <w:color w:val="000000"/>
          <w:sz w:val="24"/>
          <w:szCs w:val="24"/>
        </w:rPr>
        <w:t xml:space="preserve">   </w:t>
      </w:r>
      <w:r w:rsidR="00F30DDC">
        <w:rPr>
          <w:rFonts w:ascii="Times New Roman" w:eastAsia="Times New Roman" w:hAnsi="Times New Roman" w:cs="Times New Roman"/>
          <w:color w:val="000000"/>
          <w:sz w:val="24"/>
          <w:szCs w:val="24"/>
        </w:rPr>
        <w:t xml:space="preserve">15:00 </w:t>
      </w:r>
      <w:r w:rsidRPr="00AE01E5">
        <w:rPr>
          <w:rFonts w:ascii="Times New Roman" w:eastAsia="Times New Roman" w:hAnsi="Times New Roman" w:cs="Times New Roman"/>
          <w:b/>
          <w:bCs/>
          <w:color w:val="000000"/>
          <w:sz w:val="24"/>
          <w:szCs w:val="24"/>
        </w:rPr>
        <w:t>Eastern Daylight Time</w:t>
      </w: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 xml:space="preserve">4.  Business and Technical Point of Contact: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F30DDC" w:rsidP="00AE01E5">
      <w:pPr>
        <w:autoSpaceDE w:val="0"/>
        <w:autoSpaceDN w:val="0"/>
        <w:adjustRightInd w:val="0"/>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Brittany Lyons</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Code </w:t>
      </w:r>
      <w:r w:rsidR="00F30DDC" w:rsidRPr="00AE01E5">
        <w:rPr>
          <w:rFonts w:ascii="Times New Roman" w:eastAsia="Times New Roman" w:hAnsi="Times New Roman" w:cs="Times New Roman"/>
          <w:color w:val="000000"/>
          <w:sz w:val="23"/>
          <w:szCs w:val="23"/>
        </w:rPr>
        <w:t>CXNL BLDG</w:t>
      </w:r>
      <w:r w:rsidRPr="00AE01E5">
        <w:rPr>
          <w:rFonts w:ascii="Times New Roman" w:eastAsia="Times New Roman" w:hAnsi="Times New Roman" w:cs="Times New Roman"/>
          <w:color w:val="000000"/>
          <w:sz w:val="23"/>
          <w:szCs w:val="23"/>
        </w:rPr>
        <w:t>. 64</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Naval Surface Warfare Center Crane Division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300 HWY 361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Crane, IN 47522</w:t>
      </w:r>
    </w:p>
    <w:p w:rsidR="00AE01E5" w:rsidRPr="00AE01E5" w:rsidRDefault="00F30DDC" w:rsidP="00AE01E5">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t xml:space="preserve">Email: </w:t>
      </w:r>
      <w:hyperlink r:id="rId6" w:history="1">
        <w:r w:rsidRPr="000C7ED2">
          <w:rPr>
            <w:rStyle w:val="Hyperlink"/>
            <w:rFonts w:ascii="Times New Roman" w:eastAsia="Times New Roman" w:hAnsi="Times New Roman" w:cs="Times New Roman"/>
            <w:sz w:val="23"/>
            <w:szCs w:val="23"/>
          </w:rPr>
          <w:t>brittany.s.lyons@navy.mil</w:t>
        </w:r>
      </w:hyperlink>
      <w:r>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lastRenderedPageBreak/>
        <w:t>5.  Basic Research Opportunity Titles</w:t>
      </w:r>
    </w:p>
    <w:p w:rsidR="00AE01E5" w:rsidRPr="00AE01E5" w:rsidRDefault="00AE01E5" w:rsidP="00AE01E5">
      <w:pPr>
        <w:spacing w:after="0" w:line="240" w:lineRule="auto"/>
        <w:jc w:val="center"/>
        <w:rPr>
          <w:rFonts w:ascii="Times New Roman" w:eastAsia="Times New Roman" w:hAnsi="Times New Roman" w:cs="Times New Roman"/>
          <w:b/>
          <w:sz w:val="24"/>
          <w:szCs w:val="24"/>
        </w:rPr>
      </w:pPr>
    </w:p>
    <w:p w:rsidR="00AE01E5" w:rsidRPr="00AE01E5" w:rsidRDefault="00AE01E5" w:rsidP="00AE01E5">
      <w:pPr>
        <w:spacing w:after="251" w:line="240" w:lineRule="auto"/>
        <w:rPr>
          <w:rFonts w:ascii="Times New Roman" w:eastAsia="Times New Roman" w:hAnsi="Times New Roman" w:cs="Times New Roman"/>
          <w:b/>
          <w:sz w:val="24"/>
          <w:szCs w:val="24"/>
        </w:rPr>
      </w:pPr>
      <w:r w:rsidRPr="00AE01E5">
        <w:rPr>
          <w:rFonts w:ascii="Times New Roman" w:eastAsia="Times New Roman" w:hAnsi="Times New Roman" w:cs="Times New Roman"/>
          <w:b/>
          <w:sz w:val="24"/>
          <w:szCs w:val="24"/>
        </w:rPr>
        <w:t>* TOF-SIMS Analysis Techniques for Trace Detection of Semiconductor Fabrication Process Contamination</w:t>
      </w:r>
    </w:p>
    <w:p w:rsidR="00AE01E5" w:rsidRPr="00AE01E5" w:rsidRDefault="00AE01E5" w:rsidP="00AE01E5">
      <w:pPr>
        <w:spacing w:after="251" w:line="240" w:lineRule="auto"/>
        <w:rPr>
          <w:rFonts w:ascii="Times New Roman" w:eastAsia="Times New Roman" w:hAnsi="Times New Roman" w:cs="Times New Roman"/>
          <w:b/>
          <w:sz w:val="24"/>
          <w:szCs w:val="24"/>
        </w:rPr>
      </w:pPr>
      <w:proofErr w:type="gramStart"/>
      <w:r w:rsidRPr="00AE01E5">
        <w:rPr>
          <w:rFonts w:ascii="Times New Roman" w:eastAsia="Times New Roman" w:hAnsi="Times New Roman" w:cs="Times New Roman"/>
          <w:b/>
          <w:sz w:val="24"/>
          <w:szCs w:val="24"/>
        </w:rPr>
        <w:t>* Black Box Hardware State Machine Characterization - An Undecidable Problem?</w:t>
      </w:r>
      <w:proofErr w:type="gramEnd"/>
      <w:r w:rsidRPr="00AE01E5">
        <w:rPr>
          <w:rFonts w:ascii="Times New Roman" w:eastAsia="Times New Roman" w:hAnsi="Times New Roman" w:cs="Times New Roman"/>
          <w:b/>
          <w:sz w:val="24"/>
          <w:szCs w:val="24"/>
        </w:rPr>
        <w:t xml:space="preserve"> </w:t>
      </w:r>
    </w:p>
    <w:p w:rsidR="00AE01E5" w:rsidRPr="00AE01E5" w:rsidRDefault="00AE01E5" w:rsidP="00AE01E5">
      <w:pPr>
        <w:spacing w:after="251" w:line="240" w:lineRule="auto"/>
        <w:rPr>
          <w:rFonts w:ascii="Times New Roman" w:eastAsia="Times New Roman" w:hAnsi="Times New Roman" w:cs="Times New Roman"/>
          <w:b/>
          <w:sz w:val="24"/>
          <w:szCs w:val="24"/>
        </w:rPr>
      </w:pPr>
      <w:r w:rsidRPr="00AE01E5">
        <w:rPr>
          <w:rFonts w:ascii="Times New Roman" w:eastAsia="Times New Roman" w:hAnsi="Times New Roman" w:cs="Times New Roman"/>
          <w:b/>
          <w:sz w:val="24"/>
          <w:szCs w:val="24"/>
        </w:rPr>
        <w:t>* Towards more secure transportable media solutions</w:t>
      </w:r>
    </w:p>
    <w:p w:rsidR="00AE01E5" w:rsidRPr="00AE01E5" w:rsidRDefault="00AE01E5" w:rsidP="00AE01E5">
      <w:pPr>
        <w:spacing w:after="251" w:line="240" w:lineRule="auto"/>
        <w:rPr>
          <w:rFonts w:ascii="Times New Roman" w:eastAsia="Times New Roman" w:hAnsi="Times New Roman" w:cs="Times New Roman"/>
          <w:b/>
          <w:sz w:val="24"/>
          <w:szCs w:val="24"/>
        </w:rPr>
      </w:pPr>
      <w:r w:rsidRPr="00AE01E5">
        <w:rPr>
          <w:rFonts w:ascii="Times New Roman" w:eastAsia="Times New Roman" w:hAnsi="Times New Roman" w:cs="Times New Roman"/>
          <w:b/>
          <w:sz w:val="24"/>
          <w:szCs w:val="24"/>
        </w:rPr>
        <w:t>* Exploration of Defense-Related Implications of Time-Varying Nuclear Decay Parameters</w:t>
      </w:r>
    </w:p>
    <w:p w:rsidR="00AE01E5" w:rsidRPr="00AE01E5" w:rsidRDefault="00AE01E5" w:rsidP="00AE01E5">
      <w:pPr>
        <w:spacing w:after="251"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b/>
          <w:sz w:val="24"/>
          <w:szCs w:val="24"/>
        </w:rPr>
        <w:t xml:space="preserve">* Radiation Effects in </w:t>
      </w:r>
      <w:proofErr w:type="spellStart"/>
      <w:r w:rsidRPr="00AE01E5">
        <w:rPr>
          <w:rFonts w:ascii="Times New Roman" w:eastAsia="Times New Roman" w:hAnsi="Times New Roman" w:cs="Times New Roman"/>
          <w:b/>
          <w:sz w:val="24"/>
          <w:szCs w:val="24"/>
        </w:rPr>
        <w:t>Memristive</w:t>
      </w:r>
      <w:proofErr w:type="spellEnd"/>
      <w:r w:rsidRPr="00AE01E5">
        <w:rPr>
          <w:rFonts w:ascii="Times New Roman" w:eastAsia="Times New Roman" w:hAnsi="Times New Roman" w:cs="Times New Roman"/>
          <w:b/>
          <w:sz w:val="24"/>
          <w:szCs w:val="24"/>
        </w:rPr>
        <w:t xml:space="preserve"> Structures</w:t>
      </w:r>
    </w:p>
    <w:p w:rsidR="00AE01E5" w:rsidRPr="00AE01E5" w:rsidRDefault="00AE01E5" w:rsidP="00AE01E5">
      <w:pPr>
        <w:spacing w:after="0" w:line="240" w:lineRule="auto"/>
        <w:rPr>
          <w:rFonts w:ascii="Times New Roman" w:eastAsia="Times New Roman" w:hAnsi="Times New Roman" w:cs="Times New Roman"/>
          <w:b/>
          <w:sz w:val="24"/>
          <w:szCs w:val="24"/>
        </w:rPr>
      </w:pPr>
      <w:r w:rsidRPr="00AE01E5">
        <w:rPr>
          <w:rFonts w:ascii="Times New Roman" w:eastAsia="Times New Roman" w:hAnsi="Times New Roman" w:cs="Times New Roman"/>
          <w:b/>
          <w:bCs/>
          <w:sz w:val="24"/>
          <w:szCs w:val="24"/>
        </w:rPr>
        <w:t>6.  Research Opportunity Descriptions</w:t>
      </w:r>
    </w:p>
    <w:p w:rsidR="00AE01E5" w:rsidRPr="00AE01E5" w:rsidRDefault="00AE01E5" w:rsidP="00AE01E5">
      <w:pPr>
        <w:spacing w:after="251" w:line="240" w:lineRule="auto"/>
        <w:rPr>
          <w:rFonts w:ascii="Times New Roman" w:eastAsia="Times New Roman" w:hAnsi="Times New Roman" w:cs="Times New Roman"/>
          <w:sz w:val="24"/>
          <w:szCs w:val="24"/>
        </w:rPr>
      </w:pPr>
    </w:p>
    <w:p w:rsidR="00AE01E5" w:rsidRPr="00AE01E5" w:rsidRDefault="00AE01E5" w:rsidP="00AE01E5">
      <w:pPr>
        <w:spacing w:after="251"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Naval Surface Warfare Center, Crane Division is interested in receiving proposals for the development of novel solutions/concepts to the areas of interest listed below:   </w:t>
      </w:r>
    </w:p>
    <w:p w:rsidR="00AE01E5" w:rsidRPr="00AE01E5" w:rsidRDefault="00AE01E5" w:rsidP="00AE01E5">
      <w:pPr>
        <w:numPr>
          <w:ilvl w:val="0"/>
          <w:numId w:val="3"/>
        </w:numPr>
        <w:contextualSpacing/>
        <w:rPr>
          <w:rFonts w:ascii="Calibri" w:eastAsia="Times New Roman" w:hAnsi="Calibri" w:cs="Courier New"/>
          <w:bCs/>
          <w:sz w:val="28"/>
          <w:szCs w:val="28"/>
        </w:rPr>
      </w:pPr>
      <w:r w:rsidRPr="00AE01E5">
        <w:rPr>
          <w:rFonts w:ascii="Calibri" w:eastAsia="Times New Roman" w:hAnsi="Calibri" w:cs="Courier New"/>
          <w:b/>
          <w:sz w:val="28"/>
          <w:szCs w:val="28"/>
        </w:rPr>
        <w:t>TOF-SIMS Analysis Techniques for Trace Detection of Semiconductor Fabrication Process Contamination</w:t>
      </w:r>
    </w:p>
    <w:p w:rsidR="00AE01E5" w:rsidRPr="00AE01E5" w:rsidRDefault="00AE01E5" w:rsidP="00AE01E5">
      <w:pPr>
        <w:rPr>
          <w:rFonts w:ascii="Calibri" w:eastAsia="Times New Roman" w:hAnsi="Calibri" w:cs="Courier New"/>
          <w:bCs/>
          <w:sz w:val="24"/>
          <w:szCs w:val="32"/>
        </w:rPr>
      </w:pPr>
      <w:r w:rsidRPr="00AE01E5">
        <w:rPr>
          <w:rFonts w:ascii="Calibri" w:eastAsia="Times New Roman" w:hAnsi="Calibri" w:cs="Courier New"/>
          <w:bCs/>
          <w:sz w:val="24"/>
          <w:szCs w:val="32"/>
        </w:rPr>
        <w:t xml:space="preserve">A key aspect of NSWC Crane’s mission is to ensure the integrity and reliability of microelectronics in </w:t>
      </w:r>
      <w:proofErr w:type="spellStart"/>
      <w:proofErr w:type="gramStart"/>
      <w:r w:rsidRPr="00AE01E5">
        <w:rPr>
          <w:rFonts w:ascii="Calibri" w:eastAsia="Times New Roman" w:hAnsi="Calibri" w:cs="Courier New"/>
          <w:bCs/>
          <w:sz w:val="24"/>
          <w:szCs w:val="32"/>
        </w:rPr>
        <w:t>DoD</w:t>
      </w:r>
      <w:proofErr w:type="spellEnd"/>
      <w:proofErr w:type="gramEnd"/>
      <w:r w:rsidRPr="00AE01E5">
        <w:rPr>
          <w:rFonts w:ascii="Calibri" w:eastAsia="Times New Roman" w:hAnsi="Calibri" w:cs="Courier New"/>
          <w:bCs/>
          <w:sz w:val="24"/>
          <w:szCs w:val="32"/>
        </w:rPr>
        <w:t xml:space="preserve"> systems.  In order to carry out its mission, NSWC Crane conducts electrical characterization and evaluation on a multitude of microelectronics which range from ASICs to solid state memory devices to analog devices and mixed signal devices.  NSWC Crane supports in the development of new microelectronics as well as sustains a myriad of fielded microelectronics through part surveillance and lot acceptance testing.  NSWC Crane also conducts root cause failure analysis on field failures of microelectronics.  Failure analysis is critical to assessment of system reliability and impact to DOD programs.  As semiconductor device feature sizes shrink and device complexity grows the ability to conduct root </w:t>
      </w:r>
      <w:proofErr w:type="gramStart"/>
      <w:r w:rsidRPr="00AE01E5">
        <w:rPr>
          <w:rFonts w:ascii="Calibri" w:eastAsia="Times New Roman" w:hAnsi="Calibri" w:cs="Courier New"/>
          <w:bCs/>
          <w:sz w:val="24"/>
          <w:szCs w:val="32"/>
        </w:rPr>
        <w:t>cause</w:t>
      </w:r>
      <w:proofErr w:type="gramEnd"/>
      <w:r w:rsidRPr="00AE01E5">
        <w:rPr>
          <w:rFonts w:ascii="Calibri" w:eastAsia="Times New Roman" w:hAnsi="Calibri" w:cs="Courier New"/>
          <w:bCs/>
          <w:sz w:val="24"/>
          <w:szCs w:val="32"/>
        </w:rPr>
        <w:t xml:space="preserve"> analysis becomes increasingly more difficult, which requires greater precision and sophistication of the failure analysis tools to be used. </w:t>
      </w:r>
    </w:p>
    <w:p w:rsidR="00AE01E5" w:rsidRPr="00AE01E5" w:rsidRDefault="00AE01E5" w:rsidP="00AE01E5">
      <w:pPr>
        <w:rPr>
          <w:rFonts w:ascii="Calibri" w:eastAsia="Times New Roman" w:hAnsi="Calibri" w:cs="Courier New"/>
          <w:bCs/>
          <w:sz w:val="24"/>
          <w:szCs w:val="32"/>
        </w:rPr>
      </w:pPr>
      <w:r w:rsidRPr="00AE01E5">
        <w:rPr>
          <w:rFonts w:ascii="Calibri" w:eastAsia="Times New Roman" w:hAnsi="Calibri" w:cs="Courier New"/>
          <w:bCs/>
          <w:sz w:val="24"/>
          <w:szCs w:val="32"/>
        </w:rPr>
        <w:t xml:space="preserve">One such tool is a Time of Flight Secondary Ion Mass Spectrometry (TOF-SIMS).  TOF-SIMS is capable of performing surface spectroscopy, surface imaging, depth profiling, and 3D </w:t>
      </w:r>
      <w:proofErr w:type="gramStart"/>
      <w:r w:rsidRPr="00AE01E5">
        <w:rPr>
          <w:rFonts w:ascii="Calibri" w:eastAsia="Times New Roman" w:hAnsi="Calibri" w:cs="Courier New"/>
          <w:bCs/>
          <w:sz w:val="24"/>
          <w:szCs w:val="32"/>
        </w:rPr>
        <w:t>analysis[</w:t>
      </w:r>
      <w:proofErr w:type="gramEnd"/>
      <w:r w:rsidRPr="00AE01E5">
        <w:rPr>
          <w:rFonts w:ascii="Calibri" w:eastAsia="Times New Roman" w:hAnsi="Calibri" w:cs="Courier New"/>
          <w:bCs/>
          <w:sz w:val="24"/>
          <w:szCs w:val="32"/>
        </w:rPr>
        <w:t xml:space="preserve">1]. </w:t>
      </w:r>
    </w:p>
    <w:p w:rsidR="00AE01E5" w:rsidRPr="00AE01E5" w:rsidRDefault="00AE01E5" w:rsidP="00AE01E5">
      <w:pPr>
        <w:rPr>
          <w:rFonts w:ascii="Calibri" w:eastAsia="Times New Roman" w:hAnsi="Calibri" w:cs="Courier New"/>
          <w:bCs/>
          <w:sz w:val="24"/>
          <w:szCs w:val="32"/>
        </w:rPr>
      </w:pPr>
      <w:r>
        <w:rPr>
          <w:rFonts w:ascii="Calibri" w:eastAsia="Times New Roman" w:hAnsi="Calibri" w:cs="Courier New"/>
          <w:noProof/>
          <w:sz w:val="24"/>
          <w:szCs w:val="32"/>
        </w:rPr>
        <w:lastRenderedPageBreak/>
        <w:drawing>
          <wp:inline distT="0" distB="0" distL="0" distR="0">
            <wp:extent cx="4230370" cy="27031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0370" cy="2703195"/>
                    </a:xfrm>
                    <a:prstGeom prst="rect">
                      <a:avLst/>
                    </a:prstGeom>
                    <a:noFill/>
                    <a:ln>
                      <a:noFill/>
                    </a:ln>
                  </pic:spPr>
                </pic:pic>
              </a:graphicData>
            </a:graphic>
          </wp:inline>
        </w:drawing>
      </w:r>
    </w:p>
    <w:p w:rsidR="00AE01E5" w:rsidRPr="00AE01E5" w:rsidRDefault="00AE01E5" w:rsidP="00AE01E5">
      <w:pPr>
        <w:rPr>
          <w:rFonts w:ascii="Calibri" w:eastAsia="Times New Roman" w:hAnsi="Calibri" w:cs="Courier New"/>
          <w:bCs/>
          <w:sz w:val="20"/>
          <w:szCs w:val="32"/>
        </w:rPr>
      </w:pPr>
      <w:r w:rsidRPr="00AE01E5">
        <w:rPr>
          <w:rFonts w:ascii="Calibri" w:eastAsia="Times New Roman" w:hAnsi="Calibri" w:cs="Courier New"/>
          <w:bCs/>
          <w:sz w:val="20"/>
          <w:szCs w:val="32"/>
        </w:rPr>
        <w:t xml:space="preserve"> </w:t>
      </w:r>
      <w:proofErr w:type="gramStart"/>
      <w:r w:rsidRPr="00AE01E5">
        <w:rPr>
          <w:rFonts w:ascii="Calibri" w:eastAsia="Times New Roman" w:hAnsi="Calibri" w:cs="Courier New"/>
          <w:bCs/>
          <w:sz w:val="20"/>
          <w:szCs w:val="32"/>
        </w:rPr>
        <w:t>Figure 1.</w:t>
      </w:r>
      <w:proofErr w:type="gramEnd"/>
      <w:r w:rsidRPr="00AE01E5">
        <w:rPr>
          <w:rFonts w:ascii="Calibri" w:eastAsia="Times New Roman" w:hAnsi="Calibri" w:cs="Courier New"/>
          <w:bCs/>
          <w:sz w:val="20"/>
          <w:szCs w:val="32"/>
        </w:rPr>
        <w:t xml:space="preserve"> In TOF-SIMS sputtered material from the sample surface is captured and undergoes chemical, isotopic, and elemental analysis. </w:t>
      </w:r>
    </w:p>
    <w:p w:rsidR="00AE01E5" w:rsidRPr="00AE01E5" w:rsidRDefault="00AE01E5" w:rsidP="00AE01E5">
      <w:pPr>
        <w:rPr>
          <w:rFonts w:ascii="Calibri" w:eastAsia="Times New Roman" w:hAnsi="Calibri" w:cs="Courier New"/>
          <w:bCs/>
          <w:sz w:val="24"/>
          <w:szCs w:val="32"/>
        </w:rPr>
      </w:pPr>
      <w:r w:rsidRPr="00AE01E5">
        <w:rPr>
          <w:rFonts w:ascii="Calibri" w:eastAsia="Times New Roman" w:hAnsi="Calibri" w:cs="Courier New"/>
          <w:bCs/>
          <w:sz w:val="24"/>
          <w:szCs w:val="32"/>
        </w:rPr>
        <w:t xml:space="preserve">With this grant from NSWC Crane, the awardee can develop analytical techniques using TOF-SIMS to explore the feasibility of detecting semiconductor fabrication contaminants in Commercial off the Shelf (COTS) semiconductor devices.  The ability to detect trace amounts of contaminants unique to particular manufacturer’s devices would have significantly aid NSWC Crane’s ability to assesses the reliability of microelectronics to be used in </w:t>
      </w:r>
      <w:proofErr w:type="spellStart"/>
      <w:r w:rsidRPr="00AE01E5">
        <w:rPr>
          <w:rFonts w:ascii="Calibri" w:eastAsia="Times New Roman" w:hAnsi="Calibri" w:cs="Courier New"/>
          <w:bCs/>
          <w:sz w:val="24"/>
          <w:szCs w:val="32"/>
        </w:rPr>
        <w:t>DoD</w:t>
      </w:r>
      <w:proofErr w:type="spellEnd"/>
      <w:r w:rsidRPr="00AE01E5">
        <w:rPr>
          <w:rFonts w:ascii="Calibri" w:eastAsia="Times New Roman" w:hAnsi="Calibri" w:cs="Courier New"/>
          <w:bCs/>
          <w:sz w:val="24"/>
          <w:szCs w:val="32"/>
        </w:rPr>
        <w:t xml:space="preserve"> systems.  Test samples could be supplied by NSWC Crane for analysis.  </w:t>
      </w:r>
    </w:p>
    <w:p w:rsidR="00AE01E5" w:rsidRPr="00AE01E5" w:rsidRDefault="00AE01E5" w:rsidP="00AE01E5">
      <w:pPr>
        <w:rPr>
          <w:rFonts w:ascii="Calibri" w:eastAsia="Times New Roman" w:hAnsi="Calibri" w:cs="Courier New"/>
          <w:bCs/>
          <w:sz w:val="24"/>
          <w:szCs w:val="32"/>
        </w:rPr>
      </w:pPr>
    </w:p>
    <w:p w:rsidR="00AE01E5" w:rsidRPr="00AE01E5" w:rsidRDefault="00AE01E5" w:rsidP="00AE01E5">
      <w:pPr>
        <w:numPr>
          <w:ilvl w:val="0"/>
          <w:numId w:val="3"/>
        </w:numPr>
        <w:contextualSpacing/>
        <w:rPr>
          <w:rFonts w:ascii="Courier New" w:eastAsia="Times New Roman" w:hAnsi="Courier New" w:cs="Courier New"/>
          <w:b/>
          <w:bCs/>
          <w:sz w:val="28"/>
          <w:szCs w:val="28"/>
        </w:rPr>
      </w:pPr>
      <w:r w:rsidRPr="00AE01E5">
        <w:rPr>
          <w:rFonts w:ascii="Courier New" w:eastAsia="Times New Roman" w:hAnsi="Courier New" w:cs="Courier New"/>
          <w:b/>
          <w:sz w:val="28"/>
          <w:szCs w:val="28"/>
        </w:rPr>
        <w:t xml:space="preserve">Black Box Hardware State Machine Characterization - An Undecidable Problem? </w:t>
      </w:r>
    </w:p>
    <w:p w:rsidR="00AE01E5" w:rsidRPr="00AE01E5" w:rsidRDefault="00AE01E5" w:rsidP="00AE01E5">
      <w:pPr>
        <w:rPr>
          <w:rFonts w:ascii="Helvetica" w:eastAsia="Times New Roman" w:hAnsi="Helvetica" w:cs="Helvetica"/>
          <w:sz w:val="24"/>
          <w:szCs w:val="24"/>
        </w:rPr>
      </w:pP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Naval Surface Warfare Center, Crane Division is interested in basic research into new techniques that will be utilized to evaluate hardware based state machines [1] for unknown and/or unstable states.   </w:t>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Harrison, </w:t>
      </w:r>
      <w:proofErr w:type="spellStart"/>
      <w:r w:rsidRPr="00AE01E5">
        <w:rPr>
          <w:rFonts w:ascii="Calibri" w:eastAsia="Times New Roman" w:hAnsi="Calibri" w:cs="Calibri"/>
          <w:sz w:val="24"/>
          <w:szCs w:val="24"/>
        </w:rPr>
        <w:t>Ruzzo</w:t>
      </w:r>
      <w:proofErr w:type="spellEnd"/>
      <w:r w:rsidRPr="00AE01E5">
        <w:rPr>
          <w:rFonts w:ascii="Calibri" w:eastAsia="Times New Roman" w:hAnsi="Calibri" w:cs="Calibri"/>
          <w:sz w:val="24"/>
          <w:szCs w:val="24"/>
        </w:rPr>
        <w:t xml:space="preserve"> and Ullman [2] discussed whether there is an algorithm that takes an arbitrary initial configuration and answers the following question: is there an arbitrary sequence of commands that adds a generic right into a cell of the access matrix where it has not been in the initial configuration? They showed that there is no such algorithm, thus the problem is undecidable in the general case. They also showed a limitation of the model to commands with only one primitive operation to render the problem decidable.</w:t>
      </w:r>
    </w:p>
    <w:p w:rsidR="00AE01E5" w:rsidRPr="00AE01E5" w:rsidRDefault="00AE01E5" w:rsidP="00AE01E5">
      <w:pPr>
        <w:rPr>
          <w:rFonts w:ascii="Calibri" w:eastAsia="Times New Roman" w:hAnsi="Calibri" w:cs="Calibri"/>
          <w:sz w:val="24"/>
          <w:szCs w:val="24"/>
        </w:rPr>
      </w:pPr>
      <w:r>
        <w:rPr>
          <w:rFonts w:ascii="Calibri" w:eastAsia="Times New Roman" w:hAnsi="Calibri" w:cs="Calibri"/>
          <w:noProof/>
          <w:sz w:val="24"/>
          <w:szCs w:val="24"/>
        </w:rPr>
        <w:lastRenderedPageBreak/>
        <w:drawing>
          <wp:inline distT="0" distB="0" distL="0" distR="0">
            <wp:extent cx="2520315" cy="23056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315" cy="2305685"/>
                    </a:xfrm>
                    <a:prstGeom prst="rect">
                      <a:avLst/>
                    </a:prstGeom>
                    <a:noFill/>
                    <a:ln>
                      <a:noFill/>
                    </a:ln>
                  </pic:spPr>
                </pic:pic>
              </a:graphicData>
            </a:graphic>
          </wp:inline>
        </w:drawing>
      </w:r>
    </w:p>
    <w:p w:rsidR="00AE01E5" w:rsidRPr="00AE01E5" w:rsidRDefault="00AE01E5" w:rsidP="00AE01E5">
      <w:pPr>
        <w:rPr>
          <w:rFonts w:ascii="Calibri" w:eastAsia="Times New Roman" w:hAnsi="Calibri" w:cs="Calibri"/>
          <w:sz w:val="24"/>
          <w:szCs w:val="24"/>
        </w:rPr>
      </w:pPr>
      <w:r>
        <w:rPr>
          <w:rFonts w:ascii="Calibri" w:eastAsia="Times New Roman" w:hAnsi="Calibri" w:cs="Calibri"/>
          <w:noProof/>
          <w:sz w:val="24"/>
          <w:szCs w:val="24"/>
        </w:rPr>
        <w:drawing>
          <wp:inline distT="0" distB="0" distL="0" distR="0">
            <wp:extent cx="2528570" cy="51689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8570" cy="516890"/>
                    </a:xfrm>
                    <a:prstGeom prst="rect">
                      <a:avLst/>
                    </a:prstGeom>
                    <a:noFill/>
                    <a:ln>
                      <a:noFill/>
                    </a:ln>
                  </pic:spPr>
                </pic:pic>
              </a:graphicData>
            </a:graphic>
          </wp:inline>
        </w:drawing>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One common use of state machines in hardware is an IEEE 1149.1 JTAG controller [3]. This five signal (TDI, TCK, TMS, TRST and TDO) interface (fig. 1) is used to support manufacturing, production and system test. Boundary scan is used for PCB connectivity test during production. While the IEEE 1149.1 specifies specific modes, such as “BYPASS” and “IDCODE”, it also allows user defined modes. These custom modes are often proprietary manufacturer’s test or control modes that are undocumented. </w:t>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The IEEE 1149.1 JTAG state machine (fig. 2) utilizes a data and instruction flow path. </w:t>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 </w:t>
      </w:r>
    </w:p>
    <w:p w:rsidR="00AE01E5" w:rsidRPr="00AE01E5" w:rsidRDefault="00AE01E5" w:rsidP="00AE01E5">
      <w:pPr>
        <w:rPr>
          <w:rFonts w:ascii="Calibri" w:eastAsia="Times New Roman" w:hAnsi="Calibri" w:cs="Calibri"/>
          <w:sz w:val="24"/>
          <w:szCs w:val="24"/>
        </w:rPr>
      </w:pPr>
      <w:r>
        <w:rPr>
          <w:rFonts w:ascii="Calibri" w:eastAsia="Times New Roman" w:hAnsi="Calibri" w:cs="Calibri"/>
          <w:noProof/>
          <w:sz w:val="24"/>
          <w:szCs w:val="24"/>
        </w:rPr>
        <w:lastRenderedPageBreak/>
        <w:drawing>
          <wp:inline distT="0" distB="0" distL="0" distR="0">
            <wp:extent cx="4953635" cy="3068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635" cy="3068955"/>
                    </a:xfrm>
                    <a:prstGeom prst="rect">
                      <a:avLst/>
                    </a:prstGeom>
                    <a:noFill/>
                    <a:ln>
                      <a:noFill/>
                    </a:ln>
                  </pic:spPr>
                </pic:pic>
              </a:graphicData>
            </a:graphic>
          </wp:inline>
        </w:drawing>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 </w:t>
      </w:r>
      <w:r w:rsidRPr="00AE01E5">
        <w:rPr>
          <w:rFonts w:ascii="Calibri" w:eastAsia="Times New Roman" w:hAnsi="Calibri" w:cs="Calibri"/>
          <w:sz w:val="20"/>
          <w:szCs w:val="24"/>
        </w:rPr>
        <w:t xml:space="preserve">Figure 2 IEEE 1149.1 JTAG state machine flow </w:t>
      </w:r>
      <w:proofErr w:type="gramStart"/>
      <w:r w:rsidRPr="00AE01E5">
        <w:rPr>
          <w:rFonts w:ascii="Calibri" w:eastAsia="Times New Roman" w:hAnsi="Calibri" w:cs="Calibri"/>
          <w:sz w:val="20"/>
          <w:szCs w:val="24"/>
        </w:rPr>
        <w:t>diagram</w:t>
      </w:r>
      <w:proofErr w:type="gramEnd"/>
      <w:r w:rsidRPr="00AE01E5">
        <w:rPr>
          <w:rFonts w:ascii="Calibri" w:eastAsia="Times New Roman" w:hAnsi="Calibri" w:cs="Calibri"/>
          <w:sz w:val="20"/>
          <w:szCs w:val="24"/>
        </w:rPr>
        <w:t>.</w:t>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A JTAG state machine is used for the purpose of this discussion because there is much open source information in the hacker community including exploits on iPhones and Xbox game controllers. Renowned hacker, Joe Grand demonstrated such capability (fig. 3) at DEFCON [4].</w:t>
      </w:r>
    </w:p>
    <w:p w:rsidR="00AE01E5" w:rsidRPr="00AE01E5" w:rsidRDefault="00AE01E5" w:rsidP="00AE01E5">
      <w:pPr>
        <w:rPr>
          <w:rFonts w:ascii="Calibri" w:eastAsia="Times New Roman" w:hAnsi="Calibri" w:cs="Calibri"/>
          <w:sz w:val="24"/>
          <w:szCs w:val="24"/>
        </w:rPr>
      </w:pPr>
      <w:r>
        <w:rPr>
          <w:rFonts w:ascii="Calibri" w:eastAsia="Times New Roman" w:hAnsi="Calibri" w:cs="Calibri"/>
          <w:noProof/>
          <w:sz w:val="24"/>
          <w:szCs w:val="24"/>
        </w:rPr>
        <w:drawing>
          <wp:inline distT="0" distB="0" distL="0" distR="0">
            <wp:extent cx="2711450" cy="21469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1450" cy="2146935"/>
                    </a:xfrm>
                    <a:prstGeom prst="rect">
                      <a:avLst/>
                    </a:prstGeom>
                    <a:noFill/>
                    <a:ln>
                      <a:noFill/>
                    </a:ln>
                  </pic:spPr>
                </pic:pic>
              </a:graphicData>
            </a:graphic>
          </wp:inline>
        </w:drawing>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 </w:t>
      </w:r>
      <w:r w:rsidRPr="00AE01E5">
        <w:rPr>
          <w:rFonts w:ascii="Calibri" w:eastAsia="Times New Roman" w:hAnsi="Calibri" w:cs="Calibri"/>
          <w:sz w:val="18"/>
          <w:szCs w:val="24"/>
        </w:rPr>
        <w:t xml:space="preserve">Figure 3 The idea is simple: Connect the </w:t>
      </w:r>
      <w:proofErr w:type="spellStart"/>
      <w:r w:rsidRPr="00AE01E5">
        <w:rPr>
          <w:rFonts w:ascii="Calibri" w:eastAsia="Times New Roman" w:hAnsi="Calibri" w:cs="Calibri"/>
          <w:sz w:val="18"/>
          <w:szCs w:val="24"/>
        </w:rPr>
        <w:t>JTAGulator</w:t>
      </w:r>
      <w:proofErr w:type="spellEnd"/>
      <w:r w:rsidRPr="00AE01E5">
        <w:rPr>
          <w:rFonts w:ascii="Calibri" w:eastAsia="Times New Roman" w:hAnsi="Calibri" w:cs="Calibri"/>
          <w:sz w:val="18"/>
          <w:szCs w:val="24"/>
        </w:rPr>
        <w:t xml:space="preserve"> to the test points on the PCB under test, issue a few commands via a serial terminal, and let the </w:t>
      </w:r>
      <w:proofErr w:type="spellStart"/>
      <w:r w:rsidRPr="00AE01E5">
        <w:rPr>
          <w:rFonts w:ascii="Calibri" w:eastAsia="Times New Roman" w:hAnsi="Calibri" w:cs="Calibri"/>
          <w:sz w:val="18"/>
          <w:szCs w:val="24"/>
        </w:rPr>
        <w:t>JTAGulator</w:t>
      </w:r>
      <w:proofErr w:type="spellEnd"/>
      <w:r w:rsidRPr="00AE01E5">
        <w:rPr>
          <w:rFonts w:ascii="Calibri" w:eastAsia="Times New Roman" w:hAnsi="Calibri" w:cs="Calibri"/>
          <w:sz w:val="18"/>
          <w:szCs w:val="24"/>
        </w:rPr>
        <w:t xml:space="preserve"> do the rest. It performs a brute force approach on every permutation of pins, issuing basic JTAG commands – either IDCODE or BYPASS, and looking for a response. If any valid responses are received, the </w:t>
      </w:r>
      <w:proofErr w:type="spellStart"/>
      <w:r w:rsidRPr="00AE01E5">
        <w:rPr>
          <w:rFonts w:ascii="Calibri" w:eastAsia="Times New Roman" w:hAnsi="Calibri" w:cs="Calibri"/>
          <w:sz w:val="18"/>
          <w:szCs w:val="24"/>
        </w:rPr>
        <w:t>JTAGulator</w:t>
      </w:r>
      <w:proofErr w:type="spellEnd"/>
      <w:r w:rsidRPr="00AE01E5">
        <w:rPr>
          <w:rFonts w:ascii="Calibri" w:eastAsia="Times New Roman" w:hAnsi="Calibri" w:cs="Calibri"/>
          <w:sz w:val="18"/>
          <w:szCs w:val="24"/>
        </w:rPr>
        <w:t xml:space="preserve"> displays the found interface’s </w:t>
      </w:r>
      <w:proofErr w:type="spellStart"/>
      <w:r w:rsidRPr="00AE01E5">
        <w:rPr>
          <w:rFonts w:ascii="Calibri" w:eastAsia="Times New Roman" w:hAnsi="Calibri" w:cs="Calibri"/>
          <w:sz w:val="18"/>
          <w:szCs w:val="24"/>
        </w:rPr>
        <w:t>pinout</w:t>
      </w:r>
      <w:proofErr w:type="spellEnd"/>
      <w:r w:rsidRPr="00AE01E5">
        <w:rPr>
          <w:rFonts w:ascii="Calibri" w:eastAsia="Times New Roman" w:hAnsi="Calibri" w:cs="Calibri"/>
          <w:sz w:val="18"/>
          <w:szCs w:val="24"/>
        </w:rPr>
        <w:t>.</w:t>
      </w:r>
    </w:p>
    <w:p w:rsidR="00AE01E5" w:rsidRPr="00AE01E5" w:rsidRDefault="00AE01E5" w:rsidP="00AE01E5">
      <w:pPr>
        <w:rPr>
          <w:rFonts w:ascii="Calibri" w:eastAsia="Times New Roman" w:hAnsi="Calibri" w:cs="Calibri"/>
          <w:sz w:val="24"/>
          <w:szCs w:val="24"/>
        </w:rPr>
      </w:pPr>
      <w:r w:rsidRPr="00AE01E5">
        <w:rPr>
          <w:rFonts w:ascii="Calibri" w:eastAsia="Times New Roman" w:hAnsi="Calibri" w:cs="Calibri"/>
          <w:sz w:val="24"/>
          <w:szCs w:val="24"/>
        </w:rPr>
        <w:t xml:space="preserve">With this grant from NSWC Crane, the awardee would investigate black box and white machines. While a JTAG state machine was discussed, the awardee could use other </w:t>
      </w:r>
      <w:r w:rsidRPr="00AE01E5">
        <w:rPr>
          <w:rFonts w:ascii="Calibri" w:eastAsia="Times New Roman" w:hAnsi="Calibri" w:cs="Calibri"/>
          <w:sz w:val="24"/>
          <w:szCs w:val="24"/>
        </w:rPr>
        <w:lastRenderedPageBreak/>
        <w:t>common hardware such as routers or switches. NSWC Crane engineers could prepare FPGA based state machines for experimentation if requested</w:t>
      </w:r>
    </w:p>
    <w:p w:rsidR="00AE01E5" w:rsidRPr="00AE01E5" w:rsidRDefault="00AE01E5" w:rsidP="00AE01E5">
      <w:pPr>
        <w:rPr>
          <w:rFonts w:ascii="Calibri" w:eastAsia="Times New Roman" w:hAnsi="Calibri" w:cs="Calibri"/>
          <w:sz w:val="24"/>
          <w:szCs w:val="24"/>
        </w:rPr>
      </w:pPr>
    </w:p>
    <w:p w:rsidR="00AE01E5" w:rsidRPr="00AE01E5" w:rsidRDefault="00AE01E5" w:rsidP="00AE01E5">
      <w:pPr>
        <w:numPr>
          <w:ilvl w:val="0"/>
          <w:numId w:val="3"/>
        </w:numPr>
        <w:contextualSpacing/>
        <w:rPr>
          <w:rFonts w:ascii="Helvetica" w:eastAsia="Times New Roman" w:hAnsi="Helvetica" w:cs="Helvetica"/>
          <w:sz w:val="24"/>
          <w:szCs w:val="24"/>
        </w:rPr>
      </w:pPr>
      <w:r w:rsidRPr="00AE01E5">
        <w:rPr>
          <w:rFonts w:ascii="Helvetica" w:eastAsia="Times New Roman" w:hAnsi="Helvetica" w:cs="Helvetica"/>
          <w:b/>
          <w:sz w:val="24"/>
          <w:szCs w:val="24"/>
        </w:rPr>
        <w:t>Towards more secure transportable media solutions</w:t>
      </w:r>
    </w:p>
    <w:p w:rsidR="00AE01E5" w:rsidRPr="00AE01E5" w:rsidRDefault="00AE01E5" w:rsidP="00AE01E5">
      <w:pPr>
        <w:rPr>
          <w:rFonts w:ascii="Calibri" w:eastAsia="Times New Roman" w:hAnsi="Calibri" w:cs="Courier New"/>
          <w:sz w:val="24"/>
          <w:szCs w:val="24"/>
        </w:rPr>
      </w:pPr>
      <w:r w:rsidRPr="00AE01E5">
        <w:rPr>
          <w:rFonts w:ascii="Calibri" w:eastAsia="Times New Roman" w:hAnsi="Calibri" w:cs="Courier New"/>
          <w:sz w:val="24"/>
          <w:szCs w:val="24"/>
        </w:rPr>
        <w:t xml:space="preserve">Naval Surface Warfare Center, Crane Division is interested in receiving proposals for the development of concepts for transportable media. </w:t>
      </w:r>
      <w:proofErr w:type="gramStart"/>
      <w:r w:rsidRPr="00AE01E5">
        <w:rPr>
          <w:rFonts w:ascii="Calibri" w:eastAsia="Times New Roman" w:hAnsi="Calibri" w:cs="Courier New"/>
          <w:sz w:val="24"/>
          <w:szCs w:val="24"/>
        </w:rPr>
        <w:t>Commodity</w:t>
      </w:r>
      <w:proofErr w:type="gramEnd"/>
      <w:r w:rsidRPr="00AE01E5">
        <w:rPr>
          <w:rFonts w:ascii="Calibri" w:eastAsia="Times New Roman" w:hAnsi="Calibri" w:cs="Courier New"/>
          <w:sz w:val="24"/>
          <w:szCs w:val="24"/>
        </w:rPr>
        <w:t xml:space="preserve"> COTS offerings are largely flash memory-based or bare optical media. We seek concepts that offer security properties that address confidentiality, integrity, and availability. Abstracted, given a system named </w:t>
      </w:r>
      <w:r w:rsidRPr="00AE01E5">
        <w:rPr>
          <w:rFonts w:ascii="Calibri" w:eastAsia="Times New Roman" w:hAnsi="Calibri" w:cs="Courier New"/>
          <w:i/>
          <w:sz w:val="24"/>
          <w:szCs w:val="24"/>
        </w:rPr>
        <w:t xml:space="preserve">Alice, </w:t>
      </w:r>
      <w:r w:rsidRPr="00AE01E5">
        <w:rPr>
          <w:rFonts w:ascii="Calibri" w:eastAsia="Times New Roman" w:hAnsi="Calibri" w:cs="Courier New"/>
          <w:sz w:val="24"/>
          <w:szCs w:val="24"/>
        </w:rPr>
        <w:t xml:space="preserve">a system named </w:t>
      </w:r>
      <w:r w:rsidRPr="00AE01E5">
        <w:rPr>
          <w:rFonts w:ascii="Calibri" w:eastAsia="Times New Roman" w:hAnsi="Calibri" w:cs="Courier New"/>
          <w:i/>
          <w:sz w:val="24"/>
          <w:szCs w:val="24"/>
        </w:rPr>
        <w:t xml:space="preserve">Bob, </w:t>
      </w:r>
      <w:r w:rsidRPr="00AE01E5">
        <w:rPr>
          <w:rFonts w:ascii="Calibri" w:eastAsia="Times New Roman" w:hAnsi="Calibri" w:cs="Courier New"/>
          <w:sz w:val="24"/>
          <w:szCs w:val="24"/>
        </w:rPr>
        <w:t xml:space="preserve">and media called </w:t>
      </w:r>
      <w:r w:rsidRPr="00AE01E5">
        <w:rPr>
          <w:rFonts w:ascii="Calibri" w:eastAsia="Times New Roman" w:hAnsi="Calibri" w:cs="Courier New"/>
          <w:i/>
          <w:sz w:val="24"/>
          <w:szCs w:val="24"/>
        </w:rPr>
        <w:t>Carol</w:t>
      </w:r>
      <w:r w:rsidRPr="00AE01E5">
        <w:rPr>
          <w:rFonts w:ascii="Calibri" w:eastAsia="Times New Roman" w:hAnsi="Calibri" w:cs="Courier New"/>
          <w:sz w:val="24"/>
          <w:szCs w:val="24"/>
        </w:rPr>
        <w:t>, we seek concepts that address, but are not limited to, the following situations:</w:t>
      </w:r>
    </w:p>
    <w:p w:rsidR="00AE01E5" w:rsidRPr="00AE01E5" w:rsidRDefault="00AE01E5" w:rsidP="00AE01E5">
      <w:pPr>
        <w:rPr>
          <w:rFonts w:ascii="Calibri" w:eastAsia="Times New Roman" w:hAnsi="Calibri" w:cs="Courier New"/>
          <w:i/>
          <w:sz w:val="24"/>
          <w:szCs w:val="24"/>
        </w:rPr>
      </w:pPr>
      <w:r w:rsidRPr="00AE01E5">
        <w:rPr>
          <w:rFonts w:ascii="Calibri" w:eastAsia="Times New Roman" w:hAnsi="Calibri" w:cs="Courier New"/>
          <w:sz w:val="24"/>
          <w:szCs w:val="24"/>
        </w:rPr>
        <w:t xml:space="preserve">A malicious entity, </w:t>
      </w:r>
      <w:r w:rsidRPr="00AE01E5">
        <w:rPr>
          <w:rFonts w:ascii="Calibri" w:eastAsia="Times New Roman" w:hAnsi="Calibri" w:cs="Courier New"/>
          <w:i/>
          <w:sz w:val="24"/>
          <w:szCs w:val="24"/>
        </w:rPr>
        <w:t xml:space="preserve">Mallory, </w:t>
      </w:r>
      <w:r w:rsidRPr="00AE01E5">
        <w:rPr>
          <w:rFonts w:ascii="Calibri" w:eastAsia="Times New Roman" w:hAnsi="Calibri" w:cs="Courier New"/>
          <w:sz w:val="24"/>
          <w:szCs w:val="24"/>
        </w:rPr>
        <w:t xml:space="preserve">gains access to </w:t>
      </w:r>
      <w:r w:rsidRPr="00AE01E5">
        <w:rPr>
          <w:rFonts w:ascii="Calibri" w:eastAsia="Times New Roman" w:hAnsi="Calibri" w:cs="Courier New"/>
          <w:i/>
          <w:sz w:val="24"/>
          <w:szCs w:val="24"/>
        </w:rPr>
        <w:t>Carol</w:t>
      </w:r>
      <w:r w:rsidRPr="00AE01E5">
        <w:rPr>
          <w:rFonts w:ascii="Calibri" w:eastAsia="Times New Roman" w:hAnsi="Calibri" w:cs="Courier New"/>
          <w:sz w:val="24"/>
          <w:szCs w:val="24"/>
        </w:rPr>
        <w:t xml:space="preserve"> or attempts to spoof </w:t>
      </w:r>
      <w:r w:rsidRPr="00AE01E5">
        <w:rPr>
          <w:rFonts w:ascii="Calibri" w:eastAsia="Times New Roman" w:hAnsi="Calibri" w:cs="Courier New"/>
          <w:i/>
          <w:sz w:val="24"/>
          <w:szCs w:val="24"/>
        </w:rPr>
        <w:t xml:space="preserve">Carol. </w:t>
      </w:r>
    </w:p>
    <w:p w:rsidR="00AE01E5" w:rsidRPr="00AE01E5" w:rsidRDefault="00AE01E5" w:rsidP="00AE01E5">
      <w:pPr>
        <w:ind w:firstLine="720"/>
        <w:rPr>
          <w:rFonts w:ascii="Calibri" w:eastAsia="Times New Roman" w:hAnsi="Calibri" w:cs="Courier New"/>
          <w:sz w:val="24"/>
          <w:szCs w:val="24"/>
        </w:rPr>
      </w:pPr>
      <w:r w:rsidRPr="00AE01E5">
        <w:rPr>
          <w:rFonts w:ascii="Calibri" w:eastAsia="Times New Roman" w:hAnsi="Calibri" w:cs="Courier New"/>
          <w:sz w:val="24"/>
          <w:szCs w:val="24"/>
        </w:rPr>
        <w:t xml:space="preserve">(1) How can </w:t>
      </w:r>
      <w:r w:rsidRPr="00AE01E5">
        <w:rPr>
          <w:rFonts w:ascii="Calibri" w:eastAsia="Times New Roman" w:hAnsi="Calibri" w:cs="Courier New"/>
          <w:i/>
          <w:sz w:val="24"/>
          <w:szCs w:val="24"/>
        </w:rPr>
        <w:t>Alice</w:t>
      </w:r>
      <w:r w:rsidRPr="00AE01E5">
        <w:rPr>
          <w:rFonts w:ascii="Calibri" w:eastAsia="Times New Roman" w:hAnsi="Calibri" w:cs="Courier New"/>
          <w:sz w:val="24"/>
          <w:szCs w:val="24"/>
        </w:rPr>
        <w:t xml:space="preserve"> or </w:t>
      </w:r>
      <w:r w:rsidRPr="00AE01E5">
        <w:rPr>
          <w:rFonts w:ascii="Calibri" w:eastAsia="Times New Roman" w:hAnsi="Calibri" w:cs="Courier New"/>
          <w:i/>
          <w:sz w:val="24"/>
          <w:szCs w:val="24"/>
        </w:rPr>
        <w:t>Bob</w:t>
      </w:r>
      <w:r w:rsidRPr="00AE01E5">
        <w:rPr>
          <w:rFonts w:ascii="Calibri" w:eastAsia="Times New Roman" w:hAnsi="Calibri" w:cs="Courier New"/>
          <w:sz w:val="24"/>
          <w:szCs w:val="24"/>
        </w:rPr>
        <w:t xml:space="preserve"> safely interact with </w:t>
      </w:r>
      <w:r w:rsidRPr="00AE01E5">
        <w:rPr>
          <w:rFonts w:ascii="Calibri" w:eastAsia="Times New Roman" w:hAnsi="Calibri" w:cs="Courier New"/>
          <w:i/>
          <w:sz w:val="24"/>
          <w:szCs w:val="24"/>
        </w:rPr>
        <w:t>Carol</w:t>
      </w:r>
      <w:r w:rsidRPr="00AE01E5">
        <w:rPr>
          <w:rFonts w:ascii="Calibri" w:eastAsia="Times New Roman" w:hAnsi="Calibri" w:cs="Courier New"/>
          <w:sz w:val="24"/>
          <w:szCs w:val="24"/>
        </w:rPr>
        <w:t>?</w:t>
      </w:r>
    </w:p>
    <w:p w:rsidR="00AE01E5" w:rsidRPr="00AE01E5" w:rsidRDefault="00AE01E5" w:rsidP="00AE01E5">
      <w:pPr>
        <w:ind w:firstLine="720"/>
        <w:rPr>
          <w:rFonts w:ascii="Calibri" w:eastAsia="Times New Roman" w:hAnsi="Calibri" w:cs="Courier New"/>
          <w:i/>
          <w:sz w:val="24"/>
          <w:szCs w:val="24"/>
        </w:rPr>
      </w:pPr>
      <w:r w:rsidRPr="00AE01E5">
        <w:rPr>
          <w:rFonts w:ascii="Calibri" w:eastAsia="Times New Roman" w:hAnsi="Calibri" w:cs="Courier New"/>
          <w:sz w:val="24"/>
          <w:szCs w:val="24"/>
        </w:rPr>
        <w:t xml:space="preserve">(2) How can we foil attempts for </w:t>
      </w:r>
      <w:r w:rsidRPr="00AE01E5">
        <w:rPr>
          <w:rFonts w:ascii="Calibri" w:eastAsia="Times New Roman" w:hAnsi="Calibri" w:cs="Courier New"/>
          <w:i/>
          <w:sz w:val="24"/>
          <w:szCs w:val="24"/>
        </w:rPr>
        <w:t xml:space="preserve">Mallory </w:t>
      </w:r>
      <w:r w:rsidRPr="00AE01E5">
        <w:rPr>
          <w:rFonts w:ascii="Calibri" w:eastAsia="Times New Roman" w:hAnsi="Calibri" w:cs="Courier New"/>
          <w:sz w:val="24"/>
          <w:szCs w:val="24"/>
        </w:rPr>
        <w:t xml:space="preserve">to gain information from </w:t>
      </w:r>
      <w:r w:rsidRPr="00AE01E5">
        <w:rPr>
          <w:rFonts w:ascii="Calibri" w:eastAsia="Times New Roman" w:hAnsi="Calibri" w:cs="Courier New"/>
          <w:i/>
          <w:sz w:val="24"/>
          <w:szCs w:val="24"/>
        </w:rPr>
        <w:t>Carol?</w:t>
      </w:r>
    </w:p>
    <w:p w:rsidR="00AE01E5" w:rsidRPr="00AE01E5" w:rsidRDefault="00AE01E5" w:rsidP="00AE01E5">
      <w:pPr>
        <w:ind w:firstLine="720"/>
        <w:rPr>
          <w:rFonts w:ascii="Calibri" w:eastAsia="Times New Roman" w:hAnsi="Calibri" w:cs="Courier New"/>
          <w:sz w:val="24"/>
          <w:szCs w:val="24"/>
        </w:rPr>
      </w:pPr>
      <w:r w:rsidRPr="00AE01E5">
        <w:rPr>
          <w:rFonts w:ascii="Calibri" w:eastAsia="Times New Roman" w:hAnsi="Calibri" w:cs="Courier New"/>
          <w:sz w:val="24"/>
          <w:szCs w:val="24"/>
        </w:rPr>
        <w:t xml:space="preserve">(3) What if </w:t>
      </w:r>
      <w:r w:rsidRPr="00AE01E5">
        <w:rPr>
          <w:rFonts w:ascii="Calibri" w:eastAsia="Times New Roman" w:hAnsi="Calibri" w:cs="Courier New"/>
          <w:i/>
          <w:sz w:val="24"/>
          <w:szCs w:val="24"/>
        </w:rPr>
        <w:t xml:space="preserve">Mallory </w:t>
      </w:r>
      <w:r w:rsidRPr="00AE01E5">
        <w:rPr>
          <w:rFonts w:ascii="Calibri" w:eastAsia="Times New Roman" w:hAnsi="Calibri" w:cs="Courier New"/>
          <w:sz w:val="24"/>
          <w:szCs w:val="24"/>
        </w:rPr>
        <w:t xml:space="preserve">has access to </w:t>
      </w:r>
      <w:r w:rsidRPr="00AE01E5">
        <w:rPr>
          <w:rFonts w:ascii="Calibri" w:eastAsia="Times New Roman" w:hAnsi="Calibri" w:cs="Courier New"/>
          <w:i/>
          <w:sz w:val="24"/>
          <w:szCs w:val="24"/>
        </w:rPr>
        <w:t xml:space="preserve">Alice </w:t>
      </w:r>
      <w:r w:rsidRPr="00AE01E5">
        <w:rPr>
          <w:rFonts w:ascii="Calibri" w:eastAsia="Times New Roman" w:hAnsi="Calibri" w:cs="Courier New"/>
          <w:sz w:val="24"/>
          <w:szCs w:val="24"/>
        </w:rPr>
        <w:t xml:space="preserve">or </w:t>
      </w:r>
      <w:r w:rsidRPr="00AE01E5">
        <w:rPr>
          <w:rFonts w:ascii="Calibri" w:eastAsia="Times New Roman" w:hAnsi="Calibri" w:cs="Courier New"/>
          <w:i/>
          <w:sz w:val="24"/>
          <w:szCs w:val="24"/>
        </w:rPr>
        <w:t xml:space="preserve">Bob, </w:t>
      </w:r>
      <w:r w:rsidRPr="00AE01E5">
        <w:rPr>
          <w:rFonts w:ascii="Calibri" w:eastAsia="Times New Roman" w:hAnsi="Calibri" w:cs="Courier New"/>
          <w:sz w:val="24"/>
          <w:szCs w:val="24"/>
        </w:rPr>
        <w:t>but can only access these systems though the transportable media interface?</w:t>
      </w:r>
    </w:p>
    <w:p w:rsidR="00AE01E5" w:rsidRPr="00AE01E5" w:rsidRDefault="00AE01E5" w:rsidP="00AE01E5">
      <w:pPr>
        <w:rPr>
          <w:rFonts w:ascii="Calibri" w:eastAsia="Times New Roman" w:hAnsi="Calibri" w:cs="Courier New"/>
          <w:sz w:val="24"/>
          <w:szCs w:val="24"/>
        </w:rPr>
      </w:pPr>
      <w:r w:rsidRPr="00AE01E5">
        <w:rPr>
          <w:rFonts w:ascii="Calibri" w:eastAsia="Times New Roman" w:hAnsi="Calibri" w:cs="Courier New"/>
          <w:sz w:val="24"/>
          <w:szCs w:val="24"/>
        </w:rPr>
        <w:t xml:space="preserve">We prioritize solutions that are COTS-based. </w:t>
      </w:r>
    </w:p>
    <w:p w:rsidR="00AE01E5" w:rsidRPr="00AE01E5" w:rsidRDefault="00AE01E5" w:rsidP="00AE01E5">
      <w:pPr>
        <w:rPr>
          <w:rFonts w:ascii="Calibri" w:eastAsia="Times New Roman" w:hAnsi="Calibri" w:cs="Courier New"/>
          <w:sz w:val="24"/>
          <w:szCs w:val="24"/>
        </w:rPr>
      </w:pPr>
    </w:p>
    <w:p w:rsidR="00AE01E5" w:rsidRPr="00AE01E5" w:rsidRDefault="00AE01E5" w:rsidP="00AE01E5">
      <w:pPr>
        <w:numPr>
          <w:ilvl w:val="0"/>
          <w:numId w:val="3"/>
        </w:numPr>
        <w:contextualSpacing/>
        <w:rPr>
          <w:rFonts w:ascii="Calibri" w:eastAsia="Times New Roman" w:hAnsi="Calibri" w:cs="Times New Roman"/>
          <w:b/>
          <w:sz w:val="28"/>
          <w:szCs w:val="28"/>
        </w:rPr>
      </w:pPr>
      <w:r w:rsidRPr="00AE01E5">
        <w:rPr>
          <w:rFonts w:ascii="Calibri" w:eastAsia="Times New Roman" w:hAnsi="Calibri" w:cs="Times New Roman"/>
          <w:b/>
          <w:sz w:val="28"/>
          <w:szCs w:val="28"/>
        </w:rPr>
        <w:t>EXPLORATION OF DEFENSE-RELATED IMPLICATIONS OF TIME-VARYING NUCLEAR DECAY PARAMETERS</w:t>
      </w:r>
    </w:p>
    <w:p w:rsidR="00AE01E5" w:rsidRPr="00AE01E5" w:rsidRDefault="00AE01E5" w:rsidP="00AE01E5">
      <w:pPr>
        <w:rPr>
          <w:rFonts w:ascii="Calibri" w:eastAsia="Times New Roman" w:hAnsi="Calibri" w:cs="Times New Roman"/>
          <w:sz w:val="28"/>
          <w:szCs w:val="28"/>
        </w:rPr>
      </w:pPr>
      <w:proofErr w:type="gramStart"/>
      <w:r w:rsidRPr="00AE01E5">
        <w:rPr>
          <w:rFonts w:ascii="Calibri" w:eastAsia="Times New Roman" w:hAnsi="Calibri" w:cs="Times New Roman"/>
          <w:sz w:val="28"/>
          <w:szCs w:val="28"/>
        </w:rPr>
        <w:t>A broad scale search for better (i.e. more sensitive) isotopes capable of responding to changes in the flux of incoming neutrinos.</w:t>
      </w:r>
      <w:proofErr w:type="gramEnd"/>
      <w:r w:rsidRPr="00AE01E5">
        <w:rPr>
          <w:rFonts w:ascii="Calibri" w:eastAsia="Times New Roman" w:hAnsi="Calibri" w:cs="Times New Roman"/>
          <w:sz w:val="28"/>
          <w:szCs w:val="28"/>
        </w:rPr>
        <w:t xml:space="preserve">  To date we have focused on data obtained from a limited number of isotopes, such as Mn-54, Cl-36, Ra-226, and Sr-90.  There are hundreds of radioactive isotopes which could be even better as sensitive neutrino detectors.  An estimate for detector system including the radioactive source, detector, and associated computer would cost approximately $10K.  An ideal experiment would have several sites running at the same time.</w:t>
      </w:r>
    </w:p>
    <w:p w:rsidR="00AE01E5" w:rsidRPr="00AE01E5" w:rsidRDefault="00AE01E5" w:rsidP="00AE01E5">
      <w:pPr>
        <w:rPr>
          <w:rFonts w:ascii="Calibri" w:eastAsia="Times New Roman" w:hAnsi="Calibri" w:cs="Times New Roman"/>
          <w:sz w:val="28"/>
          <w:szCs w:val="28"/>
        </w:rPr>
      </w:pPr>
      <w:r w:rsidRPr="00AE01E5">
        <w:rPr>
          <w:rFonts w:ascii="Calibri" w:eastAsia="Times New Roman" w:hAnsi="Calibri" w:cs="Times New Roman"/>
          <w:sz w:val="28"/>
          <w:szCs w:val="28"/>
        </w:rPr>
        <w:t>The intent of this research is to establish that these neutrino detectors can detect reactor neutrinos, including neutrinos emitted by nuclear powered ships.  Several units described above could be used for this purpose.</w:t>
      </w:r>
    </w:p>
    <w:p w:rsidR="00AE01E5" w:rsidRPr="00AE01E5" w:rsidRDefault="00AE01E5" w:rsidP="00AE01E5">
      <w:pPr>
        <w:rPr>
          <w:rFonts w:ascii="Calibri" w:eastAsia="Times New Roman" w:hAnsi="Calibri" w:cs="Times New Roman"/>
          <w:sz w:val="28"/>
          <w:szCs w:val="28"/>
        </w:rPr>
      </w:pPr>
    </w:p>
    <w:p w:rsidR="00AE01E5" w:rsidRPr="00AE01E5" w:rsidRDefault="00AE01E5" w:rsidP="00AE01E5">
      <w:pPr>
        <w:numPr>
          <w:ilvl w:val="0"/>
          <w:numId w:val="3"/>
        </w:numPr>
        <w:contextualSpacing/>
        <w:rPr>
          <w:rFonts w:ascii="Calibri" w:eastAsia="Times New Roman" w:hAnsi="Calibri" w:cs="Times New Roman"/>
          <w:b/>
          <w:sz w:val="32"/>
          <w:szCs w:val="28"/>
        </w:rPr>
      </w:pPr>
      <w:r w:rsidRPr="00AE01E5">
        <w:rPr>
          <w:rFonts w:ascii="Calibri" w:eastAsia="Times New Roman" w:hAnsi="Calibri" w:cs="Times New Roman"/>
          <w:b/>
          <w:sz w:val="32"/>
          <w:szCs w:val="28"/>
        </w:rPr>
        <w:t xml:space="preserve">Radiation Effects in </w:t>
      </w:r>
      <w:proofErr w:type="spellStart"/>
      <w:r w:rsidRPr="00AE01E5">
        <w:rPr>
          <w:rFonts w:ascii="Calibri" w:eastAsia="Times New Roman" w:hAnsi="Calibri" w:cs="Times New Roman"/>
          <w:b/>
          <w:sz w:val="32"/>
          <w:szCs w:val="28"/>
        </w:rPr>
        <w:t>Memristive</w:t>
      </w:r>
      <w:proofErr w:type="spellEnd"/>
      <w:r w:rsidRPr="00AE01E5">
        <w:rPr>
          <w:rFonts w:ascii="Calibri" w:eastAsia="Times New Roman" w:hAnsi="Calibri" w:cs="Times New Roman"/>
          <w:b/>
          <w:sz w:val="32"/>
          <w:szCs w:val="28"/>
        </w:rPr>
        <w:t xml:space="preserve"> Structures</w:t>
      </w:r>
    </w:p>
    <w:p w:rsidR="00AE01E5" w:rsidRPr="00AE01E5" w:rsidRDefault="00AE01E5" w:rsidP="00AE01E5">
      <w:pPr>
        <w:ind w:left="360"/>
        <w:contextualSpacing/>
        <w:rPr>
          <w:rFonts w:ascii="Calibri" w:eastAsia="Times New Roman" w:hAnsi="Calibri" w:cs="Times New Roman"/>
          <w:sz w:val="32"/>
          <w:szCs w:val="28"/>
        </w:rPr>
      </w:pPr>
    </w:p>
    <w:p w:rsidR="00AE01E5" w:rsidRPr="00AE01E5" w:rsidRDefault="00AE01E5" w:rsidP="00AE01E5">
      <w:pPr>
        <w:ind w:left="360"/>
        <w:contextualSpacing/>
        <w:rPr>
          <w:rFonts w:ascii="Calibri" w:eastAsia="Times New Roman" w:hAnsi="Calibri" w:cs="Times New Roman"/>
          <w:sz w:val="28"/>
          <w:szCs w:val="28"/>
        </w:rPr>
      </w:pPr>
      <w:r w:rsidRPr="00AE01E5">
        <w:rPr>
          <w:rFonts w:ascii="Calibri" w:eastAsia="Times New Roman" w:hAnsi="Calibri" w:cs="Times New Roman"/>
          <w:sz w:val="28"/>
          <w:szCs w:val="28"/>
        </w:rPr>
        <w:t xml:space="preserve">Naval Surface Warfare Center, Crane Division is interested in basic radiation effects research into new technologies that will be utilized in future non-volatile memories.  One such new technology is referred to as </w:t>
      </w:r>
      <w:proofErr w:type="spellStart"/>
      <w:r w:rsidRPr="00AE01E5">
        <w:rPr>
          <w:rFonts w:ascii="Calibri" w:eastAsia="Times New Roman" w:hAnsi="Calibri" w:cs="Times New Roman"/>
          <w:sz w:val="28"/>
          <w:szCs w:val="28"/>
        </w:rPr>
        <w:t>memristors</w:t>
      </w:r>
      <w:proofErr w:type="spellEnd"/>
      <w:r w:rsidRPr="00AE01E5">
        <w:rPr>
          <w:rFonts w:ascii="Calibri" w:eastAsia="Times New Roman" w:hAnsi="Calibri" w:cs="Times New Roman"/>
          <w:sz w:val="28"/>
          <w:szCs w:val="28"/>
        </w:rPr>
        <w:t xml:space="preserve">.  </w:t>
      </w:r>
      <w:proofErr w:type="spellStart"/>
      <w:r w:rsidRPr="00AE01E5">
        <w:rPr>
          <w:rFonts w:ascii="Calibri" w:eastAsia="Times New Roman" w:hAnsi="Calibri" w:cs="Times New Roman"/>
          <w:sz w:val="28"/>
          <w:szCs w:val="28"/>
        </w:rPr>
        <w:t>Memristors</w:t>
      </w:r>
      <w:proofErr w:type="spellEnd"/>
      <w:r w:rsidRPr="00AE01E5">
        <w:rPr>
          <w:rFonts w:ascii="Calibri" w:eastAsia="Times New Roman" w:hAnsi="Calibri" w:cs="Times New Roman"/>
          <w:sz w:val="28"/>
          <w:szCs w:val="28"/>
        </w:rPr>
        <w:t xml:space="preserve"> are a new, developing technology that utilizes the electrical hysteretic property of </w:t>
      </w:r>
      <w:proofErr w:type="spellStart"/>
      <w:r w:rsidRPr="00AE01E5">
        <w:rPr>
          <w:rFonts w:ascii="Calibri" w:eastAsia="Times New Roman" w:hAnsi="Calibri" w:cs="Times New Roman"/>
          <w:sz w:val="28"/>
          <w:szCs w:val="28"/>
        </w:rPr>
        <w:t>memresitance</w:t>
      </w:r>
      <w:proofErr w:type="spellEnd"/>
      <w:r w:rsidRPr="00AE01E5">
        <w:rPr>
          <w:rFonts w:ascii="Calibri" w:eastAsia="Times New Roman" w:hAnsi="Calibri" w:cs="Times New Roman"/>
          <w:sz w:val="28"/>
          <w:szCs w:val="28"/>
        </w:rPr>
        <w:t xml:space="preserve"> as seen in Figure 1.  These devices are simple structures as seen in Figure 2 [1].  The </w:t>
      </w:r>
      <w:proofErr w:type="spellStart"/>
      <w:r w:rsidRPr="00AE01E5">
        <w:rPr>
          <w:rFonts w:ascii="Calibri" w:eastAsia="Times New Roman" w:hAnsi="Calibri" w:cs="Times New Roman"/>
          <w:sz w:val="28"/>
          <w:szCs w:val="28"/>
        </w:rPr>
        <w:t>memristor</w:t>
      </w:r>
      <w:proofErr w:type="spellEnd"/>
      <w:r w:rsidRPr="00AE01E5">
        <w:rPr>
          <w:rFonts w:ascii="Calibri" w:eastAsia="Times New Roman" w:hAnsi="Calibri" w:cs="Times New Roman"/>
          <w:sz w:val="28"/>
          <w:szCs w:val="28"/>
        </w:rPr>
        <w:t xml:space="preserve"> structure shown in Figure 2 is a TiO2 based </w:t>
      </w:r>
      <w:proofErr w:type="spellStart"/>
      <w:r w:rsidRPr="00AE01E5">
        <w:rPr>
          <w:rFonts w:ascii="Calibri" w:eastAsia="Times New Roman" w:hAnsi="Calibri" w:cs="Times New Roman"/>
          <w:sz w:val="28"/>
          <w:szCs w:val="28"/>
        </w:rPr>
        <w:t>memristor</w:t>
      </w:r>
      <w:proofErr w:type="spellEnd"/>
      <w:r w:rsidRPr="00AE01E5">
        <w:rPr>
          <w:rFonts w:ascii="Calibri" w:eastAsia="Times New Roman" w:hAnsi="Calibri" w:cs="Times New Roman"/>
          <w:sz w:val="28"/>
          <w:szCs w:val="28"/>
        </w:rPr>
        <w:t xml:space="preserve">.  It is believed that density and movement of oxygen vacancies is responsible for the </w:t>
      </w:r>
      <w:proofErr w:type="spellStart"/>
      <w:r w:rsidRPr="00AE01E5">
        <w:rPr>
          <w:rFonts w:ascii="Calibri" w:eastAsia="Times New Roman" w:hAnsi="Calibri" w:cs="Times New Roman"/>
          <w:sz w:val="28"/>
          <w:szCs w:val="28"/>
        </w:rPr>
        <w:t>memristive</w:t>
      </w:r>
      <w:proofErr w:type="spellEnd"/>
      <w:r w:rsidRPr="00AE01E5">
        <w:rPr>
          <w:rFonts w:ascii="Calibri" w:eastAsia="Times New Roman" w:hAnsi="Calibri" w:cs="Times New Roman"/>
          <w:sz w:val="28"/>
          <w:szCs w:val="28"/>
        </w:rPr>
        <w:t xml:space="preserve"> effects observed in these structures.  Other materials such as </w:t>
      </w:r>
      <w:proofErr w:type="spellStart"/>
      <w:r w:rsidRPr="00AE01E5">
        <w:rPr>
          <w:rFonts w:ascii="Calibri" w:eastAsia="Times New Roman" w:hAnsi="Calibri" w:cs="Times New Roman"/>
          <w:sz w:val="28"/>
          <w:szCs w:val="28"/>
        </w:rPr>
        <w:t>chaclogenides</w:t>
      </w:r>
      <w:proofErr w:type="spellEnd"/>
      <w:r w:rsidRPr="00AE01E5">
        <w:rPr>
          <w:rFonts w:ascii="Calibri" w:eastAsia="Times New Roman" w:hAnsi="Calibri" w:cs="Times New Roman"/>
          <w:sz w:val="28"/>
          <w:szCs w:val="28"/>
        </w:rPr>
        <w:t xml:space="preserve"> have been used for </w:t>
      </w:r>
      <w:proofErr w:type="spellStart"/>
      <w:r w:rsidRPr="00AE01E5">
        <w:rPr>
          <w:rFonts w:ascii="Calibri" w:eastAsia="Times New Roman" w:hAnsi="Calibri" w:cs="Times New Roman"/>
          <w:sz w:val="28"/>
          <w:szCs w:val="28"/>
        </w:rPr>
        <w:t>memristors</w:t>
      </w:r>
      <w:proofErr w:type="spellEnd"/>
      <w:r w:rsidRPr="00AE01E5">
        <w:rPr>
          <w:rFonts w:ascii="Calibri" w:eastAsia="Times New Roman" w:hAnsi="Calibri" w:cs="Times New Roman"/>
          <w:sz w:val="28"/>
          <w:szCs w:val="28"/>
        </w:rPr>
        <w:t xml:space="preserve"> as well.</w:t>
      </w:r>
    </w:p>
    <w:p w:rsidR="00AE01E5" w:rsidRPr="00AE01E5" w:rsidRDefault="00AE01E5" w:rsidP="00AE01E5">
      <w:pPr>
        <w:ind w:left="360"/>
        <w:contextualSpacing/>
        <w:rPr>
          <w:rFonts w:ascii="Calibri" w:eastAsia="Times New Roman" w:hAnsi="Calibri" w:cs="Times New Roman"/>
          <w:sz w:val="28"/>
          <w:szCs w:val="28"/>
        </w:rPr>
      </w:pPr>
    </w:p>
    <w:p w:rsidR="00AE01E5" w:rsidRPr="00AE01E5" w:rsidRDefault="00AE01E5" w:rsidP="00AE01E5">
      <w:pPr>
        <w:ind w:left="360"/>
        <w:contextualSpacing/>
        <w:rPr>
          <w:rFonts w:ascii="Calibri" w:eastAsia="Times New Roman" w:hAnsi="Calibri" w:cs="Times New Roman"/>
          <w:sz w:val="28"/>
          <w:szCs w:val="28"/>
        </w:rPr>
      </w:pPr>
      <w:r w:rsidRPr="00AE01E5">
        <w:rPr>
          <w:rFonts w:ascii="Calibri" w:eastAsia="Times New Roman" w:hAnsi="Calibri" w:cs="Times New Roman"/>
          <w:sz w:val="28"/>
          <w:szCs w:val="28"/>
        </w:rPr>
        <w:t xml:space="preserve"> </w:t>
      </w:r>
      <w:r>
        <w:rPr>
          <w:rFonts w:ascii="Calibri" w:eastAsia="Times New Roman" w:hAnsi="Calibri" w:cs="Times New Roman"/>
          <w:noProof/>
          <w:sz w:val="28"/>
          <w:szCs w:val="28"/>
        </w:rPr>
        <w:drawing>
          <wp:inline distT="0" distB="0" distL="0" distR="0">
            <wp:extent cx="5486400" cy="24885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488565"/>
                    </a:xfrm>
                    <a:prstGeom prst="rect">
                      <a:avLst/>
                    </a:prstGeom>
                    <a:noFill/>
                    <a:ln>
                      <a:noFill/>
                    </a:ln>
                  </pic:spPr>
                </pic:pic>
              </a:graphicData>
            </a:graphic>
          </wp:inline>
        </w:drawing>
      </w:r>
    </w:p>
    <w:p w:rsidR="00AE01E5" w:rsidRPr="00AE01E5" w:rsidRDefault="00AE01E5" w:rsidP="00AE01E5">
      <w:pPr>
        <w:ind w:left="360"/>
        <w:contextualSpacing/>
        <w:rPr>
          <w:rFonts w:ascii="Calibri" w:eastAsia="Times New Roman" w:hAnsi="Calibri" w:cs="Times New Roman"/>
          <w:sz w:val="28"/>
          <w:szCs w:val="28"/>
        </w:rPr>
      </w:pPr>
      <w:r w:rsidRPr="00AE01E5">
        <w:rPr>
          <w:rFonts w:ascii="Calibri" w:eastAsia="Times New Roman" w:hAnsi="Calibri" w:cs="Times New Roman"/>
          <w:sz w:val="28"/>
          <w:szCs w:val="28"/>
        </w:rPr>
        <w:t xml:space="preserve">[1] H. </w:t>
      </w:r>
      <w:proofErr w:type="spellStart"/>
      <w:r w:rsidRPr="00AE01E5">
        <w:rPr>
          <w:rFonts w:ascii="Calibri" w:eastAsia="Times New Roman" w:hAnsi="Calibri" w:cs="Times New Roman"/>
          <w:sz w:val="28"/>
          <w:szCs w:val="28"/>
        </w:rPr>
        <w:t>Barnaby</w:t>
      </w:r>
      <w:proofErr w:type="gramStart"/>
      <w:r w:rsidRPr="00AE01E5">
        <w:rPr>
          <w:rFonts w:ascii="Calibri" w:eastAsia="Times New Roman" w:hAnsi="Calibri" w:cs="Times New Roman"/>
          <w:sz w:val="28"/>
          <w:szCs w:val="28"/>
        </w:rPr>
        <w:t>,etc</w:t>
      </w:r>
      <w:proofErr w:type="spellEnd"/>
      <w:proofErr w:type="gramEnd"/>
      <w:r w:rsidRPr="00AE01E5">
        <w:rPr>
          <w:rFonts w:ascii="Calibri" w:eastAsia="Times New Roman" w:hAnsi="Calibri" w:cs="Times New Roman"/>
          <w:sz w:val="28"/>
          <w:szCs w:val="28"/>
        </w:rPr>
        <w:t>.</w:t>
      </w:r>
    </w:p>
    <w:p w:rsidR="00AE01E5" w:rsidRPr="00AE01E5" w:rsidRDefault="00AE01E5" w:rsidP="00AE01E5">
      <w:pPr>
        <w:ind w:left="360"/>
        <w:contextualSpacing/>
        <w:rPr>
          <w:rFonts w:ascii="Calibri" w:eastAsia="Times New Roman" w:hAnsi="Calibri" w:cs="Times New Roman"/>
          <w:sz w:val="28"/>
          <w:szCs w:val="28"/>
        </w:rPr>
      </w:pPr>
    </w:p>
    <w:p w:rsidR="00AE01E5" w:rsidRPr="00AE01E5" w:rsidRDefault="00AE01E5" w:rsidP="00AE01E5">
      <w:pPr>
        <w:ind w:left="360"/>
        <w:contextualSpacing/>
        <w:rPr>
          <w:rFonts w:ascii="Calibri" w:eastAsia="Times New Roman" w:hAnsi="Calibri" w:cs="Times New Roman"/>
          <w:sz w:val="28"/>
          <w:szCs w:val="28"/>
        </w:rPr>
      </w:pPr>
      <w:r w:rsidRPr="00AE01E5">
        <w:rPr>
          <w:rFonts w:ascii="Calibri" w:eastAsia="Times New Roman" w:hAnsi="Calibri" w:cs="Times New Roman"/>
          <w:sz w:val="28"/>
          <w:szCs w:val="28"/>
        </w:rPr>
        <w:t xml:space="preserve">These </w:t>
      </w:r>
      <w:proofErr w:type="spellStart"/>
      <w:r w:rsidRPr="00AE01E5">
        <w:rPr>
          <w:rFonts w:ascii="Calibri" w:eastAsia="Times New Roman" w:hAnsi="Calibri" w:cs="Times New Roman"/>
          <w:sz w:val="28"/>
          <w:szCs w:val="28"/>
        </w:rPr>
        <w:t>memristor</w:t>
      </w:r>
      <w:proofErr w:type="spellEnd"/>
      <w:r w:rsidRPr="00AE01E5">
        <w:rPr>
          <w:rFonts w:ascii="Calibri" w:eastAsia="Times New Roman" w:hAnsi="Calibri" w:cs="Times New Roman"/>
          <w:sz w:val="28"/>
          <w:szCs w:val="28"/>
        </w:rPr>
        <w:t xml:space="preserve"> structures have enormous potential to one day be used in non-volatile memories.  However, in order for these structures to be used in high-radiation environments such as those seen in </w:t>
      </w:r>
      <w:proofErr w:type="spellStart"/>
      <w:proofErr w:type="gramStart"/>
      <w:r w:rsidRPr="00AE01E5">
        <w:rPr>
          <w:rFonts w:ascii="Calibri" w:eastAsia="Times New Roman" w:hAnsi="Calibri" w:cs="Times New Roman"/>
          <w:sz w:val="28"/>
          <w:szCs w:val="28"/>
        </w:rPr>
        <w:t>DoD</w:t>
      </w:r>
      <w:proofErr w:type="spellEnd"/>
      <w:proofErr w:type="gramEnd"/>
      <w:r w:rsidRPr="00AE01E5">
        <w:rPr>
          <w:rFonts w:ascii="Calibri" w:eastAsia="Times New Roman" w:hAnsi="Calibri" w:cs="Times New Roman"/>
          <w:sz w:val="28"/>
          <w:szCs w:val="28"/>
        </w:rPr>
        <w:t xml:space="preserve"> space and missile systems, an understanding of their response to </w:t>
      </w:r>
      <w:r w:rsidRPr="00AE01E5">
        <w:rPr>
          <w:rFonts w:ascii="Calibri" w:eastAsia="Times New Roman" w:hAnsi="Calibri" w:cs="Times New Roman"/>
          <w:sz w:val="28"/>
          <w:szCs w:val="28"/>
        </w:rPr>
        <w:lastRenderedPageBreak/>
        <w:t xml:space="preserve">ionizing radiation is needed.  At the current time, little is known about radiation effects in newer </w:t>
      </w:r>
      <w:proofErr w:type="spellStart"/>
      <w:r w:rsidRPr="00AE01E5">
        <w:rPr>
          <w:rFonts w:ascii="Calibri" w:eastAsia="Times New Roman" w:hAnsi="Calibri" w:cs="Times New Roman"/>
          <w:sz w:val="28"/>
          <w:szCs w:val="28"/>
        </w:rPr>
        <w:t>memristor</w:t>
      </w:r>
      <w:proofErr w:type="spellEnd"/>
      <w:r w:rsidRPr="00AE01E5">
        <w:rPr>
          <w:rFonts w:ascii="Calibri" w:eastAsia="Times New Roman" w:hAnsi="Calibri" w:cs="Times New Roman"/>
          <w:sz w:val="28"/>
          <w:szCs w:val="28"/>
        </w:rPr>
        <w:t xml:space="preserve"> materials and test structures.  We hope that the efforts funded by this </w:t>
      </w:r>
      <w:proofErr w:type="spellStart"/>
      <w:r w:rsidRPr="00AE01E5">
        <w:rPr>
          <w:rFonts w:ascii="Calibri" w:eastAsia="Times New Roman" w:hAnsi="Calibri" w:cs="Times New Roman"/>
          <w:sz w:val="28"/>
          <w:szCs w:val="28"/>
        </w:rPr>
        <w:t>microgrant</w:t>
      </w:r>
      <w:proofErr w:type="spellEnd"/>
      <w:r w:rsidRPr="00AE01E5">
        <w:rPr>
          <w:rFonts w:ascii="Calibri" w:eastAsia="Times New Roman" w:hAnsi="Calibri" w:cs="Times New Roman"/>
          <w:sz w:val="28"/>
          <w:szCs w:val="28"/>
        </w:rPr>
        <w:t xml:space="preserve"> will provide some insights into basic radiation effect mechanisms in </w:t>
      </w:r>
      <w:proofErr w:type="spellStart"/>
      <w:r w:rsidRPr="00AE01E5">
        <w:rPr>
          <w:rFonts w:ascii="Calibri" w:eastAsia="Times New Roman" w:hAnsi="Calibri" w:cs="Times New Roman"/>
          <w:sz w:val="28"/>
          <w:szCs w:val="28"/>
        </w:rPr>
        <w:t>memristors</w:t>
      </w:r>
      <w:proofErr w:type="spellEnd"/>
      <w:r w:rsidRPr="00AE01E5">
        <w:rPr>
          <w:rFonts w:ascii="Calibri" w:eastAsia="Times New Roman" w:hAnsi="Calibri" w:cs="Times New Roman"/>
          <w:sz w:val="28"/>
          <w:szCs w:val="28"/>
        </w:rPr>
        <w:t xml:space="preserve">.  </w:t>
      </w:r>
    </w:p>
    <w:p w:rsidR="00AE01E5" w:rsidRPr="00AE01E5" w:rsidRDefault="00AE01E5" w:rsidP="00AE01E5">
      <w:pPr>
        <w:ind w:left="360"/>
        <w:contextualSpacing/>
        <w:rPr>
          <w:rFonts w:ascii="Calibri" w:eastAsia="Times New Roman" w:hAnsi="Calibri" w:cs="Times New Roman"/>
          <w:sz w:val="28"/>
          <w:szCs w:val="28"/>
        </w:rPr>
      </w:pPr>
    </w:p>
    <w:p w:rsidR="00AE01E5" w:rsidRPr="00AE01E5" w:rsidRDefault="00AE01E5" w:rsidP="00AE01E5">
      <w:pPr>
        <w:numPr>
          <w:ilvl w:val="0"/>
          <w:numId w:val="2"/>
        </w:num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AWARD INFORMATION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The Government may make multiple awards. The amount of resources made available to this BAA will depend on the quality of the proposals received and the availability of funds.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The Government reserves the right to select for negotiation all, some, one, or none of the proposals received in response to this solicitation and to make awards without discussions with proposers. The Government also reserves the right to conduct discussions if later determined to be necessary. Proposals identified for negotiation may result in a procurement contract or other transaction depending upon the nature of the work proposed, the required degree of interaction between parties, and other factors. Proposers should note that the required degree of interaction between parties will be to the maximum extent possible as allowed by the contractual vehicle. The Government reserves the right to request any additional necessary documentation once it makes the award instrument determination. Such additional information may include but is not limited to Representations and Certifications. The Government reserves the right to remove proposers from award consideration should the parties fail to reach agreement on award terms, conditions, and cost/price within a reasonable time or the proposer fails to timely provide requested additional information. </w:t>
      </w:r>
    </w:p>
    <w:p w:rsidR="00AE01E5" w:rsidRPr="00AE01E5" w:rsidRDefault="00AE01E5" w:rsidP="00AE01E5">
      <w:pPr>
        <w:autoSpaceDE w:val="0"/>
        <w:autoSpaceDN w:val="0"/>
        <w:adjustRightInd w:val="0"/>
        <w:spacing w:after="0" w:line="240" w:lineRule="auto"/>
        <w:ind w:left="720"/>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Technical Proposal</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a. Content.  The technical proposal must convey an understanding of the problems or limitations of the general technology area and the intended application(s). The technical proposal shall include the following items.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(1) Executive Summary:  Describe the proposed program, objectives, and approach.  A description of the innovation and benefits of the proposed approach and relationship to previous efforts should be discussed.  It should summarize the technical issues addressed by the </w:t>
      </w: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 xml:space="preserve"> proposal without repeating the requirements.  This should provide a vision of what will ultimately be achieved and what solution this effort will produce.</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(2) Program Description:  Describe the techniques, methods, materials, or ideas that will be addressed in this proposal, their innovation, and to what degree they advance the state-of-the-art.</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lastRenderedPageBreak/>
        <w:t xml:space="preserve">(3) Program Plan:  Describe in detail the planned approach and how the plan will be executed.  This section should include all technical aspects of the approach.  Provide technical detail and analysis necessary to support the technical approach proposed.  Clearly identify the core of the intended approach.  The “new and creative” solution to the problem(s) should be developed and analyzed in this section.  Include a risk assessment of key technical, schedule or cost areas and their potential impact on the program.  Identify why proposed subcontractors were selected and what tasks they are to perform.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(4) Contractor’s Statement of Work (C-SOW):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 xml:space="preserve">(A)  The C-SOW, a stand-alone document, should detail the research to be accomplished under the technical area and should be suitable for incorporation into the awarded document.  The proposed C-SOW should summarize the technical methodology and the task description, but not to the extent to make the awarded instrument inflexible.  </w:t>
      </w:r>
      <w:r w:rsidRPr="00AE01E5">
        <w:rPr>
          <w:rFonts w:ascii="Times New Roman" w:eastAsia="Times New Roman" w:hAnsi="Times New Roman" w:cs="Times New Roman"/>
          <w:b/>
          <w:color w:val="000000"/>
          <w:sz w:val="24"/>
          <w:szCs w:val="24"/>
        </w:rPr>
        <w:t>Do not include any proprietary information in the C-SOW.</w:t>
      </w:r>
      <w:r w:rsidRPr="00AE01E5">
        <w:rPr>
          <w:rFonts w:ascii="Times New Roman" w:eastAsia="Times New Roman" w:hAnsi="Times New Roman" w:cs="Times New Roman"/>
          <w:color w:val="000000"/>
          <w:sz w:val="24"/>
          <w:szCs w:val="24"/>
        </w:rPr>
        <w:t xml:space="preserve">  Contractors may request copies of our contracts under the Freedom </w:t>
      </w:r>
      <w:proofErr w:type="gramStart"/>
      <w:r w:rsidRPr="00AE01E5">
        <w:rPr>
          <w:rFonts w:ascii="Times New Roman" w:eastAsia="Times New Roman" w:hAnsi="Times New Roman" w:cs="Times New Roman"/>
          <w:color w:val="000000"/>
          <w:sz w:val="24"/>
          <w:szCs w:val="24"/>
        </w:rPr>
        <w:t>Of</w:t>
      </w:r>
      <w:proofErr w:type="gramEnd"/>
      <w:r w:rsidRPr="00AE01E5">
        <w:rPr>
          <w:rFonts w:ascii="Times New Roman" w:eastAsia="Times New Roman" w:hAnsi="Times New Roman" w:cs="Times New Roman"/>
          <w:color w:val="000000"/>
          <w:sz w:val="24"/>
          <w:szCs w:val="24"/>
        </w:rPr>
        <w:t xml:space="preserve"> Information Act.  Consequently, it is imperative that no company-sensitive information be included in the C-SOW.  The C-SOW should include the anticipated deliverables (hardware, software, reports, etc.).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 xml:space="preserve">(B)  The following is offered as a recommended format for the C-SOW.  The C-SOW should be structured in three sections; Scope, Applicable Documents, And Requirements.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SCOPE:  This section includes a statement of what the program covers.  This should include the technology area to be investigated, objectives/goals, and major milestones for the effort.  It defines the breadth and limitations of the work to be done.</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APPLICABLE DOCUMENTS:  This section includes reference documents needed to identify or clarify the work to be performed.</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REQUIREMENTS:  This section identifies the specific work to be performed.  The work effort should be arranged into major tasks and identified in separately numbered paragraphs.  Each numbered major task should delineate by subtask the work to be performed and should follow an outline numbering scheme.  The C-SOW must identify all reviews and when/where (identify by milestone or task) that will be conducted.  It must also identify any and all items (hardware, software, reports, etc.) to be delivered to the Government as a result of the program.</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lastRenderedPageBreak/>
        <w:tab/>
        <w:t xml:space="preserve">(5) Milestone Chart:  A Milestone Chart should indicate when specific objectives are expected to be met in the overall program schedule and should identify the specific accomplishments necessary to </w:t>
      </w:r>
      <w:proofErr w:type="gramStart"/>
      <w:r w:rsidRPr="00AE01E5">
        <w:rPr>
          <w:rFonts w:ascii="Times New Roman" w:eastAsia="Times New Roman" w:hAnsi="Times New Roman" w:cs="Times New Roman"/>
          <w:color w:val="000000"/>
          <w:sz w:val="24"/>
          <w:szCs w:val="24"/>
        </w:rPr>
        <w:t>proceed</w:t>
      </w:r>
      <w:proofErr w:type="gramEnd"/>
      <w:r w:rsidRPr="00AE01E5">
        <w:rPr>
          <w:rFonts w:ascii="Times New Roman" w:eastAsia="Times New Roman" w:hAnsi="Times New Roman" w:cs="Times New Roman"/>
          <w:color w:val="000000"/>
          <w:sz w:val="24"/>
          <w:szCs w:val="24"/>
        </w:rPr>
        <w:t xml:space="preserve"> to the next task.  Provide a schedule of when the deliverable items identified in the award are to be delivered.</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 xml:space="preserve">(6) Facilities and Equipment description:  Describe the facilities that can be used to achieve the goals of the program, in terms of manufacturing capability, testing facilities, and/or any relevant specialized equipment.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 xml:space="preserve">(7) Description of Relevant Prior Work:  Provide a list of related previous or current government, commercial, or internally funded work during the past five years.  For each such effort, provide the principal investigator, title of effort, contract number, </w:t>
      </w:r>
      <w:proofErr w:type="gramStart"/>
      <w:r w:rsidRPr="00AE01E5">
        <w:rPr>
          <w:rFonts w:ascii="Times New Roman" w:eastAsia="Times New Roman" w:hAnsi="Times New Roman" w:cs="Times New Roman"/>
          <w:color w:val="000000"/>
          <w:sz w:val="24"/>
          <w:szCs w:val="24"/>
        </w:rPr>
        <w:t>brief</w:t>
      </w:r>
      <w:proofErr w:type="gramEnd"/>
      <w:r w:rsidRPr="00AE01E5">
        <w:rPr>
          <w:rFonts w:ascii="Times New Roman" w:eastAsia="Times New Roman" w:hAnsi="Times New Roman" w:cs="Times New Roman"/>
          <w:color w:val="000000"/>
          <w:sz w:val="24"/>
          <w:szCs w:val="24"/>
        </w:rPr>
        <w:t xml:space="preserve"> summary of results, dollar value, and a technical and contracting point of contact, including phone numbers, for the funding organizations.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 xml:space="preserve">(8) Management Plan:  </w:t>
      </w: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 xml:space="preserve"> should provide an approach that demonstrates the ability to effectively and efficiently manage and administer the research program to a successful conclusion.</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 xml:space="preserve">(9) Resumes of Key Individuals:  Include brief summaries of resumes of relevant key individuals including any consultants or subcontractors that might be proposed.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r>
      <w:r w:rsidRPr="00AE01E5">
        <w:rPr>
          <w:rFonts w:ascii="Times New Roman" w:eastAsia="Times New Roman" w:hAnsi="Times New Roman" w:cs="Times New Roman"/>
          <w:color w:val="000000"/>
          <w:sz w:val="24"/>
          <w:szCs w:val="24"/>
        </w:rPr>
        <w:tab/>
        <w:t xml:space="preserve">b. Page Limitations.  The technical proposal including the C-SOW shall be limited to </w:t>
      </w:r>
      <w:r w:rsidRPr="00AE01E5">
        <w:rPr>
          <w:rFonts w:ascii="Times New Roman" w:eastAsia="Times New Roman" w:hAnsi="Times New Roman" w:cs="Times New Roman"/>
          <w:b/>
          <w:bCs/>
          <w:color w:val="000000"/>
          <w:sz w:val="24"/>
          <w:szCs w:val="24"/>
        </w:rPr>
        <w:t>30</w:t>
      </w:r>
      <w:r w:rsidRPr="00AE01E5">
        <w:rPr>
          <w:rFonts w:ascii="Times New Roman" w:eastAsia="Times New Roman" w:hAnsi="Times New Roman" w:cs="Times New Roman"/>
          <w:color w:val="000000"/>
          <w:sz w:val="24"/>
          <w:szCs w:val="24"/>
        </w:rPr>
        <w:t xml:space="preserve"> pages single spaced, double-sided, 8.5 by 11-inch pages.  Select an easy to read font no smaller than 12 pitch fixed or proportional font size 10 or larger.  Smaller type may be used in figures and tables as long as it is clearly legible.  The page limitation includes all information i.e., indices, photographs, foldouts (2 page), appendices, attachments, resumes, C-SOW, etc.  Each printed side counts as one page.  Blank pages, title pages, tables of content, lists, tabs or cover sheets are not included in the page count.  The Government will not consider pages in excess of this limitation.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Cost/Business Proposal</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Separate this proposal into a Cost section and a Business section.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r>
      <w:r w:rsidRPr="00AE01E5">
        <w:rPr>
          <w:rFonts w:ascii="Times New Roman" w:eastAsia="Times New Roman" w:hAnsi="Times New Roman" w:cs="Times New Roman"/>
          <w:color w:val="000000"/>
          <w:sz w:val="24"/>
          <w:szCs w:val="24"/>
        </w:rPr>
        <w:tab/>
        <w:t xml:space="preserve">a. Cost Section.  The cost proposal containing other than cost or pricing data shall be submitted in the format provided in the announcement and is necessary for the Government to perform a cost realism analysis.  Adequate price competition is anticipated for each solicitation issued unless stated otherwise in the announcement.  A determination as to the existence of adequate price competition will be made by the </w:t>
      </w:r>
      <w:proofErr w:type="gramStart"/>
      <w:r w:rsidRPr="00AE01E5">
        <w:rPr>
          <w:rFonts w:ascii="Times New Roman" w:eastAsia="Times New Roman" w:hAnsi="Times New Roman" w:cs="Times New Roman"/>
          <w:color w:val="000000"/>
          <w:sz w:val="24"/>
          <w:szCs w:val="24"/>
        </w:rPr>
        <w:lastRenderedPageBreak/>
        <w:t>cognizant</w:t>
      </w:r>
      <w:proofErr w:type="gramEnd"/>
      <w:r w:rsidRPr="00AE01E5">
        <w:rPr>
          <w:rFonts w:ascii="Times New Roman" w:eastAsia="Times New Roman" w:hAnsi="Times New Roman" w:cs="Times New Roman"/>
          <w:color w:val="000000"/>
          <w:sz w:val="24"/>
          <w:szCs w:val="24"/>
        </w:rPr>
        <w:t xml:space="preserve"> Procuring Contracting Officer on a case by case basis.  If adequate price competition is determined not to exist, the Government reserves the right to obtain certified cost or pricing data from the </w:t>
      </w:r>
      <w:proofErr w:type="spellStart"/>
      <w:r w:rsidRPr="00AE01E5">
        <w:rPr>
          <w:rFonts w:ascii="Times New Roman" w:eastAsia="Times New Roman" w:hAnsi="Times New Roman" w:cs="Times New Roman"/>
          <w:color w:val="000000"/>
          <w:sz w:val="24"/>
          <w:szCs w:val="24"/>
        </w:rPr>
        <w:t>offeror</w:t>
      </w:r>
      <w:proofErr w:type="spellEnd"/>
      <w:r w:rsidRPr="00AE01E5">
        <w:rPr>
          <w:rFonts w:ascii="Times New Roman" w:eastAsia="Times New Roman" w:hAnsi="Times New Roman" w:cs="Times New Roman"/>
          <w:color w:val="000000"/>
          <w:sz w:val="24"/>
          <w:szCs w:val="24"/>
        </w:rPr>
        <w:t xml:space="preserve">.  Each solicitation issued will contain the appropriate cost proposal instructions based upon the type of instrument the Government anticipates awarding.  </w:t>
      </w: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 xml:space="preserve"> are required to submit the electronic copy of their cost proposal worksheets on a compact disk in a PC compatible file format in Microsoft Office Excel 2003 or later version.  The file must contain all cell formulas.  Cost proposals have no page limitations but </w:t>
      </w: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 xml:space="preserve"> are requested to keep cost proposals to 75 pages as a goal.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r>
      <w:r w:rsidRPr="00AE01E5">
        <w:rPr>
          <w:rFonts w:ascii="Times New Roman" w:eastAsia="Times New Roman" w:hAnsi="Times New Roman" w:cs="Times New Roman"/>
          <w:color w:val="000000"/>
          <w:sz w:val="24"/>
          <w:szCs w:val="24"/>
        </w:rPr>
        <w:tab/>
        <w:t xml:space="preserve">b. Business Section.  The business section should contain all business aspects to the proposed contractual arrangement, such as type of contract/instrument, any unique terms and conditions, any exceptions to terms and conditions of the announcement or solicitation, and any information not technically related.  Provide rationale for exceptions.  As a goal, </w:t>
      </w: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 xml:space="preserve"> are requested to keep the business section to </w:t>
      </w:r>
      <w:r w:rsidRPr="00AE01E5">
        <w:rPr>
          <w:rFonts w:ascii="Times New Roman" w:eastAsia="Times New Roman" w:hAnsi="Times New Roman" w:cs="Times New Roman"/>
          <w:smallCaps/>
          <w:color w:val="000000"/>
          <w:sz w:val="24"/>
          <w:szCs w:val="24"/>
        </w:rPr>
        <w:t>20</w:t>
      </w:r>
      <w:r w:rsidRPr="00AE01E5">
        <w:rPr>
          <w:rFonts w:ascii="Times New Roman" w:eastAsia="Times New Roman" w:hAnsi="Times New Roman" w:cs="Times New Roman"/>
          <w:color w:val="000000"/>
          <w:sz w:val="24"/>
          <w:szCs w:val="24"/>
        </w:rPr>
        <w:t xml:space="preserve"> pages.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b/>
          <w:bCs/>
          <w:color w:val="000000"/>
          <w:sz w:val="24"/>
          <w:szCs w:val="24"/>
        </w:rPr>
      </w:pPr>
    </w:p>
    <w:p w:rsidR="00AE01E5" w:rsidRPr="00AE01E5" w:rsidRDefault="00AE01E5" w:rsidP="00AE01E5">
      <w:pPr>
        <w:numPr>
          <w:ilvl w:val="0"/>
          <w:numId w:val="2"/>
        </w:numPr>
        <w:autoSpaceDE w:val="0"/>
        <w:autoSpaceDN w:val="0"/>
        <w:adjustRightInd w:val="0"/>
        <w:spacing w:line="240" w:lineRule="auto"/>
        <w:contextualSpacing/>
        <w:rPr>
          <w:rFonts w:ascii="Times New Roman" w:eastAsia="Times New Roman" w:hAnsi="Times New Roman" w:cs="Times New Roman"/>
          <w:b/>
          <w:bCs/>
          <w:color w:val="000000"/>
          <w:sz w:val="24"/>
          <w:szCs w:val="24"/>
        </w:rPr>
      </w:pPr>
      <w:r w:rsidRPr="00AE01E5">
        <w:rPr>
          <w:rFonts w:ascii="Times New Roman" w:eastAsia="Times New Roman" w:hAnsi="Times New Roman" w:cs="Times New Roman"/>
          <w:b/>
          <w:bCs/>
          <w:color w:val="000000"/>
          <w:sz w:val="24"/>
          <w:szCs w:val="24"/>
        </w:rPr>
        <w:t xml:space="preserve">  PROPOSAL REVIEW AND EVALUATION PROCEDURES</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 xml:space="preserve">A.  GENERAL.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The Government reserves the right to select for award to responsible </w:t>
      </w: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Contractors any, all, part, or none of the proposals that are received in response to this announcement, subject to the availability of funds.  The technical and cost proposals will be evaluated at the same time.  You may be ineligible for award if all requirements of this announcement are not met by the proposal due date and time.  At minimum, incomplete proposals may be given lower priority and, although technically acceptable, not awarded due to funding limitations.  No further evaluation criteria will be used.</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B.  EVALUATION CRITERIA.</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The selection of one or more sources for award will be based on an evaluation of each </w:t>
      </w: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 xml:space="preserve"> proposal to determine the overall merit of the proposal in response to this announcement.  Proposals will be evaluated in accordance with FAR 35.016, Broad Agency Announcement.  The proposals will be evaluated utilizing a peer or scientific review process and shall be evaluated based on the following criteria that are listed in “DESCENDING” order of importance:</w:t>
      </w:r>
    </w:p>
    <w:p w:rsidR="00AE01E5" w:rsidRPr="00AE01E5" w:rsidRDefault="00AE01E5" w:rsidP="00AE01E5">
      <w:pPr>
        <w:numPr>
          <w:ilvl w:val="0"/>
          <w:numId w:val="1"/>
        </w:numPr>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Overall scientific and technical merits of the proposal;  </w:t>
      </w:r>
    </w:p>
    <w:p w:rsidR="00AE01E5" w:rsidRPr="00AE01E5" w:rsidRDefault="00AE01E5" w:rsidP="00AE01E5">
      <w:pPr>
        <w:numPr>
          <w:ilvl w:val="0"/>
          <w:numId w:val="1"/>
        </w:numPr>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Importance to NSWC programs; </w:t>
      </w:r>
    </w:p>
    <w:p w:rsidR="00AE01E5" w:rsidRPr="00AE01E5" w:rsidRDefault="00AE01E5" w:rsidP="00AE01E5">
      <w:pPr>
        <w:numPr>
          <w:ilvl w:val="0"/>
          <w:numId w:val="1"/>
        </w:numPr>
        <w:autoSpaceDE w:val="0"/>
        <w:autoSpaceDN w:val="0"/>
        <w:adjustRightInd w:val="0"/>
        <w:spacing w:after="0" w:line="240" w:lineRule="auto"/>
        <w:ind w:firstLine="0"/>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lastRenderedPageBreak/>
        <w:t>Fund availability/affordability</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Price will be a substantial consideration in selecting proposals for awards, but will be secondary to technical considerations.  Cost realism and reasonableness shall also be considered to the extent appropriate.  Price will be evaluated and may be negotiated if necessary on proposals selected for award.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C.  REVIEW AND SELECTION PROCESS</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The technical and cost proposals will be evaluated at the same time and categorized as follows:</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1.</w:t>
      </w:r>
      <w:r w:rsidRPr="00AE01E5">
        <w:rPr>
          <w:rFonts w:ascii="Times New Roman" w:eastAsia="Times New Roman" w:hAnsi="Times New Roman" w:cs="Times New Roman"/>
          <w:b/>
          <w:bCs/>
          <w:color w:val="000000"/>
          <w:sz w:val="24"/>
          <w:szCs w:val="24"/>
        </w:rPr>
        <w:t xml:space="preserve">  CATEGORY I</w:t>
      </w:r>
      <w:r w:rsidRPr="00AE01E5">
        <w:rPr>
          <w:rFonts w:ascii="Times New Roman" w:eastAsia="Times New Roman" w:hAnsi="Times New Roman" w:cs="Times New Roman"/>
          <w:color w:val="000000"/>
          <w:sz w:val="24"/>
          <w:szCs w:val="24"/>
        </w:rPr>
        <w:t xml:space="preserve">:  Well-conceived, scientifically and technically sound proposals important to program goals and objectives.  Proposals in Category I </w:t>
      </w:r>
      <w:proofErr w:type="gramStart"/>
      <w:r w:rsidRPr="00AE01E5">
        <w:rPr>
          <w:rFonts w:ascii="Times New Roman" w:eastAsia="Times New Roman" w:hAnsi="Times New Roman" w:cs="Times New Roman"/>
          <w:color w:val="000000"/>
          <w:sz w:val="24"/>
          <w:szCs w:val="24"/>
        </w:rPr>
        <w:t>are</w:t>
      </w:r>
      <w:proofErr w:type="gramEnd"/>
      <w:r w:rsidRPr="00AE01E5">
        <w:rPr>
          <w:rFonts w:ascii="Times New Roman" w:eastAsia="Times New Roman" w:hAnsi="Times New Roman" w:cs="Times New Roman"/>
          <w:color w:val="000000"/>
          <w:sz w:val="24"/>
          <w:szCs w:val="24"/>
        </w:rPr>
        <w:t xml:space="preserve"> recommended for acceptance subject to funding constraints.</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b/>
          <w:bCs/>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2.</w:t>
      </w:r>
      <w:r w:rsidRPr="00AE01E5">
        <w:rPr>
          <w:rFonts w:ascii="Times New Roman" w:eastAsia="Times New Roman" w:hAnsi="Times New Roman" w:cs="Times New Roman"/>
          <w:b/>
          <w:bCs/>
          <w:color w:val="000000"/>
          <w:sz w:val="24"/>
          <w:szCs w:val="24"/>
        </w:rPr>
        <w:t xml:space="preserve">  CATEGORY II</w:t>
      </w:r>
      <w:r w:rsidRPr="00AE01E5">
        <w:rPr>
          <w:rFonts w:ascii="Times New Roman" w:eastAsia="Times New Roman" w:hAnsi="Times New Roman" w:cs="Times New Roman"/>
          <w:color w:val="000000"/>
          <w:sz w:val="24"/>
          <w:szCs w:val="24"/>
        </w:rPr>
        <w:t>:  Scientifically or technically sound proposals that may require further development and may be recommended for acceptance, but are at a lower priority than Category I proposals and are not always funded.</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ab/>
        <w:t>3.</w:t>
      </w:r>
      <w:r w:rsidRPr="00AE01E5">
        <w:rPr>
          <w:rFonts w:ascii="Times New Roman" w:eastAsia="Times New Roman" w:hAnsi="Times New Roman" w:cs="Times New Roman"/>
          <w:b/>
          <w:bCs/>
          <w:color w:val="000000"/>
          <w:sz w:val="24"/>
          <w:szCs w:val="24"/>
        </w:rPr>
        <w:t xml:space="preserve">  CATEGORY III:  </w:t>
      </w:r>
      <w:r w:rsidRPr="00AE01E5">
        <w:rPr>
          <w:rFonts w:ascii="Times New Roman" w:eastAsia="Times New Roman" w:hAnsi="Times New Roman" w:cs="Times New Roman"/>
          <w:color w:val="000000"/>
          <w:sz w:val="24"/>
          <w:szCs w:val="24"/>
        </w:rPr>
        <w:t>Proposals not technical sound or do not meet agency needs and may be recommended for rejection.</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
    <w:p w:rsidR="00AE01E5" w:rsidRPr="00AE01E5" w:rsidRDefault="00AE01E5" w:rsidP="00AE01E5">
      <w:pPr>
        <w:numPr>
          <w:ilvl w:val="0"/>
          <w:numId w:val="2"/>
        </w:num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ELIGIBILITY INFORMATION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All responsible sources from academia and industry may submit proposals under this BAA.  Historically Black Colleges and Universities (HBCUs) and Minority Institutions (MIs) are encouraged to submit proposals and join others in submitting proposals.  However, no portion of this BAA will be set aside for HBCU and MI participation.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Federally Funded Research &amp; Development Centers (FFRDCs), including Department of Energy National Laboratories, are not eligible to receive awards under this BAA.  However, teaming arrangements between FFRDCs and eligible principal bidders are allowed so long as they are permitted under the sponsoring agreement between the Government and the specific FFRDC.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Navy laboratories and warfare centers as well as other Department of Defense and civilian agency laboratories are also not eligible to receive awards under this BAA and should not directly submit either white papers or full proposals in response to this BAA.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lastRenderedPageBreak/>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Teams are also encouraged and may submit proposals in any and all areas.  However, </w:t>
      </w:r>
      <w:proofErr w:type="spellStart"/>
      <w:r w:rsidRPr="00AE01E5">
        <w:rPr>
          <w:rFonts w:ascii="Times New Roman" w:eastAsia="Times New Roman" w:hAnsi="Times New Roman" w:cs="Times New Roman"/>
          <w:color w:val="000000"/>
          <w:sz w:val="23"/>
          <w:szCs w:val="23"/>
        </w:rPr>
        <w:t>Offerors</w:t>
      </w:r>
      <w:proofErr w:type="spellEnd"/>
      <w:r w:rsidRPr="00AE01E5">
        <w:rPr>
          <w:rFonts w:ascii="Times New Roman" w:eastAsia="Times New Roman" w:hAnsi="Times New Roman" w:cs="Times New Roman"/>
          <w:color w:val="000000"/>
          <w:sz w:val="23"/>
          <w:szCs w:val="23"/>
        </w:rPr>
        <w:t xml:space="preserve"> must be willing to cooperate and exchange software, data and other information in an integrated program with other contractors, as well as with system integrators, selected by NSWC Crane.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Some topics cover export controlled technologies.  Research in these areas is limited to “U.S. persons” as defined in the International Traffic in Arms Regulation (ITAR) – 22 CFR § 1201.1 et seq.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For Grant, Cooperative Agreement and Other Transaction Agreement applications</w:t>
      </w: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3"/>
          <w:szCs w:val="23"/>
        </w:rPr>
        <w:t>T</w:t>
      </w:r>
      <w:r w:rsidRPr="00AE01E5">
        <w:rPr>
          <w:rFonts w:ascii="Times New Roman" w:eastAsia="Times New Roman" w:hAnsi="Times New Roman" w:cs="Times New Roman"/>
          <w:sz w:val="24"/>
          <w:szCs w:val="24"/>
        </w:rPr>
        <w:t xml:space="preserve">he Federal Funding Accountability and Transparency Act of 2006 (Public Law 109-282), as amended by Section 6202 of Public Law 110-252, requires that all agencies establish requirements for recipients reporting information on </w:t>
      </w:r>
      <w:proofErr w:type="spellStart"/>
      <w:r w:rsidRPr="00AE01E5">
        <w:rPr>
          <w:rFonts w:ascii="Times New Roman" w:eastAsia="Times New Roman" w:hAnsi="Times New Roman" w:cs="Times New Roman"/>
          <w:sz w:val="24"/>
          <w:szCs w:val="24"/>
        </w:rPr>
        <w:t>subawards</w:t>
      </w:r>
      <w:proofErr w:type="spellEnd"/>
      <w:r w:rsidRPr="00AE01E5">
        <w:rPr>
          <w:rFonts w:ascii="Times New Roman" w:eastAsia="Times New Roman" w:hAnsi="Times New Roman" w:cs="Times New Roman"/>
          <w:sz w:val="24"/>
          <w:szCs w:val="24"/>
        </w:rPr>
        <w:t xml:space="preserve"> and executive total compensation as codified in 2 CFR 170.110.  Any company, non-profit agency or university that applies for financial assistance (either grants, cooperative agreements or other transaction agreements) as either a prime or sub-recipient under this BAA must provide information in their proposal that describes the necessary processes and systems in place to comply with the reporting requirements identified in 2 CFR 170.220 and Appendix A.  Entities are </w:t>
      </w:r>
      <w:r w:rsidRPr="00AE01E5">
        <w:rPr>
          <w:rFonts w:ascii="Times New Roman" w:eastAsia="Times New Roman" w:hAnsi="Times New Roman" w:cs="Times New Roman"/>
          <w:b/>
          <w:bCs/>
          <w:sz w:val="24"/>
          <w:szCs w:val="24"/>
        </w:rPr>
        <w:t>exempt</w:t>
      </w:r>
      <w:r w:rsidRPr="00AE01E5">
        <w:rPr>
          <w:rFonts w:ascii="Times New Roman" w:eastAsia="Times New Roman" w:hAnsi="Times New Roman" w:cs="Times New Roman"/>
          <w:sz w:val="24"/>
          <w:szCs w:val="24"/>
        </w:rPr>
        <w:t xml:space="preserve"> from this requirement </w:t>
      </w:r>
      <w:r w:rsidRPr="00AE01E5">
        <w:rPr>
          <w:rFonts w:ascii="Times New Roman" w:eastAsia="Times New Roman" w:hAnsi="Times New Roman" w:cs="Times New Roman"/>
          <w:b/>
          <w:bCs/>
          <w:sz w:val="24"/>
          <w:szCs w:val="24"/>
        </w:rPr>
        <w:t xml:space="preserve">UNLESS </w:t>
      </w:r>
      <w:r w:rsidRPr="00AE01E5">
        <w:rPr>
          <w:rFonts w:ascii="Times New Roman" w:eastAsia="Times New Roman" w:hAnsi="Times New Roman" w:cs="Times New Roman"/>
          <w:sz w:val="24"/>
          <w:szCs w:val="24"/>
        </w:rPr>
        <w:t xml:space="preserve">in the preceding fiscal year, it received:  a) 80 percent or more of its annual gross revenue in Federal contracts (and subcontracts), loans, grants (and </w:t>
      </w:r>
      <w:proofErr w:type="spellStart"/>
      <w:r w:rsidRPr="00AE01E5">
        <w:rPr>
          <w:rFonts w:ascii="Times New Roman" w:eastAsia="Times New Roman" w:hAnsi="Times New Roman" w:cs="Times New Roman"/>
          <w:sz w:val="24"/>
          <w:szCs w:val="24"/>
        </w:rPr>
        <w:t>subgrants</w:t>
      </w:r>
      <w:proofErr w:type="spellEnd"/>
      <w:r w:rsidRPr="00AE01E5">
        <w:rPr>
          <w:rFonts w:ascii="Times New Roman" w:eastAsia="Times New Roman" w:hAnsi="Times New Roman" w:cs="Times New Roman"/>
          <w:sz w:val="24"/>
          <w:szCs w:val="24"/>
        </w:rPr>
        <w:t xml:space="preserve">), and cooperative agreements; b) $25 million or more in annual gross revenue from Federal contracts (and subcontracts), loans, grants (and </w:t>
      </w:r>
      <w:proofErr w:type="spellStart"/>
      <w:r w:rsidRPr="00AE01E5">
        <w:rPr>
          <w:rFonts w:ascii="Times New Roman" w:eastAsia="Times New Roman" w:hAnsi="Times New Roman" w:cs="Times New Roman"/>
          <w:sz w:val="24"/>
          <w:szCs w:val="24"/>
        </w:rPr>
        <w:t>subgrants</w:t>
      </w:r>
      <w:proofErr w:type="spellEnd"/>
      <w:r w:rsidRPr="00AE01E5">
        <w:rPr>
          <w:rFonts w:ascii="Times New Roman" w:eastAsia="Times New Roman" w:hAnsi="Times New Roman" w:cs="Times New Roman"/>
          <w:sz w:val="24"/>
          <w:szCs w:val="24"/>
        </w:rPr>
        <w:t>), and cooperative agreements; and c) the public does not have access to information about the compensation of the senior executives through periodic reports filed under section 13(a) or 15(d) of the Securities Exchange Act of 1934 or section 6104 of the Internal Revenue Code of 1986.</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The </w:t>
      </w:r>
      <w:proofErr w:type="spellStart"/>
      <w:r w:rsidRPr="00AE01E5">
        <w:rPr>
          <w:rFonts w:ascii="Times New Roman" w:eastAsia="Times New Roman" w:hAnsi="Times New Roman" w:cs="Times New Roman"/>
          <w:color w:val="000000"/>
          <w:sz w:val="23"/>
          <w:szCs w:val="23"/>
        </w:rPr>
        <w:t>offeror</w:t>
      </w:r>
      <w:proofErr w:type="spellEnd"/>
      <w:r w:rsidRPr="00AE01E5">
        <w:rPr>
          <w:rFonts w:ascii="Times New Roman" w:eastAsia="Times New Roman" w:hAnsi="Times New Roman" w:cs="Times New Roman"/>
          <w:color w:val="000000"/>
          <w:sz w:val="23"/>
          <w:szCs w:val="23"/>
        </w:rPr>
        <w:t xml:space="preserve"> must use the Grants.gov forms from the application package template associated with the BAA on the Grants.gov web site located at </w:t>
      </w:r>
      <w:r w:rsidRPr="00AE01E5">
        <w:rPr>
          <w:rFonts w:ascii="Times New Roman" w:eastAsia="Times New Roman" w:hAnsi="Times New Roman" w:cs="Times New Roman"/>
          <w:color w:val="0000FF"/>
          <w:sz w:val="23"/>
          <w:szCs w:val="23"/>
        </w:rPr>
        <w:t>http://www.grants.gov/</w:t>
      </w:r>
      <w:r w:rsidRPr="00AE01E5">
        <w:rPr>
          <w:rFonts w:ascii="Times New Roman" w:eastAsia="Times New Roman" w:hAnsi="Times New Roman" w:cs="Times New Roman"/>
          <w:color w:val="000000"/>
          <w:sz w:val="23"/>
          <w:szCs w:val="23"/>
        </w:rPr>
        <w:t xml:space="preserve">. If options are proposed, the cost proposal must provide the pricing information for the option periods; failure to include the proposed costs for the option periods will result in the options not being included in the award. Assume that performance will start no earlier than three (3) months after the date the cost proposal is submitted. A separate Adobe .pdf document should be included in the application that provides appropriate justification and/or supporting documentation for each element of cost proposed.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The following information must be completed as follows in the SF 424 to ensure that the application is directed to the correct individual for review:  Block 4a, Federal Identifier:  Enter the previous Crane award number, or N00164 if the application is not a renewal or expansion of an existing award; Block 4b, Agency Routing Number:  Enter the three (3) digit Program Office Code (i.e., 321) and the Program Officers name, last name first, in brackets (i.e., [Parsley, Dallas]).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Please note that Volume I, Technical Proposal should be submitted as an attachment to the SF 424 rather than being inserted into Block 8, Project Narrative.  Block 8 should be completed with a statement that Volume 1 is attached.  To attach the Technical Proposal, </w:t>
      </w:r>
      <w:r w:rsidRPr="00AE01E5">
        <w:rPr>
          <w:rFonts w:ascii="Times New Roman" w:eastAsia="Times New Roman" w:hAnsi="Times New Roman" w:cs="Times New Roman"/>
          <w:color w:val="000000"/>
          <w:sz w:val="23"/>
          <w:szCs w:val="23"/>
        </w:rPr>
        <w:lastRenderedPageBreak/>
        <w:t xml:space="preserve">open the Attachment Form in the Optional Documents box of the application package, scroll down to the Attachment page, and follow the instructions.  The file should be titled “Volume I – Technical Proposal.”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3"/>
          <w:szCs w:val="23"/>
        </w:rPr>
      </w:pPr>
      <w:r w:rsidRPr="00AE01E5">
        <w:rPr>
          <w:rFonts w:ascii="Times New Roman" w:eastAsia="Times New Roman" w:hAnsi="Times New Roman" w:cs="Times New Roman"/>
          <w:b/>
          <w:bCs/>
          <w:sz w:val="23"/>
          <w:szCs w:val="23"/>
        </w:rPr>
        <w:t xml:space="preserve">    V</w:t>
      </w:r>
      <w:r w:rsidRPr="00AE01E5">
        <w:rPr>
          <w:rFonts w:ascii="Times New Roman" w:eastAsia="Times New Roman" w:hAnsi="Times New Roman" w:cs="Times New Roman"/>
          <w:b/>
          <w:bCs/>
          <w:sz w:val="24"/>
          <w:szCs w:val="24"/>
        </w:rPr>
        <w:t>.  Submission of Grant Proposals through Grants.gov</w:t>
      </w:r>
      <w:r w:rsidRPr="00AE01E5">
        <w:rPr>
          <w:rFonts w:ascii="Times New Roman" w:eastAsia="Times New Roman" w:hAnsi="Times New Roman" w:cs="Times New Roman"/>
          <w:b/>
          <w:bCs/>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3"/>
          <w:szCs w:val="23"/>
        </w:rPr>
      </w:pPr>
      <w:r w:rsidRPr="00AE01E5">
        <w:rPr>
          <w:rFonts w:ascii="Times New Roman" w:eastAsia="Times New Roman" w:hAnsi="Times New Roman" w:cs="Times New Roman"/>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3"/>
          <w:szCs w:val="23"/>
        </w:rPr>
        <w:t xml:space="preserve"> </w:t>
      </w:r>
      <w:r w:rsidRPr="00AE01E5">
        <w:rPr>
          <w:rFonts w:ascii="Times New Roman" w:eastAsia="Times New Roman" w:hAnsi="Times New Roman" w:cs="Times New Roman"/>
          <w:sz w:val="24"/>
          <w:szCs w:val="24"/>
        </w:rPr>
        <w:t xml:space="preserve">(NOT APPLICABLE TO PROPOSALS FOR CONTRACTS, COOPERATIVE AGREEMENTS, AND OTHER TRANSACTION AGREEMENTS)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Detailed instructions entitled “Grants.gov Electronic Application and Submission Information” on how to submit a grant proposal through Grants.gov may be found at the ONR website listed under the „Acquisition Department – Contracts &amp; Grants Submitting a Proposal” link at:  </w:t>
      </w:r>
      <w:hyperlink r:id="rId13" w:history="1">
        <w:r w:rsidRPr="00AE01E5">
          <w:rPr>
            <w:rFonts w:ascii="Times New Roman" w:eastAsia="Times New Roman" w:hAnsi="Times New Roman" w:cs="Times New Roman"/>
            <w:sz w:val="24"/>
            <w:szCs w:val="24"/>
          </w:rPr>
          <w:t>http://www.onr.navy.mil/Contracts-Grants/submit-proposal/grants-proposal/grants-gov.aspx</w:t>
        </w:r>
      </w:hyperlink>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By completing Block 17, the Grant Applicant is providing the certification on lobbying required by 32 CFR Part 28.  Refer to Section VI, “Award Administration Information” entitled “Certifications” for further information.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For electronic submission of grant full proposals, several one-time actions must be completed in order to submit an application through Grants.gov.  These include obtaining a Dun and Bradstreet Data Universal Numbering System (DUNS) number, registering with the Central Contract Registration (CCR), registering with the credential provider, and registering with Grants.gov.  See </w:t>
      </w:r>
      <w:hyperlink r:id="rId14" w:history="1">
        <w:r w:rsidRPr="00AE01E5">
          <w:rPr>
            <w:rFonts w:ascii="Times New Roman" w:eastAsia="Times New Roman" w:hAnsi="Times New Roman" w:cs="Times New Roman"/>
            <w:sz w:val="24"/>
            <w:szCs w:val="24"/>
          </w:rPr>
          <w:t>http://www.grants.gov</w:t>
        </w:r>
      </w:hyperlink>
      <w:r w:rsidRPr="00AE01E5">
        <w:rPr>
          <w:rFonts w:ascii="Times New Roman" w:eastAsia="Times New Roman" w:hAnsi="Times New Roman" w:cs="Times New Roman"/>
          <w:sz w:val="24"/>
          <w:szCs w:val="24"/>
        </w:rPr>
        <w:t xml:space="preserve">, specifically </w:t>
      </w:r>
      <w:hyperlink r:id="rId15" w:history="1">
        <w:r w:rsidRPr="00AE01E5">
          <w:rPr>
            <w:rFonts w:ascii="Times New Roman" w:eastAsia="Times New Roman" w:hAnsi="Times New Roman" w:cs="Times New Roman"/>
            <w:sz w:val="24"/>
            <w:szCs w:val="24"/>
          </w:rPr>
          <w:t>http://www.grants.gov/GetStarted</w:t>
        </w:r>
      </w:hyperlink>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Use the Grants.gov organization Registration Checklist at </w:t>
      </w:r>
      <w:hyperlink r:id="rId16" w:history="1">
        <w:r w:rsidRPr="00AE01E5">
          <w:rPr>
            <w:rFonts w:ascii="Times New Roman" w:eastAsia="Times New Roman" w:hAnsi="Times New Roman" w:cs="Times New Roman"/>
            <w:sz w:val="24"/>
            <w:szCs w:val="24"/>
          </w:rPr>
          <w:t>http://www.grants.gov/applicants/register_your_organziation.jsp</w:t>
        </w:r>
      </w:hyperlink>
      <w:r w:rsidRPr="00AE01E5">
        <w:rPr>
          <w:rFonts w:ascii="Times New Roman" w:eastAsia="Times New Roman" w:hAnsi="Times New Roman" w:cs="Times New Roman"/>
          <w:sz w:val="24"/>
          <w:szCs w:val="24"/>
        </w:rPr>
        <w:t xml:space="preserve"> which will provide guidance through the process.  Designating an E-Business Point of Contact (</w:t>
      </w:r>
      <w:proofErr w:type="spellStart"/>
      <w:r w:rsidRPr="00AE01E5">
        <w:rPr>
          <w:rFonts w:ascii="Times New Roman" w:eastAsia="Times New Roman" w:hAnsi="Times New Roman" w:cs="Times New Roman"/>
          <w:sz w:val="24"/>
          <w:szCs w:val="24"/>
        </w:rPr>
        <w:t>EBiz</w:t>
      </w:r>
      <w:proofErr w:type="spellEnd"/>
      <w:r w:rsidRPr="00AE01E5">
        <w:rPr>
          <w:rFonts w:ascii="Times New Roman" w:eastAsia="Times New Roman" w:hAnsi="Times New Roman" w:cs="Times New Roman"/>
          <w:sz w:val="24"/>
          <w:szCs w:val="24"/>
        </w:rPr>
        <w:t xml:space="preserve"> POC) and obtaining a special password called “MPIN” are important steps in the CCR registration process.  Applicants who are not registered with CCR and Grant.gov should allow at least 21 days </w:t>
      </w:r>
      <w:proofErr w:type="gramStart"/>
      <w:r w:rsidRPr="00AE01E5">
        <w:rPr>
          <w:rFonts w:ascii="Times New Roman" w:eastAsia="Times New Roman" w:hAnsi="Times New Roman" w:cs="Times New Roman"/>
          <w:sz w:val="24"/>
          <w:szCs w:val="24"/>
        </w:rPr>
        <w:t>to complete</w:t>
      </w:r>
      <w:proofErr w:type="gramEnd"/>
      <w:r w:rsidRPr="00AE01E5">
        <w:rPr>
          <w:rFonts w:ascii="Times New Roman" w:eastAsia="Times New Roman" w:hAnsi="Times New Roman" w:cs="Times New Roman"/>
          <w:sz w:val="24"/>
          <w:szCs w:val="24"/>
        </w:rPr>
        <w:t xml:space="preserve"> these requirements.  The process should be started as soon as possible.  Any questions relating to the registration process, system requirement, how an application form works, or the submittal process </w:t>
      </w:r>
      <w:r w:rsidRPr="00AE01E5">
        <w:rPr>
          <w:rFonts w:ascii="Times New Roman" w:eastAsia="Times New Roman" w:hAnsi="Times New Roman" w:cs="Times New Roman"/>
          <w:b/>
          <w:bCs/>
          <w:sz w:val="24"/>
          <w:szCs w:val="24"/>
        </w:rPr>
        <w:t>must</w:t>
      </w:r>
      <w:r w:rsidRPr="00AE01E5">
        <w:rPr>
          <w:rFonts w:ascii="Times New Roman" w:eastAsia="Times New Roman" w:hAnsi="Times New Roman" w:cs="Times New Roman"/>
          <w:sz w:val="24"/>
          <w:szCs w:val="24"/>
        </w:rPr>
        <w:t xml:space="preserve"> be directed to Grants.gov at 1-800-518-4726 or </w:t>
      </w:r>
      <w:hyperlink r:id="rId17" w:history="1">
        <w:r w:rsidRPr="00AE01E5">
          <w:rPr>
            <w:rFonts w:ascii="Times New Roman" w:eastAsia="Times New Roman" w:hAnsi="Times New Roman" w:cs="Times New Roman"/>
            <w:sz w:val="24"/>
            <w:szCs w:val="24"/>
          </w:rPr>
          <w:t>support@grants.gov</w:t>
        </w:r>
      </w:hyperlink>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b/>
          <w:bCs/>
          <w:sz w:val="24"/>
          <w:szCs w:val="24"/>
        </w:rPr>
        <w:t xml:space="preserve">Special Notices Relative to Grant Applications to be Submitted </w:t>
      </w:r>
      <w:proofErr w:type="gramStart"/>
      <w:r w:rsidRPr="00AE01E5">
        <w:rPr>
          <w:rFonts w:ascii="Times New Roman" w:eastAsia="Times New Roman" w:hAnsi="Times New Roman" w:cs="Times New Roman"/>
          <w:b/>
          <w:bCs/>
          <w:sz w:val="24"/>
          <w:szCs w:val="24"/>
        </w:rPr>
        <w:t>Through</w:t>
      </w:r>
      <w:proofErr w:type="gramEnd"/>
      <w:r w:rsidRPr="00AE01E5">
        <w:rPr>
          <w:rFonts w:ascii="Times New Roman" w:eastAsia="Times New Roman" w:hAnsi="Times New Roman" w:cs="Times New Roman"/>
          <w:b/>
          <w:bCs/>
          <w:sz w:val="24"/>
          <w:szCs w:val="24"/>
        </w:rPr>
        <w:t xml:space="preserve"> Grants.gov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All attachments to grant applications submitted through </w:t>
      </w:r>
      <w:hyperlink r:id="rId18" w:history="1">
        <w:r w:rsidRPr="00AE01E5">
          <w:rPr>
            <w:rFonts w:ascii="Times New Roman" w:eastAsia="Times New Roman" w:hAnsi="Times New Roman" w:cs="Times New Roman"/>
            <w:sz w:val="24"/>
            <w:szCs w:val="24"/>
          </w:rPr>
          <w:t>Grants.gov</w:t>
        </w:r>
      </w:hyperlink>
      <w:r w:rsidRPr="00AE01E5">
        <w:rPr>
          <w:rFonts w:ascii="Times New Roman" w:eastAsia="Times New Roman" w:hAnsi="Times New Roman" w:cs="Times New Roman"/>
          <w:sz w:val="24"/>
          <w:szCs w:val="24"/>
        </w:rPr>
        <w:t xml:space="preserve"> must be in Adobe Portable Document Format (i.e., .pdf files).  Proposals with attachments submitted in word processing, spreadsheet, or any format other than Adobe Portable Document Format will not be considered for award.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Applicants who have registered with Grants.gov are urged to submit their proposals electronically </w:t>
      </w:r>
      <w:r w:rsidRPr="00AE01E5">
        <w:rPr>
          <w:rFonts w:ascii="Times New Roman" w:eastAsia="Times New Roman" w:hAnsi="Times New Roman" w:cs="Times New Roman"/>
          <w:i/>
          <w:iCs/>
          <w:sz w:val="24"/>
          <w:szCs w:val="24"/>
        </w:rPr>
        <w:t xml:space="preserve">at least </w:t>
      </w:r>
      <w:r w:rsidRPr="00AE01E5">
        <w:rPr>
          <w:rFonts w:ascii="Times New Roman" w:eastAsia="Times New Roman" w:hAnsi="Times New Roman" w:cs="Times New Roman"/>
          <w:sz w:val="24"/>
          <w:szCs w:val="24"/>
        </w:rPr>
        <w:t xml:space="preserve">three days before the date and time that proposals are due so that they will not be received late and be ineligible for award consideration.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lastRenderedPageBreak/>
        <w:t xml:space="preserve">Proposal Receipt Notices: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After a full proposal is submitted through Grants.gov, the Authorized Organization Representative (AOR) will receive a series of three e-mails.  You will know that your proposal has reached Crane when the AOR receives e-mail Number 3.  You will need the Submission Receipt Number (e-mail Number 1) to track a submission.  The three e-mails are: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Number 1 – The applicant will receive a confirmation page upon completing the submission to Grants.gov.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Number 2 – The applicant will receive an e-mail indicating that the proposal has been validated by Grants.gov within two days of submission (this means that all of the required fields have been completed).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Number 3 – The third notice is an acknowledgement of receipt in e-mail form from NSWC Crane within ten days from the proposal due date, if applicable.  The e-mail is sent to the authorized representative for the institution.  The e-mail for proposals notes that the proposal has been received and provides the assigned tracking number.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b/>
          <w:bCs/>
          <w:sz w:val="24"/>
          <w:szCs w:val="24"/>
        </w:rPr>
        <w:t xml:space="preserve">NOTE: PROPOSALS SENT BY FAX, HARD COPY OR E-MAIL WILL NOT BE CONSIDERED.  NO HAND DELIVERIES.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p>
    <w:p w:rsidR="00AE01E5" w:rsidRPr="00AE01E5" w:rsidRDefault="00AE01E5" w:rsidP="00AE01E5">
      <w:pPr>
        <w:autoSpaceDE w:val="0"/>
        <w:autoSpaceDN w:val="0"/>
        <w:adjustRightInd w:val="0"/>
        <w:spacing w:line="240" w:lineRule="auto"/>
        <w:rPr>
          <w:rFonts w:ascii="Times New Roman" w:eastAsia="Times New Roman" w:hAnsi="Times New Roman" w:cs="Times New Roman"/>
          <w:sz w:val="24"/>
          <w:szCs w:val="24"/>
        </w:rPr>
      </w:pPr>
    </w:p>
    <w:p w:rsidR="00AE01E5" w:rsidRPr="00AE01E5" w:rsidRDefault="00AE01E5" w:rsidP="00AE01E5">
      <w:pPr>
        <w:numPr>
          <w:ilvl w:val="0"/>
          <w:numId w:val="2"/>
        </w:numPr>
        <w:autoSpaceDE w:val="0"/>
        <w:autoSpaceDN w:val="0"/>
        <w:adjustRightInd w:val="0"/>
        <w:spacing w:line="240" w:lineRule="auto"/>
        <w:contextualSpacing/>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 xml:space="preserve">  AWARD NOTICES</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color w:val="000000"/>
          <w:sz w:val="24"/>
          <w:szCs w:val="24"/>
        </w:rPr>
      </w:pPr>
      <w:proofErr w:type="spellStart"/>
      <w:r w:rsidRPr="00AE01E5">
        <w:rPr>
          <w:rFonts w:ascii="Times New Roman" w:eastAsia="Times New Roman" w:hAnsi="Times New Roman" w:cs="Times New Roman"/>
          <w:color w:val="000000"/>
          <w:sz w:val="24"/>
          <w:szCs w:val="24"/>
        </w:rPr>
        <w:t>Offerors</w:t>
      </w:r>
      <w:proofErr w:type="spellEnd"/>
      <w:r w:rsidRPr="00AE01E5">
        <w:rPr>
          <w:rFonts w:ascii="Times New Roman" w:eastAsia="Times New Roman" w:hAnsi="Times New Roman" w:cs="Times New Roman"/>
          <w:color w:val="000000"/>
          <w:sz w:val="24"/>
          <w:szCs w:val="24"/>
        </w:rPr>
        <w:t xml:space="preserve"> will be notified in writing whether or not their proposal is recommended for award.  An award recommendation is not to be construed to mean the award of a contract, grant or assistance instrument is assured, </w:t>
      </w:r>
      <w:proofErr w:type="gramStart"/>
      <w:r w:rsidRPr="00AE01E5">
        <w:rPr>
          <w:rFonts w:ascii="Times New Roman" w:eastAsia="Times New Roman" w:hAnsi="Times New Roman" w:cs="Times New Roman"/>
          <w:color w:val="000000"/>
          <w:sz w:val="24"/>
          <w:szCs w:val="24"/>
        </w:rPr>
        <w:t>as</w:t>
      </w:r>
      <w:proofErr w:type="gramEnd"/>
      <w:r w:rsidRPr="00AE01E5">
        <w:rPr>
          <w:rFonts w:ascii="Times New Roman" w:eastAsia="Times New Roman" w:hAnsi="Times New Roman" w:cs="Times New Roman"/>
          <w:color w:val="000000"/>
          <w:sz w:val="24"/>
          <w:szCs w:val="24"/>
        </w:rPr>
        <w:t xml:space="preserve"> availability of funds and successful negotiations are prerequisites to any award. </w:t>
      </w:r>
    </w:p>
    <w:p w:rsidR="00AE01E5" w:rsidRPr="00AE01E5" w:rsidRDefault="00AE01E5" w:rsidP="00AE01E5">
      <w:pPr>
        <w:numPr>
          <w:ilvl w:val="0"/>
          <w:numId w:val="2"/>
        </w:numPr>
        <w:autoSpaceDE w:val="0"/>
        <w:autoSpaceDN w:val="0"/>
        <w:adjustRightInd w:val="0"/>
        <w:spacing w:line="240" w:lineRule="auto"/>
        <w:contextualSpacing/>
        <w:rPr>
          <w:rFonts w:ascii="Times New Roman" w:eastAsia="Times New Roman" w:hAnsi="Times New Roman" w:cs="Times New Roman"/>
          <w:b/>
          <w:color w:val="000000"/>
          <w:sz w:val="24"/>
          <w:szCs w:val="24"/>
        </w:rPr>
      </w:pPr>
      <w:r w:rsidRPr="00AE01E5">
        <w:rPr>
          <w:rFonts w:ascii="Times New Roman" w:eastAsia="Times New Roman" w:hAnsi="Times New Roman" w:cs="Times New Roman"/>
          <w:b/>
          <w:color w:val="000000"/>
          <w:sz w:val="24"/>
          <w:szCs w:val="24"/>
        </w:rPr>
        <w:t>DEBRIEFINGS</w:t>
      </w:r>
    </w:p>
    <w:p w:rsidR="00AE01E5" w:rsidRPr="00AE01E5" w:rsidRDefault="00AE01E5" w:rsidP="00AE01E5">
      <w:pPr>
        <w:autoSpaceDE w:val="0"/>
        <w:autoSpaceDN w:val="0"/>
        <w:adjustRightInd w:val="0"/>
        <w:spacing w:line="240" w:lineRule="auto"/>
        <w:rPr>
          <w:rFonts w:ascii="Arial" w:eastAsia="Times New Roman" w:hAnsi="Arial" w:cs="Arial"/>
          <w:color w:val="000000"/>
        </w:rPr>
      </w:pPr>
      <w:r w:rsidRPr="00AE01E5">
        <w:rPr>
          <w:rFonts w:ascii="Times New Roman" w:eastAsia="Times New Roman" w:hAnsi="Times New Roman" w:cs="Times New Roman"/>
          <w:color w:val="000000"/>
          <w:sz w:val="24"/>
          <w:szCs w:val="24"/>
        </w:rPr>
        <w:t>When requested, a debriefing will be provided.  The debriefing process will follow the time guidelines set out in 10 USC 2305(b)(5), but the debriefing content will vary to be consistent with the procedures set out in FAR 35.016 governing BAAs.</w:t>
      </w:r>
      <w:r w:rsidRPr="00AE01E5">
        <w:rPr>
          <w:rFonts w:ascii="Arial" w:eastAsia="Times New Roman" w:hAnsi="Arial" w:cs="Arial"/>
          <w:color w:val="000000"/>
        </w:rPr>
        <w:t xml:space="preserve">  </w:t>
      </w:r>
    </w:p>
    <w:p w:rsidR="00AE01E5" w:rsidRPr="00AE01E5" w:rsidRDefault="00AE01E5" w:rsidP="00AE01E5">
      <w:pPr>
        <w:numPr>
          <w:ilvl w:val="0"/>
          <w:numId w:val="2"/>
        </w:numPr>
        <w:autoSpaceDE w:val="0"/>
        <w:autoSpaceDN w:val="0"/>
        <w:adjustRightInd w:val="0"/>
        <w:spacing w:line="240" w:lineRule="auto"/>
        <w:contextualSpacing/>
        <w:rPr>
          <w:rFonts w:ascii="Times New Roman" w:eastAsia="Times New Roman" w:hAnsi="Times New Roman" w:cs="Times New Roman"/>
          <w:b/>
          <w:bCs/>
          <w:sz w:val="24"/>
          <w:szCs w:val="24"/>
        </w:rPr>
      </w:pPr>
      <w:r w:rsidRPr="00AE01E5">
        <w:rPr>
          <w:rFonts w:ascii="Times New Roman" w:eastAsia="Times New Roman" w:hAnsi="Times New Roman" w:cs="Times New Roman"/>
          <w:b/>
          <w:bCs/>
          <w:sz w:val="24"/>
          <w:szCs w:val="24"/>
        </w:rPr>
        <w:t>OTHER INFORMATION</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b/>
          <w:bCs/>
          <w:color w:val="000000"/>
          <w:sz w:val="23"/>
          <w:szCs w:val="23"/>
        </w:rPr>
        <w:t xml:space="preserve">CERTIFICATION REGARDING LOBBYING ACTIVITIES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(1) 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lastRenderedPageBreak/>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(3) The applicant shall require that the language of this certification be included in the award documents for all </w:t>
      </w:r>
      <w:proofErr w:type="spellStart"/>
      <w:r w:rsidRPr="00AE01E5">
        <w:rPr>
          <w:rFonts w:ascii="Times New Roman" w:eastAsia="Times New Roman" w:hAnsi="Times New Roman" w:cs="Times New Roman"/>
          <w:color w:val="000000"/>
          <w:sz w:val="24"/>
          <w:szCs w:val="24"/>
        </w:rPr>
        <w:t>subawards</w:t>
      </w:r>
      <w:proofErr w:type="spellEnd"/>
      <w:r w:rsidRPr="00AE01E5">
        <w:rPr>
          <w:rFonts w:ascii="Times New Roman" w:eastAsia="Times New Roman" w:hAnsi="Times New Roman" w:cs="Times New Roman"/>
          <w:color w:val="000000"/>
          <w:sz w:val="24"/>
          <w:szCs w:val="24"/>
        </w:rPr>
        <w:t xml:space="preserve"> at all tiers (including subcontracts, </w:t>
      </w:r>
      <w:proofErr w:type="spellStart"/>
      <w:r w:rsidRPr="00AE01E5">
        <w:rPr>
          <w:rFonts w:ascii="Times New Roman" w:eastAsia="Times New Roman" w:hAnsi="Times New Roman" w:cs="Times New Roman"/>
          <w:color w:val="000000"/>
          <w:sz w:val="24"/>
          <w:szCs w:val="24"/>
        </w:rPr>
        <w:t>subgrants</w:t>
      </w:r>
      <w:proofErr w:type="spellEnd"/>
      <w:r w:rsidRPr="00AE01E5">
        <w:rPr>
          <w:rFonts w:ascii="Times New Roman" w:eastAsia="Times New Roman" w:hAnsi="Times New Roman" w:cs="Times New Roman"/>
          <w:color w:val="000000"/>
          <w:sz w:val="24"/>
          <w:szCs w:val="24"/>
        </w:rPr>
        <w:t xml:space="preserve">, and contracts under grants, loans, and cooperative agreements) and that all </w:t>
      </w:r>
      <w:proofErr w:type="spellStart"/>
      <w:r w:rsidRPr="00AE01E5">
        <w:rPr>
          <w:rFonts w:ascii="Times New Roman" w:eastAsia="Times New Roman" w:hAnsi="Times New Roman" w:cs="Times New Roman"/>
          <w:color w:val="000000"/>
          <w:sz w:val="24"/>
          <w:szCs w:val="24"/>
        </w:rPr>
        <w:t>subrecipients</w:t>
      </w:r>
      <w:proofErr w:type="spellEnd"/>
      <w:r w:rsidRPr="00AE01E5">
        <w:rPr>
          <w:rFonts w:ascii="Times New Roman" w:eastAsia="Times New Roman" w:hAnsi="Times New Roman" w:cs="Times New Roman"/>
          <w:color w:val="000000"/>
          <w:sz w:val="24"/>
          <w:szCs w:val="24"/>
        </w:rPr>
        <w:t xml:space="preserve"> shall certify and disclose accordingly.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Organizational Conflicts of Interest</w:t>
      </w: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3"/>
          <w:szCs w:val="23"/>
        </w:rPr>
      </w:pPr>
      <w:r w:rsidRPr="00AE01E5">
        <w:rPr>
          <w:rFonts w:ascii="Times New Roman" w:eastAsia="Times New Roman" w:hAnsi="Times New Roman" w:cs="Times New Roman"/>
          <w:color w:val="000000"/>
          <w:sz w:val="23"/>
          <w:szCs w:val="23"/>
        </w:rPr>
        <w:t xml:space="preserve"> </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sz w:val="24"/>
          <w:szCs w:val="24"/>
        </w:rPr>
      </w:pPr>
      <w:r w:rsidRPr="00AE01E5">
        <w:rPr>
          <w:rFonts w:ascii="Times New Roman" w:eastAsia="Times New Roman" w:hAnsi="Times New Roman" w:cs="Times New Roman"/>
          <w:sz w:val="24"/>
          <w:szCs w:val="24"/>
        </w:rPr>
        <w:t xml:space="preserve">All </w:t>
      </w:r>
      <w:proofErr w:type="spellStart"/>
      <w:r w:rsidRPr="00AE01E5">
        <w:rPr>
          <w:rFonts w:ascii="Times New Roman" w:eastAsia="Times New Roman" w:hAnsi="Times New Roman" w:cs="Times New Roman"/>
          <w:sz w:val="24"/>
          <w:szCs w:val="24"/>
        </w:rPr>
        <w:t>Offerors</w:t>
      </w:r>
      <w:proofErr w:type="spellEnd"/>
      <w:r w:rsidRPr="00AE01E5">
        <w:rPr>
          <w:rFonts w:ascii="Times New Roman" w:eastAsia="Times New Roman" w:hAnsi="Times New Roman" w:cs="Times New Roman"/>
          <w:sz w:val="24"/>
          <w:szCs w:val="24"/>
        </w:rPr>
        <w:t xml:space="preserve"> and proposed subcontractors must affirm whether they are providing scientific, engineering, and technical assistance (SETA) or similar support to any NSWC Crane technical office(s) through an active contract or subcontract.  All affirmations must state which office(s) the </w:t>
      </w:r>
      <w:proofErr w:type="spellStart"/>
      <w:r w:rsidRPr="00AE01E5">
        <w:rPr>
          <w:rFonts w:ascii="Times New Roman" w:eastAsia="Times New Roman" w:hAnsi="Times New Roman" w:cs="Times New Roman"/>
          <w:sz w:val="24"/>
          <w:szCs w:val="24"/>
        </w:rPr>
        <w:t>offeror</w:t>
      </w:r>
      <w:proofErr w:type="spellEnd"/>
      <w:r w:rsidRPr="00AE01E5">
        <w:rPr>
          <w:rFonts w:ascii="Times New Roman" w:eastAsia="Times New Roman" w:hAnsi="Times New Roman" w:cs="Times New Roman"/>
          <w:sz w:val="24"/>
          <w:szCs w:val="24"/>
        </w:rPr>
        <w:t xml:space="preserve"> supports and identify the prime contract numbers.  Affirmations shall be furnished at the time of proposal submission.  All facts relevant to the existence or potential existence of organizational conflicts of interest (FAR 9.5) must be disclosed.  The disclosure shall include a description of the action the </w:t>
      </w:r>
      <w:proofErr w:type="spellStart"/>
      <w:r w:rsidRPr="00AE01E5">
        <w:rPr>
          <w:rFonts w:ascii="Times New Roman" w:eastAsia="Times New Roman" w:hAnsi="Times New Roman" w:cs="Times New Roman"/>
          <w:sz w:val="24"/>
          <w:szCs w:val="24"/>
        </w:rPr>
        <w:t>offeror</w:t>
      </w:r>
      <w:proofErr w:type="spellEnd"/>
      <w:r w:rsidRPr="00AE01E5">
        <w:rPr>
          <w:rFonts w:ascii="Times New Roman" w:eastAsia="Times New Roman" w:hAnsi="Times New Roman" w:cs="Times New Roman"/>
          <w:sz w:val="24"/>
          <w:szCs w:val="24"/>
        </w:rPr>
        <w:t xml:space="preserve">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w:t>
      </w:r>
      <w:proofErr w:type="spellStart"/>
      <w:r w:rsidRPr="00AE01E5">
        <w:rPr>
          <w:rFonts w:ascii="Times New Roman" w:eastAsia="Times New Roman" w:hAnsi="Times New Roman" w:cs="Times New Roman"/>
          <w:sz w:val="24"/>
          <w:szCs w:val="24"/>
        </w:rPr>
        <w:t>offeror</w:t>
      </w:r>
      <w:proofErr w:type="spellEnd"/>
      <w:r w:rsidRPr="00AE01E5">
        <w:rPr>
          <w:rFonts w:ascii="Times New Roman" w:eastAsia="Times New Roman" w:hAnsi="Times New Roman" w:cs="Times New Roman"/>
          <w:sz w:val="24"/>
          <w:szCs w:val="24"/>
        </w:rPr>
        <w:t xml:space="preserve"> believes that any conflict of interest exists or may exist (whether organizational or otherwise), the </w:t>
      </w:r>
      <w:proofErr w:type="spellStart"/>
      <w:r w:rsidRPr="00AE01E5">
        <w:rPr>
          <w:rFonts w:ascii="Times New Roman" w:eastAsia="Times New Roman" w:hAnsi="Times New Roman" w:cs="Times New Roman"/>
          <w:sz w:val="24"/>
          <w:szCs w:val="24"/>
        </w:rPr>
        <w:t>offeror</w:t>
      </w:r>
      <w:proofErr w:type="spellEnd"/>
      <w:r w:rsidRPr="00AE01E5">
        <w:rPr>
          <w:rFonts w:ascii="Times New Roman" w:eastAsia="Times New Roman" w:hAnsi="Times New Roman" w:cs="Times New Roman"/>
          <w:sz w:val="24"/>
          <w:szCs w:val="24"/>
        </w:rPr>
        <w:t xml:space="preserve"> should promptly raise the issue with NSWC Crane by sending his/her contact information and a summary of the potential conflict by e-mail to the Business Point of Contact in Section I, item 7 above, before time and effort are expended in preparing a proposal and mitigation plan.  If, in the sole opinion of the Contracting Officer after full consideration of the circumstances, any conflict situation cannot be effectively avoided or mitigated, the proposal may be rejected without technical evaluation and withdrawn from further consideration for award under this BAA</w:t>
      </w:r>
    </w:p>
    <w:p w:rsidR="00AE01E5" w:rsidRPr="00AE01E5" w:rsidRDefault="00AE01E5" w:rsidP="00AE01E5">
      <w:pPr>
        <w:autoSpaceDE w:val="0"/>
        <w:autoSpaceDN w:val="0"/>
        <w:adjustRightInd w:val="0"/>
        <w:spacing w:line="240" w:lineRule="auto"/>
        <w:rPr>
          <w:rFonts w:ascii="Times New Roman" w:eastAsia="Times New Roman" w:hAnsi="Times New Roman" w:cs="Times New Roman"/>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b/>
          <w:bCs/>
          <w:color w:val="000000"/>
          <w:sz w:val="24"/>
          <w:szCs w:val="24"/>
        </w:rPr>
        <w:t>Executive Compensation and First-Tier Subcontract Reporting</w:t>
      </w: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proofErr w:type="gramStart"/>
      <w:r w:rsidRPr="00AE01E5">
        <w:rPr>
          <w:rFonts w:ascii="Times New Roman" w:eastAsia="Times New Roman" w:hAnsi="Times New Roman" w:cs="Times New Roman"/>
          <w:color w:val="000000"/>
          <w:sz w:val="24"/>
          <w:szCs w:val="24"/>
        </w:rPr>
        <w:lastRenderedPageBreak/>
        <w:t>Section 2(d) of the Federal Funding Accountability and Transparency Act of 2006 (Pub.</w:t>
      </w:r>
      <w:proofErr w:type="gramEnd"/>
      <w:r w:rsidRPr="00AE01E5">
        <w:rPr>
          <w:rFonts w:ascii="Times New Roman" w:eastAsia="Times New Roman" w:hAnsi="Times New Roman" w:cs="Times New Roman"/>
          <w:color w:val="000000"/>
          <w:sz w:val="24"/>
          <w:szCs w:val="24"/>
        </w:rPr>
        <w:t xml:space="preserve"> L. No. 109-282), as amended by section 6202 of the Government Funding Transparency Act of 2008 (Pub. L. 110-252), requires the Contractor to report information on subcontract awards.  The law requires all reported information be made </w:t>
      </w:r>
      <w:proofErr w:type="gramStart"/>
      <w:r w:rsidRPr="00AE01E5">
        <w:rPr>
          <w:rFonts w:ascii="Times New Roman" w:eastAsia="Times New Roman" w:hAnsi="Times New Roman" w:cs="Times New Roman"/>
          <w:color w:val="000000"/>
          <w:sz w:val="24"/>
          <w:szCs w:val="24"/>
        </w:rPr>
        <w:t>public,</w:t>
      </w:r>
      <w:proofErr w:type="gramEnd"/>
      <w:r w:rsidRPr="00AE01E5">
        <w:rPr>
          <w:rFonts w:ascii="Times New Roman" w:eastAsia="Times New Roman" w:hAnsi="Times New Roman" w:cs="Times New Roman"/>
          <w:color w:val="000000"/>
          <w:sz w:val="24"/>
          <w:szCs w:val="24"/>
        </w:rPr>
        <w:t xml:space="preserve"> therefore, the Contractor is responsible for notifying its subcontractors that the required information will be made public.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Unless otherwise directed by the Contracting Officer, by the end of the month following the month of award of a first-tier subcontract with a value of $25,000 or more, (and any modifications to these subcontracts that change previously reported data), the Contractor shall report the following information at </w:t>
      </w:r>
      <w:hyperlink r:id="rId19" w:history="1">
        <w:r w:rsidRPr="00AE01E5">
          <w:rPr>
            <w:rFonts w:ascii="Times New Roman" w:eastAsia="Times New Roman" w:hAnsi="Times New Roman" w:cs="Times New Roman"/>
            <w:color w:val="000000"/>
            <w:sz w:val="24"/>
            <w:szCs w:val="24"/>
          </w:rPr>
          <w:t>http://www.fsrs.gov</w:t>
        </w:r>
      </w:hyperlink>
      <w:r w:rsidRPr="00AE01E5">
        <w:rPr>
          <w:rFonts w:ascii="Times New Roman" w:eastAsia="Times New Roman" w:hAnsi="Times New Roman" w:cs="Times New Roman"/>
          <w:color w:val="000000"/>
          <w:sz w:val="24"/>
          <w:szCs w:val="24"/>
        </w:rPr>
        <w:t xml:space="preserve"> for each first-tier subcontract: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(a)  Unique identifier (DUNS Number) for the subcontractor receiving the award and for the </w:t>
      </w:r>
      <w:proofErr w:type="spellStart"/>
      <w:r w:rsidRPr="00AE01E5">
        <w:rPr>
          <w:rFonts w:ascii="Times New Roman" w:eastAsia="Times New Roman" w:hAnsi="Times New Roman" w:cs="Times New Roman"/>
          <w:color w:val="000000"/>
          <w:sz w:val="24"/>
          <w:szCs w:val="24"/>
        </w:rPr>
        <w:t>subcontractor</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parent company, if the subcontractor has one.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(b)  Name of the subcontractor.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(c)  Amount of the subcontract award.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(d)  Date of the subcontract award.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(e)  A description of the products or services (including construction) being provided under the subcontract, including the overall purpose and expected outcomes or results of the subcontract.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(f)  Subcontract number (the subcontract number assigned by the Contractor).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(g)  </w:t>
      </w:r>
      <w:proofErr w:type="spellStart"/>
      <w:r w:rsidRPr="00AE01E5">
        <w:rPr>
          <w:rFonts w:ascii="Times New Roman" w:eastAsia="Times New Roman" w:hAnsi="Times New Roman" w:cs="Times New Roman"/>
          <w:color w:val="000000"/>
          <w:sz w:val="24"/>
          <w:szCs w:val="24"/>
        </w:rPr>
        <w:t>Subcontractor</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physical address including street address, city, state, and country.  Also include the nine-digit zip code and congressional district.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(h)  </w:t>
      </w:r>
      <w:proofErr w:type="spellStart"/>
      <w:r w:rsidRPr="00AE01E5">
        <w:rPr>
          <w:rFonts w:ascii="Times New Roman" w:eastAsia="Times New Roman" w:hAnsi="Times New Roman" w:cs="Times New Roman"/>
          <w:color w:val="000000"/>
          <w:sz w:val="24"/>
          <w:szCs w:val="24"/>
        </w:rPr>
        <w:t>Subcontractor</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primary performance location including street address, city, state, and country.  Also include the nine-digit zip code and congressional district.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(i)  The prime contract number, and order number if applicable.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(j)  Awarding agency name and code.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(k)  Funding agency name and code.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(l)  Government contracting office code.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(m)  Treasury account symbol (TAS) as reported in FPDS.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(n)  The applicable North American Industry Classification System (NAICS) code.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lastRenderedPageBreak/>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By the end of the month following the month of a contract award, and annually thereafter, the Contractor shall report the names and total compensation of each of the five most highly compensated executives for the </w:t>
      </w:r>
      <w:proofErr w:type="spellStart"/>
      <w:r w:rsidRPr="00AE01E5">
        <w:rPr>
          <w:rFonts w:ascii="Times New Roman" w:eastAsia="Times New Roman" w:hAnsi="Times New Roman" w:cs="Times New Roman"/>
          <w:color w:val="000000"/>
          <w:sz w:val="24"/>
          <w:szCs w:val="24"/>
        </w:rPr>
        <w:t>Contractor</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preceding completed fiscal year at </w:t>
      </w:r>
      <w:hyperlink r:id="rId20" w:history="1">
        <w:r w:rsidRPr="00AE01E5">
          <w:rPr>
            <w:rFonts w:ascii="Times New Roman" w:eastAsia="Times New Roman" w:hAnsi="Times New Roman" w:cs="Times New Roman"/>
            <w:color w:val="000000"/>
            <w:sz w:val="24"/>
            <w:szCs w:val="24"/>
          </w:rPr>
          <w:t>http://www.ccr.gov</w:t>
        </w:r>
      </w:hyperlink>
      <w:r w:rsidRPr="00AE01E5">
        <w:rPr>
          <w:rFonts w:ascii="Times New Roman" w:eastAsia="Times New Roman" w:hAnsi="Times New Roman" w:cs="Times New Roman"/>
          <w:color w:val="000000"/>
          <w:sz w:val="24"/>
          <w:szCs w:val="24"/>
        </w:rPr>
        <w:t xml:space="preserve">, if –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(a)  In the </w:t>
      </w:r>
      <w:proofErr w:type="spellStart"/>
      <w:r w:rsidRPr="00AE01E5">
        <w:rPr>
          <w:rFonts w:ascii="Times New Roman" w:eastAsia="Times New Roman" w:hAnsi="Times New Roman" w:cs="Times New Roman"/>
          <w:color w:val="000000"/>
          <w:sz w:val="24"/>
          <w:szCs w:val="24"/>
        </w:rPr>
        <w:t>Contractor</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preceding fiscal year, the Contractor received –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(i)  80 percent or more of its annual gross revenues from Federal contracts (and subcontracts), loans, grants (and </w:t>
      </w:r>
      <w:proofErr w:type="spellStart"/>
      <w:r w:rsidRPr="00AE01E5">
        <w:rPr>
          <w:rFonts w:ascii="Times New Roman" w:eastAsia="Times New Roman" w:hAnsi="Times New Roman" w:cs="Times New Roman"/>
          <w:color w:val="000000"/>
          <w:sz w:val="24"/>
          <w:szCs w:val="24"/>
        </w:rPr>
        <w:t>subgrants</w:t>
      </w:r>
      <w:proofErr w:type="spellEnd"/>
      <w:r w:rsidRPr="00AE01E5">
        <w:rPr>
          <w:rFonts w:ascii="Times New Roman" w:eastAsia="Times New Roman" w:hAnsi="Times New Roman" w:cs="Times New Roman"/>
          <w:color w:val="000000"/>
          <w:sz w:val="24"/>
          <w:szCs w:val="24"/>
        </w:rPr>
        <w:t xml:space="preserve">) and cooperative agreements; and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(ii)  $25,000,000 or more in annual gross revenues from Federal contracts (and subcontracts), loans, grants (and </w:t>
      </w:r>
      <w:proofErr w:type="spellStart"/>
      <w:r w:rsidRPr="00AE01E5">
        <w:rPr>
          <w:rFonts w:ascii="Times New Roman" w:eastAsia="Times New Roman" w:hAnsi="Times New Roman" w:cs="Times New Roman"/>
          <w:color w:val="000000"/>
          <w:sz w:val="24"/>
          <w:szCs w:val="24"/>
        </w:rPr>
        <w:t>subgrants</w:t>
      </w:r>
      <w:proofErr w:type="spellEnd"/>
      <w:r w:rsidRPr="00AE01E5">
        <w:rPr>
          <w:rFonts w:ascii="Times New Roman" w:eastAsia="Times New Roman" w:hAnsi="Times New Roman" w:cs="Times New Roman"/>
          <w:color w:val="000000"/>
          <w:sz w:val="24"/>
          <w:szCs w:val="24"/>
        </w:rPr>
        <w:t xml:space="preserve">) and cooperative agreements; and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21" w:history="1">
        <w:r w:rsidRPr="00AE01E5">
          <w:rPr>
            <w:rFonts w:ascii="Times New Roman" w:eastAsia="Times New Roman" w:hAnsi="Times New Roman" w:cs="Times New Roman"/>
            <w:color w:val="000000"/>
            <w:sz w:val="24"/>
            <w:szCs w:val="24"/>
          </w:rPr>
          <w:t>http://www.sec.gov/answers/execomp.htm</w:t>
        </w:r>
      </w:hyperlink>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Unless otherwise directed by the Contracting Officer, by the end of the month following the month of a first-tier subcontract with a value of $25,000 or more, and annually thereafter, the Contractor shall report the names and total compensation of each of the five most highly compensated executives for each first-tier subcontractor for the </w:t>
      </w:r>
      <w:proofErr w:type="spellStart"/>
      <w:r w:rsidRPr="00AE01E5">
        <w:rPr>
          <w:rFonts w:ascii="Times New Roman" w:eastAsia="Times New Roman" w:hAnsi="Times New Roman" w:cs="Times New Roman"/>
          <w:color w:val="000000"/>
          <w:sz w:val="24"/>
          <w:szCs w:val="24"/>
        </w:rPr>
        <w:t>subcontractor</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preceding completed fiscal year at </w:t>
      </w:r>
      <w:hyperlink r:id="rId22" w:history="1">
        <w:r w:rsidRPr="00AE01E5">
          <w:rPr>
            <w:rFonts w:ascii="Times New Roman" w:eastAsia="Times New Roman" w:hAnsi="Times New Roman" w:cs="Times New Roman"/>
            <w:color w:val="000000"/>
            <w:sz w:val="24"/>
            <w:szCs w:val="24"/>
          </w:rPr>
          <w:t>http://www.fsrs.gov</w:t>
        </w:r>
      </w:hyperlink>
      <w:r w:rsidRPr="00AE01E5">
        <w:rPr>
          <w:rFonts w:ascii="Times New Roman" w:eastAsia="Times New Roman" w:hAnsi="Times New Roman" w:cs="Times New Roman"/>
          <w:color w:val="000000"/>
          <w:sz w:val="24"/>
          <w:szCs w:val="24"/>
        </w:rPr>
        <w:t xml:space="preserve">, if –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(a)  In the </w:t>
      </w:r>
      <w:proofErr w:type="spellStart"/>
      <w:r w:rsidRPr="00AE01E5">
        <w:rPr>
          <w:rFonts w:ascii="Times New Roman" w:eastAsia="Times New Roman" w:hAnsi="Times New Roman" w:cs="Times New Roman"/>
          <w:color w:val="000000"/>
          <w:sz w:val="24"/>
          <w:szCs w:val="24"/>
        </w:rPr>
        <w:t>subcontractor</w:t>
      </w:r>
      <w:r w:rsidRPr="00AE01E5">
        <w:rPr>
          <w:rFonts w:ascii="Lucida Sans Unicode" w:eastAsia="MS Mincho" w:hAnsi="Lucida Sans Unicode" w:cs="Lucida Sans Unicode"/>
          <w:color w:val="000000"/>
          <w:sz w:val="24"/>
          <w:szCs w:val="24"/>
        </w:rPr>
        <w:t>‟</w:t>
      </w:r>
      <w:r w:rsidRPr="00AE01E5">
        <w:rPr>
          <w:rFonts w:ascii="Times New Roman" w:eastAsia="Times New Roman" w:hAnsi="Times New Roman" w:cs="Times New Roman"/>
          <w:color w:val="000000"/>
          <w:sz w:val="24"/>
          <w:szCs w:val="24"/>
        </w:rPr>
        <w:t>s</w:t>
      </w:r>
      <w:proofErr w:type="spellEnd"/>
      <w:r w:rsidRPr="00AE01E5">
        <w:rPr>
          <w:rFonts w:ascii="Times New Roman" w:eastAsia="Times New Roman" w:hAnsi="Times New Roman" w:cs="Times New Roman"/>
          <w:color w:val="000000"/>
          <w:sz w:val="24"/>
          <w:szCs w:val="24"/>
        </w:rPr>
        <w:t xml:space="preserve"> preceding fiscal year, the subcontractor received –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(i)  80 percent or more of its annual gross revenues from Federal contracts (and subcontracts), loans, grants (and </w:t>
      </w:r>
      <w:proofErr w:type="spellStart"/>
      <w:r w:rsidRPr="00AE01E5">
        <w:rPr>
          <w:rFonts w:ascii="Times New Roman" w:eastAsia="Times New Roman" w:hAnsi="Times New Roman" w:cs="Times New Roman"/>
          <w:color w:val="000000"/>
          <w:sz w:val="24"/>
          <w:szCs w:val="24"/>
        </w:rPr>
        <w:t>subgrants</w:t>
      </w:r>
      <w:proofErr w:type="spellEnd"/>
      <w:r w:rsidRPr="00AE01E5">
        <w:rPr>
          <w:rFonts w:ascii="Times New Roman" w:eastAsia="Times New Roman" w:hAnsi="Times New Roman" w:cs="Times New Roman"/>
          <w:color w:val="000000"/>
          <w:sz w:val="24"/>
          <w:szCs w:val="24"/>
        </w:rPr>
        <w:t xml:space="preserve">) and cooperative agreements; and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(ii)  $25,000,000 or more in annual gross revenues from Federal contracts (and subcontracts), loans, grants (and </w:t>
      </w:r>
      <w:proofErr w:type="spellStart"/>
      <w:r w:rsidRPr="00AE01E5">
        <w:rPr>
          <w:rFonts w:ascii="Times New Roman" w:eastAsia="Times New Roman" w:hAnsi="Times New Roman" w:cs="Times New Roman"/>
          <w:color w:val="000000"/>
          <w:sz w:val="24"/>
          <w:szCs w:val="24"/>
        </w:rPr>
        <w:t>subgrants</w:t>
      </w:r>
      <w:proofErr w:type="spellEnd"/>
      <w:r w:rsidRPr="00AE01E5">
        <w:rPr>
          <w:rFonts w:ascii="Times New Roman" w:eastAsia="Times New Roman" w:hAnsi="Times New Roman" w:cs="Times New Roman"/>
          <w:color w:val="000000"/>
          <w:sz w:val="24"/>
          <w:szCs w:val="24"/>
        </w:rPr>
        <w:t xml:space="preserve">) and cooperative agreements; and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23" w:history="1">
        <w:r w:rsidRPr="00AE01E5">
          <w:rPr>
            <w:rFonts w:ascii="Times New Roman" w:eastAsia="Times New Roman" w:hAnsi="Times New Roman" w:cs="Times New Roman"/>
            <w:color w:val="000000"/>
            <w:sz w:val="24"/>
            <w:szCs w:val="24"/>
          </w:rPr>
          <w:t>http://www.sec.gov/answers/execomp.htm</w:t>
        </w:r>
      </w:hyperlink>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 </w:t>
      </w:r>
    </w:p>
    <w:p w:rsidR="00AE01E5" w:rsidRPr="00AE01E5" w:rsidRDefault="00AE01E5" w:rsidP="00AE01E5">
      <w:pPr>
        <w:autoSpaceDE w:val="0"/>
        <w:autoSpaceDN w:val="0"/>
        <w:adjustRightInd w:val="0"/>
        <w:spacing w:after="0" w:line="240" w:lineRule="auto"/>
        <w:rPr>
          <w:rFonts w:ascii="Times New Roman" w:eastAsia="Times New Roman" w:hAnsi="Times New Roman" w:cs="Times New Roman"/>
          <w:color w:val="000000"/>
          <w:sz w:val="24"/>
          <w:szCs w:val="24"/>
        </w:rPr>
      </w:pPr>
      <w:r w:rsidRPr="00AE01E5">
        <w:rPr>
          <w:rFonts w:ascii="Times New Roman" w:eastAsia="Times New Roman" w:hAnsi="Times New Roman" w:cs="Times New Roman"/>
          <w:color w:val="000000"/>
          <w:sz w:val="24"/>
          <w:szCs w:val="24"/>
        </w:rPr>
        <w:t xml:space="preserve">If the Contractor in the previous tax year had gross income, from all sources, under $300,000, the Contractor is exempt from the requirement to report subcontractor awards.  </w:t>
      </w:r>
      <w:r w:rsidRPr="00AE01E5">
        <w:rPr>
          <w:rFonts w:ascii="Times New Roman" w:eastAsia="Times New Roman" w:hAnsi="Times New Roman" w:cs="Times New Roman"/>
          <w:color w:val="000000"/>
          <w:sz w:val="24"/>
          <w:szCs w:val="24"/>
        </w:rPr>
        <w:lastRenderedPageBreak/>
        <w:t xml:space="preserve">Likewise, if a subcontractor in the previous tax year had gross income from all sources under $300,000, the Contractor does not need to report awards to that subcontractor. </w:t>
      </w:r>
    </w:p>
    <w:p w:rsidR="00995702" w:rsidRDefault="006979EE"/>
    <w:sectPr w:rsidR="00995702" w:rsidSect="002977F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46B4B"/>
    <w:multiLevelType w:val="hybridMultilevel"/>
    <w:tmpl w:val="BD3AF330"/>
    <w:lvl w:ilvl="0" w:tplc="9BC8CC94">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8E90386"/>
    <w:multiLevelType w:val="hybridMultilevel"/>
    <w:tmpl w:val="C79E8AF0"/>
    <w:lvl w:ilvl="0" w:tplc="B8AE6428">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nsid w:val="79836B93"/>
    <w:multiLevelType w:val="hybridMultilevel"/>
    <w:tmpl w:val="B2063B3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1E5"/>
    <w:rsid w:val="0072715E"/>
    <w:rsid w:val="00AE01E5"/>
    <w:rsid w:val="00F30DDC"/>
    <w:rsid w:val="00FC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1E5"/>
    <w:rPr>
      <w:rFonts w:ascii="Tahoma" w:hAnsi="Tahoma" w:cs="Tahoma"/>
      <w:sz w:val="16"/>
      <w:szCs w:val="16"/>
    </w:rPr>
  </w:style>
  <w:style w:type="character" w:styleId="Hyperlink">
    <w:name w:val="Hyperlink"/>
    <w:basedOn w:val="DefaultParagraphFont"/>
    <w:uiPriority w:val="99"/>
    <w:unhideWhenUsed/>
    <w:rsid w:val="00F30D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0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1E5"/>
    <w:rPr>
      <w:rFonts w:ascii="Tahoma" w:hAnsi="Tahoma" w:cs="Tahoma"/>
      <w:sz w:val="16"/>
      <w:szCs w:val="16"/>
    </w:rPr>
  </w:style>
  <w:style w:type="character" w:styleId="Hyperlink">
    <w:name w:val="Hyperlink"/>
    <w:basedOn w:val="DefaultParagraphFont"/>
    <w:uiPriority w:val="99"/>
    <w:unhideWhenUsed/>
    <w:rsid w:val="00F30D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nr.navy.mil/Contracts-Grants/submit-proposal/contracts-proposal/cost-proposal.aspx" TargetMode="External"/><Relationship Id="rId18" Type="http://schemas.openxmlformats.org/officeDocument/2006/relationships/hyperlink" Target="file://onrfiler/desorcl/BAA/Grants.gov" TargetMode="External"/><Relationship Id="rId3" Type="http://schemas.microsoft.com/office/2007/relationships/stylesWithEffects" Target="stylesWithEffects.xml"/><Relationship Id="rId21" Type="http://schemas.openxmlformats.org/officeDocument/2006/relationships/hyperlink" Target="http://www.sec.gov/answers/execomp.htm"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file://onrfiler/desorcl/BAA/support@grants.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rants.gov/applicants/register_your_organziation.jsp" TargetMode="External"/><Relationship Id="rId20" Type="http://schemas.openxmlformats.org/officeDocument/2006/relationships/hyperlink" Target="http://www.ccr.gov/" TargetMode="External"/><Relationship Id="rId1" Type="http://schemas.openxmlformats.org/officeDocument/2006/relationships/numbering" Target="numbering.xml"/><Relationship Id="rId6" Type="http://schemas.openxmlformats.org/officeDocument/2006/relationships/hyperlink" Target="mailto:brittany.s.lyons@navy.mil" TargetMode="Externa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rants.gov/GetStarted" TargetMode="External"/><Relationship Id="rId23" Type="http://schemas.openxmlformats.org/officeDocument/2006/relationships/hyperlink" Target="http://www.sec.gov/answers/execomp.htm" TargetMode="External"/><Relationship Id="rId10" Type="http://schemas.openxmlformats.org/officeDocument/2006/relationships/image" Target="media/image4.png"/><Relationship Id="rId19" Type="http://schemas.openxmlformats.org/officeDocument/2006/relationships/hyperlink" Target="http://www.fsrs.gov/"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grants.gov/" TargetMode="External"/><Relationship Id="rId22"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5712</Words>
  <Characters>32560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Brittany S CIV CXM, CSM</dc:creator>
  <cp:lastModifiedBy>Reynolds, Brittany S CIV CXM, CSM</cp:lastModifiedBy>
  <cp:revision>2</cp:revision>
  <dcterms:created xsi:type="dcterms:W3CDTF">2014-04-22T16:45:00Z</dcterms:created>
  <dcterms:modified xsi:type="dcterms:W3CDTF">2014-04-22T16:45:00Z</dcterms:modified>
</cp:coreProperties>
</file>