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15A3E"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bookmarkStart w:id="0" w:name="_GoBack"/>
      <w:bookmarkEnd w:id="0"/>
      <w:r>
        <w:rPr>
          <w:rStyle w:val="normaltextrun"/>
          <w:rFonts w:ascii="Calibri" w:hAnsi="Calibri" w:cs="Calibri"/>
          <w:b/>
          <w:bCs/>
          <w:u w:val="single"/>
        </w:rPr>
        <w:t>Department of State</w:t>
      </w:r>
      <w:r>
        <w:rPr>
          <w:rStyle w:val="eop"/>
          <w:rFonts w:ascii="Calibri" w:hAnsi="Calibri" w:cs="Calibri"/>
        </w:rPr>
        <w:t> </w:t>
      </w:r>
    </w:p>
    <w:p w14:paraId="0B0FD76A"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Bureau of African Affairs (AF)</w:t>
      </w:r>
      <w:r>
        <w:rPr>
          <w:rStyle w:val="eop"/>
          <w:rFonts w:ascii="Calibri" w:hAnsi="Calibri" w:cs="Calibri"/>
        </w:rPr>
        <w:t> </w:t>
      </w:r>
    </w:p>
    <w:p w14:paraId="79C7BDA5"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NOFO SFOP0006897</w:t>
      </w:r>
      <w:r>
        <w:rPr>
          <w:rStyle w:val="eop"/>
          <w:rFonts w:ascii="Calibri" w:hAnsi="Calibri" w:cs="Calibri"/>
        </w:rPr>
        <w:t> </w:t>
      </w:r>
    </w:p>
    <w:p w14:paraId="7EC34F5C" w14:textId="67D6FA47" w:rsidR="003208DC" w:rsidRDefault="00EB1DFB"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June</w:t>
      </w:r>
      <w:r w:rsidR="003208DC">
        <w:rPr>
          <w:rStyle w:val="normaltextrun"/>
          <w:rFonts w:ascii="Calibri" w:hAnsi="Calibri" w:cs="Calibri"/>
          <w:b/>
          <w:bCs/>
          <w:u w:val="single"/>
        </w:rPr>
        <w:t xml:space="preserve"> </w:t>
      </w:r>
      <w:r>
        <w:rPr>
          <w:rStyle w:val="normaltextrun"/>
          <w:rFonts w:ascii="Calibri" w:hAnsi="Calibri" w:cs="Calibri"/>
          <w:b/>
          <w:bCs/>
          <w:u w:val="single"/>
        </w:rPr>
        <w:t>0</w:t>
      </w:r>
      <w:r w:rsidR="0018068B">
        <w:rPr>
          <w:rStyle w:val="normaltextrun"/>
          <w:rFonts w:ascii="Calibri" w:hAnsi="Calibri" w:cs="Calibri"/>
          <w:b/>
          <w:bCs/>
          <w:u w:val="single"/>
        </w:rPr>
        <w:t>4</w:t>
      </w:r>
      <w:r w:rsidR="003208DC">
        <w:rPr>
          <w:rStyle w:val="normaltextrun"/>
          <w:rFonts w:ascii="Calibri" w:hAnsi="Calibri" w:cs="Calibri"/>
          <w:b/>
          <w:bCs/>
          <w:u w:val="single"/>
        </w:rPr>
        <w:t>, 2020</w:t>
      </w:r>
      <w:r w:rsidR="003208DC">
        <w:rPr>
          <w:rStyle w:val="eop"/>
          <w:rFonts w:ascii="Calibri" w:hAnsi="Calibri" w:cs="Calibri"/>
        </w:rPr>
        <w:t> </w:t>
      </w:r>
    </w:p>
    <w:p w14:paraId="25C87655"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eop"/>
          <w:rFonts w:ascii="Calibri" w:hAnsi="Calibri" w:cs="Calibri"/>
        </w:rPr>
        <w:t> </w:t>
      </w:r>
    </w:p>
    <w:p w14:paraId="167062BD"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 xml:space="preserve">“Police de </w:t>
      </w:r>
      <w:proofErr w:type="spellStart"/>
      <w:r>
        <w:rPr>
          <w:rStyle w:val="normaltextrun"/>
          <w:rFonts w:ascii="Calibri" w:hAnsi="Calibri" w:cs="Calibri"/>
          <w:b/>
          <w:bCs/>
          <w:u w:val="single"/>
        </w:rPr>
        <w:t>Proximite</w:t>
      </w:r>
      <w:proofErr w:type="spellEnd"/>
      <w:r>
        <w:rPr>
          <w:rStyle w:val="normaltextrun"/>
          <w:rFonts w:ascii="Calibri" w:hAnsi="Calibri" w:cs="Calibri"/>
          <w:b/>
          <w:bCs/>
          <w:u w:val="single"/>
        </w:rPr>
        <w:t xml:space="preserve">”: Community Policing in </w:t>
      </w:r>
      <w:proofErr w:type="spellStart"/>
      <w:r>
        <w:rPr>
          <w:rStyle w:val="normaltextrun"/>
          <w:rFonts w:ascii="Calibri" w:hAnsi="Calibri" w:cs="Calibri"/>
          <w:b/>
          <w:bCs/>
          <w:u w:val="single"/>
        </w:rPr>
        <w:t>Diffa</w:t>
      </w:r>
      <w:proofErr w:type="spellEnd"/>
      <w:r>
        <w:rPr>
          <w:rStyle w:val="normaltextrun"/>
          <w:rFonts w:ascii="Calibri" w:hAnsi="Calibri" w:cs="Calibri"/>
          <w:b/>
          <w:bCs/>
          <w:u w:val="single"/>
        </w:rPr>
        <w:t xml:space="preserve"> Region:  Q and A</w:t>
      </w:r>
      <w:r>
        <w:rPr>
          <w:rStyle w:val="eop"/>
          <w:rFonts w:ascii="Calibri" w:hAnsi="Calibri" w:cs="Calibri"/>
        </w:rPr>
        <w:t> </w:t>
      </w:r>
    </w:p>
    <w:p w14:paraId="7088A78D" w14:textId="77777777"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eop"/>
          <w:rFonts w:ascii="Calibri" w:hAnsi="Calibri" w:cs="Calibri"/>
        </w:rPr>
        <w:t> </w:t>
      </w:r>
    </w:p>
    <w:p w14:paraId="4590C395" w14:textId="50760959" w:rsidR="008F14FE" w:rsidRPr="008F14FE" w:rsidRDefault="003208DC" w:rsidP="008F14FE">
      <w:pPr>
        <w:rPr>
          <w:rFonts w:ascii="Times New Roman" w:eastAsia="Times New Roman" w:hAnsi="Times New Roman" w:cs="Times New Roman"/>
        </w:rPr>
      </w:pPr>
      <w:r w:rsidRPr="003208DC">
        <w:rPr>
          <w:rStyle w:val="normaltextrun"/>
          <w:rFonts w:cstheme="minorHAnsi"/>
          <w:b/>
          <w:bCs/>
        </w:rPr>
        <w:t>Question 1</w:t>
      </w:r>
      <w:r w:rsidRPr="003208DC">
        <w:rPr>
          <w:rStyle w:val="normaltextrun"/>
          <w:rFonts w:cstheme="minorHAnsi"/>
          <w:i/>
          <w:iCs/>
        </w:rPr>
        <w:t>.</w:t>
      </w:r>
      <w:r w:rsidRPr="003208DC">
        <w:rPr>
          <w:rFonts w:eastAsia="Times New Roman" w:cstheme="minorHAnsi"/>
          <w:color w:val="201F1E"/>
        </w:rPr>
        <w:t xml:space="preserve"> </w:t>
      </w:r>
      <w:r w:rsidR="0084389B" w:rsidRPr="0084389B">
        <w:rPr>
          <w:rFonts w:ascii="Calibri" w:hAnsi="Calibri" w:cs="Calibri"/>
          <w:i/>
          <w:iCs/>
          <w:color w:val="201F1E"/>
          <w:shd w:val="clear" w:color="auto" w:fill="FFFFFF"/>
        </w:rPr>
        <w:t>Regarding Objective 3 “Leverage the partnerships between civilian security forces and community leaders to promote defections from Boko Haram/ISIS-WA and support defector reintegration into communities, empowering female police officers and key community women leaders in contributing to this effort”, which partnerships did the Bureau of African Affairs anticipate will need to be leveraged to achieve the objective? Do partnerships refer to the security forces/community engagements that the project will foster or to new partnerships to be created between the various civilian security forces (</w:t>
      </w:r>
      <w:proofErr w:type="spellStart"/>
      <w:r w:rsidR="0084389B" w:rsidRPr="0084389B">
        <w:rPr>
          <w:rFonts w:ascii="Calibri" w:hAnsi="Calibri" w:cs="Calibri"/>
          <w:i/>
          <w:iCs/>
          <w:color w:val="201F1E"/>
          <w:shd w:val="clear" w:color="auto" w:fill="FFFFFF"/>
        </w:rPr>
        <w:t>Garde</w:t>
      </w:r>
      <w:proofErr w:type="spellEnd"/>
      <w:r w:rsidR="0084389B" w:rsidRPr="0084389B">
        <w:rPr>
          <w:rFonts w:ascii="Calibri" w:hAnsi="Calibri" w:cs="Calibri"/>
          <w:i/>
          <w:iCs/>
          <w:color w:val="201F1E"/>
          <w:shd w:val="clear" w:color="auto" w:fill="FFFFFF"/>
        </w:rPr>
        <w:t xml:space="preserve"> </w:t>
      </w:r>
      <w:proofErr w:type="spellStart"/>
      <w:r w:rsidR="0084389B" w:rsidRPr="0084389B">
        <w:rPr>
          <w:rFonts w:ascii="Calibri" w:hAnsi="Calibri" w:cs="Calibri"/>
          <w:i/>
          <w:iCs/>
          <w:color w:val="201F1E"/>
          <w:shd w:val="clear" w:color="auto" w:fill="FFFFFF"/>
        </w:rPr>
        <w:t>Nationale</w:t>
      </w:r>
      <w:proofErr w:type="spellEnd"/>
      <w:r w:rsidR="0084389B" w:rsidRPr="0084389B">
        <w:rPr>
          <w:rFonts w:ascii="Calibri" w:hAnsi="Calibri" w:cs="Calibri"/>
          <w:i/>
          <w:iCs/>
          <w:color w:val="201F1E"/>
          <w:shd w:val="clear" w:color="auto" w:fill="FFFFFF"/>
        </w:rPr>
        <w:t xml:space="preserve">, Police </w:t>
      </w:r>
      <w:proofErr w:type="spellStart"/>
      <w:r w:rsidR="0084389B" w:rsidRPr="0084389B">
        <w:rPr>
          <w:rFonts w:ascii="Calibri" w:hAnsi="Calibri" w:cs="Calibri"/>
          <w:i/>
          <w:iCs/>
          <w:color w:val="201F1E"/>
          <w:shd w:val="clear" w:color="auto" w:fill="FFFFFF"/>
        </w:rPr>
        <w:t>Nationale</w:t>
      </w:r>
      <w:proofErr w:type="spellEnd"/>
      <w:r w:rsidR="0084389B" w:rsidRPr="0084389B">
        <w:rPr>
          <w:rFonts w:ascii="Calibri" w:hAnsi="Calibri" w:cs="Calibri"/>
          <w:i/>
          <w:iCs/>
          <w:color w:val="201F1E"/>
          <w:shd w:val="clear" w:color="auto" w:fill="FFFFFF"/>
        </w:rPr>
        <w:t xml:space="preserve">, and Gendarmerie) that intervene in </w:t>
      </w:r>
      <w:proofErr w:type="spellStart"/>
      <w:r w:rsidR="0084389B" w:rsidRPr="0084389B">
        <w:rPr>
          <w:rFonts w:ascii="Calibri" w:hAnsi="Calibri" w:cs="Calibri"/>
          <w:i/>
          <w:iCs/>
          <w:color w:val="201F1E"/>
          <w:shd w:val="clear" w:color="auto" w:fill="FFFFFF"/>
        </w:rPr>
        <w:t>Diffa</w:t>
      </w:r>
      <w:proofErr w:type="spellEnd"/>
      <w:r w:rsidR="0084389B" w:rsidRPr="0084389B">
        <w:rPr>
          <w:rFonts w:ascii="Calibri" w:hAnsi="Calibri" w:cs="Calibri"/>
          <w:i/>
          <w:iCs/>
          <w:color w:val="201F1E"/>
          <w:shd w:val="clear" w:color="auto" w:fill="FFFFFF"/>
        </w:rPr>
        <w:t>?</w:t>
      </w:r>
    </w:p>
    <w:p w14:paraId="5DAC129A" w14:textId="77777777" w:rsidR="003208DC" w:rsidRPr="003208DC" w:rsidRDefault="003208DC" w:rsidP="003208DC">
      <w:pPr>
        <w:shd w:val="clear" w:color="auto" w:fill="FFFFFF"/>
        <w:spacing w:after="120"/>
        <w:rPr>
          <w:rFonts w:eastAsia="Times New Roman" w:cstheme="minorHAnsi"/>
          <w:color w:val="201F1E"/>
        </w:rPr>
      </w:pPr>
    </w:p>
    <w:p w14:paraId="2D52983B" w14:textId="49B9A393" w:rsidR="003208DC" w:rsidRDefault="003208DC" w:rsidP="003208DC">
      <w:pPr>
        <w:pStyle w:val="paragraph"/>
        <w:spacing w:before="0" w:beforeAutospacing="0" w:after="0" w:afterAutospacing="0"/>
        <w:ind w:right="-30"/>
        <w:textAlignment w:val="baseline"/>
        <w:rPr>
          <w:rStyle w:val="eop"/>
          <w:rFonts w:asciiTheme="minorHAnsi" w:hAnsiTheme="minorHAnsi" w:cstheme="minorHAnsi"/>
        </w:rPr>
      </w:pPr>
      <w:r w:rsidRPr="003208DC">
        <w:rPr>
          <w:rStyle w:val="normaltextrun"/>
          <w:rFonts w:asciiTheme="minorHAnsi" w:hAnsiTheme="minorHAnsi" w:cstheme="minorHAnsi"/>
          <w:b/>
          <w:bCs/>
        </w:rPr>
        <w:t>Response:</w:t>
      </w:r>
      <w:r w:rsidRPr="003208DC">
        <w:rPr>
          <w:rStyle w:val="normaltextrun"/>
          <w:rFonts w:asciiTheme="minorHAnsi" w:hAnsiTheme="minorHAnsi" w:cstheme="minorHAnsi"/>
        </w:rPr>
        <w:t> </w:t>
      </w:r>
      <w:r w:rsidR="0084389B" w:rsidRPr="0084389B">
        <w:rPr>
          <w:rFonts w:asciiTheme="minorHAnsi" w:hAnsiTheme="minorHAnsi" w:cstheme="minorHAnsi"/>
          <w:color w:val="000000"/>
          <w:shd w:val="clear" w:color="auto" w:fill="FFFFFF"/>
        </w:rPr>
        <w:t xml:space="preserve">The </w:t>
      </w:r>
      <w:r w:rsidR="00385EEF">
        <w:rPr>
          <w:rFonts w:asciiTheme="minorHAnsi" w:hAnsiTheme="minorHAnsi" w:cstheme="minorHAnsi"/>
          <w:color w:val="000000"/>
          <w:shd w:val="clear" w:color="auto" w:fill="FFFFFF"/>
        </w:rPr>
        <w:t>applicant should</w:t>
      </w:r>
      <w:r w:rsidR="0084389B" w:rsidRPr="0084389B">
        <w:rPr>
          <w:rFonts w:asciiTheme="minorHAnsi" w:hAnsiTheme="minorHAnsi" w:cstheme="minorHAnsi"/>
          <w:color w:val="000000"/>
          <w:shd w:val="clear" w:color="auto" w:fill="FFFFFF"/>
        </w:rPr>
        <w:t xml:space="preserve"> leverage both existing and newly established partnerships between </w:t>
      </w:r>
      <w:proofErr w:type="spellStart"/>
      <w:r w:rsidR="0084389B" w:rsidRPr="0084389B">
        <w:rPr>
          <w:rFonts w:asciiTheme="minorHAnsi" w:hAnsiTheme="minorHAnsi" w:cstheme="minorHAnsi"/>
          <w:color w:val="000000"/>
          <w:shd w:val="clear" w:color="auto" w:fill="FFFFFF"/>
        </w:rPr>
        <w:t>Diffa's</w:t>
      </w:r>
      <w:proofErr w:type="spellEnd"/>
      <w:r w:rsidR="0084389B" w:rsidRPr="0084389B">
        <w:rPr>
          <w:rFonts w:asciiTheme="minorHAnsi" w:hAnsiTheme="minorHAnsi" w:cstheme="minorHAnsi"/>
          <w:color w:val="000000"/>
          <w:shd w:val="clear" w:color="auto" w:fill="FFFFFF"/>
        </w:rPr>
        <w:t xml:space="preserve"> civilian population and security forces (those forces serving under a civilian statute, i.e. the Police </w:t>
      </w:r>
      <w:proofErr w:type="spellStart"/>
      <w:r w:rsidR="0084389B" w:rsidRPr="0084389B">
        <w:rPr>
          <w:rFonts w:asciiTheme="minorHAnsi" w:hAnsiTheme="minorHAnsi" w:cstheme="minorHAnsi"/>
          <w:color w:val="000000"/>
          <w:shd w:val="clear" w:color="auto" w:fill="FFFFFF"/>
        </w:rPr>
        <w:t>Nationale</w:t>
      </w:r>
      <w:proofErr w:type="spellEnd"/>
      <w:r w:rsidR="0084389B" w:rsidRPr="0084389B">
        <w:rPr>
          <w:rFonts w:asciiTheme="minorHAnsi" w:hAnsiTheme="minorHAnsi" w:cstheme="minorHAnsi"/>
          <w:color w:val="000000"/>
          <w:shd w:val="clear" w:color="auto" w:fill="FFFFFF"/>
        </w:rPr>
        <w:t xml:space="preserve"> and </w:t>
      </w:r>
      <w:proofErr w:type="spellStart"/>
      <w:r w:rsidR="0084389B" w:rsidRPr="0084389B">
        <w:rPr>
          <w:rFonts w:asciiTheme="minorHAnsi" w:hAnsiTheme="minorHAnsi" w:cstheme="minorHAnsi"/>
          <w:color w:val="000000"/>
          <w:shd w:val="clear" w:color="auto" w:fill="FFFFFF"/>
        </w:rPr>
        <w:t>Garde</w:t>
      </w:r>
      <w:proofErr w:type="spellEnd"/>
      <w:r w:rsidR="0084389B" w:rsidRPr="0084389B">
        <w:rPr>
          <w:rFonts w:asciiTheme="minorHAnsi" w:hAnsiTheme="minorHAnsi" w:cstheme="minorHAnsi"/>
          <w:color w:val="000000"/>
          <w:shd w:val="clear" w:color="auto" w:fill="FFFFFF"/>
        </w:rPr>
        <w:t xml:space="preserve"> </w:t>
      </w:r>
      <w:proofErr w:type="spellStart"/>
      <w:r w:rsidR="0084389B" w:rsidRPr="0084389B">
        <w:rPr>
          <w:rFonts w:asciiTheme="minorHAnsi" w:hAnsiTheme="minorHAnsi" w:cstheme="minorHAnsi"/>
          <w:color w:val="000000"/>
          <w:shd w:val="clear" w:color="auto" w:fill="FFFFFF"/>
        </w:rPr>
        <w:t>Nationale</w:t>
      </w:r>
      <w:proofErr w:type="spellEnd"/>
      <w:r w:rsidR="0084389B" w:rsidRPr="0084389B">
        <w:rPr>
          <w:rFonts w:asciiTheme="minorHAnsi" w:hAnsiTheme="minorHAnsi" w:cstheme="minorHAnsi"/>
          <w:color w:val="000000"/>
          <w:shd w:val="clear" w:color="auto" w:fill="FFFFFF"/>
        </w:rPr>
        <w:t xml:space="preserve">). The newly established partnerships that will result from the "Police de </w:t>
      </w:r>
      <w:proofErr w:type="spellStart"/>
      <w:r w:rsidR="0084389B" w:rsidRPr="0084389B">
        <w:rPr>
          <w:rFonts w:asciiTheme="minorHAnsi" w:hAnsiTheme="minorHAnsi" w:cstheme="minorHAnsi"/>
          <w:color w:val="000000"/>
          <w:shd w:val="clear" w:color="auto" w:fill="FFFFFF"/>
        </w:rPr>
        <w:t>Proximite</w:t>
      </w:r>
      <w:proofErr w:type="spellEnd"/>
      <w:r w:rsidR="0084389B" w:rsidRPr="0084389B">
        <w:rPr>
          <w:rFonts w:asciiTheme="minorHAnsi" w:hAnsiTheme="minorHAnsi" w:cstheme="minorHAnsi"/>
          <w:color w:val="000000"/>
          <w:shd w:val="clear" w:color="auto" w:fill="FFFFFF"/>
        </w:rPr>
        <w:t xml:space="preserve">" program itself remains a key community engagement mechanism. However, the Nigerien security forces may also already have some existing structures or networks in certain communities in the </w:t>
      </w:r>
      <w:proofErr w:type="spellStart"/>
      <w:r w:rsidR="0084389B" w:rsidRPr="0084389B">
        <w:rPr>
          <w:rFonts w:asciiTheme="minorHAnsi" w:hAnsiTheme="minorHAnsi" w:cstheme="minorHAnsi"/>
          <w:color w:val="000000"/>
          <w:shd w:val="clear" w:color="auto" w:fill="FFFFFF"/>
        </w:rPr>
        <w:t>Diffa</w:t>
      </w:r>
      <w:proofErr w:type="spellEnd"/>
      <w:r w:rsidR="0084389B" w:rsidRPr="0084389B">
        <w:rPr>
          <w:rFonts w:asciiTheme="minorHAnsi" w:hAnsiTheme="minorHAnsi" w:cstheme="minorHAnsi"/>
          <w:color w:val="000000"/>
          <w:shd w:val="clear" w:color="auto" w:fill="FFFFFF"/>
        </w:rPr>
        <w:t xml:space="preserve"> region. Accordingly, those partnerships should be leveraged and coordinated with when planning activities and initiatives throughout the regio</w:t>
      </w:r>
      <w:r w:rsidR="0084389B">
        <w:rPr>
          <w:rFonts w:asciiTheme="minorHAnsi" w:hAnsiTheme="minorHAnsi" w:cstheme="minorHAnsi"/>
          <w:color w:val="000000"/>
          <w:shd w:val="clear" w:color="auto" w:fill="FFFFFF"/>
        </w:rPr>
        <w:t>n</w:t>
      </w:r>
      <w:r w:rsidR="0084389B" w:rsidRPr="0084389B">
        <w:rPr>
          <w:rFonts w:asciiTheme="minorHAnsi" w:hAnsiTheme="minorHAnsi" w:cstheme="minorHAnsi"/>
          <w:color w:val="000000"/>
          <w:shd w:val="clear" w:color="auto" w:fill="FFFFFF"/>
        </w:rPr>
        <w:t>.</w:t>
      </w:r>
      <w:r w:rsidR="00EB1DFB">
        <w:rPr>
          <w:rStyle w:val="normaltextrun"/>
          <w:rFonts w:asciiTheme="minorHAnsi" w:hAnsiTheme="minorHAnsi" w:cstheme="minorHAnsi"/>
        </w:rPr>
        <w:t xml:space="preserve"> </w:t>
      </w:r>
      <w:r w:rsidRPr="003208DC">
        <w:rPr>
          <w:rStyle w:val="normaltextrun"/>
          <w:rFonts w:asciiTheme="minorHAnsi" w:hAnsiTheme="minorHAnsi" w:cstheme="minorHAnsi"/>
        </w:rPr>
        <w:t> </w:t>
      </w:r>
      <w:r>
        <w:rPr>
          <w:rStyle w:val="normaltextrun"/>
          <w:rFonts w:asciiTheme="minorHAnsi" w:hAnsiTheme="minorHAnsi" w:cstheme="minorHAnsi"/>
        </w:rPr>
        <w:t xml:space="preserve"> </w:t>
      </w:r>
    </w:p>
    <w:p w14:paraId="54A6D3B1" w14:textId="77777777" w:rsidR="003208DC" w:rsidRDefault="003208DC" w:rsidP="003208DC">
      <w:pPr>
        <w:pStyle w:val="paragraph"/>
        <w:spacing w:before="0" w:beforeAutospacing="0" w:after="0" w:afterAutospacing="0"/>
        <w:ind w:right="105"/>
        <w:textAlignment w:val="baseline"/>
        <w:rPr>
          <w:rStyle w:val="eop"/>
          <w:rFonts w:asciiTheme="minorHAnsi" w:hAnsiTheme="minorHAnsi" w:cstheme="minorHAnsi"/>
        </w:rPr>
      </w:pPr>
    </w:p>
    <w:p w14:paraId="1F14195A" w14:textId="77777777" w:rsidR="003208DC" w:rsidRPr="003208DC" w:rsidRDefault="003208DC" w:rsidP="003208DC">
      <w:pPr>
        <w:pStyle w:val="paragraph"/>
        <w:spacing w:before="0" w:beforeAutospacing="0" w:after="0" w:afterAutospacing="0"/>
        <w:ind w:right="105"/>
        <w:textAlignment w:val="baseline"/>
        <w:rPr>
          <w:rStyle w:val="eop"/>
          <w:rFonts w:asciiTheme="minorHAnsi" w:hAnsiTheme="minorHAnsi" w:cstheme="minorHAnsi"/>
        </w:rPr>
      </w:pPr>
    </w:p>
    <w:p w14:paraId="4B41A093" w14:textId="120739B4" w:rsidR="003208DC" w:rsidRPr="008F14FE" w:rsidRDefault="003208DC" w:rsidP="003208DC">
      <w:pPr>
        <w:shd w:val="clear" w:color="auto" w:fill="FFFFFF"/>
        <w:spacing w:after="120"/>
        <w:rPr>
          <w:rFonts w:eastAsia="Times New Roman" w:cstheme="minorHAnsi"/>
          <w:color w:val="201F1E"/>
        </w:rPr>
      </w:pPr>
    </w:p>
    <w:p w14:paraId="2FBA0DC1" w14:textId="77777777" w:rsidR="003208DC" w:rsidRDefault="003208DC" w:rsidP="003208DC">
      <w:pPr>
        <w:shd w:val="clear" w:color="auto" w:fill="FFFFFF"/>
        <w:spacing w:after="120"/>
        <w:rPr>
          <w:rFonts w:eastAsia="Times New Roman" w:cstheme="minorHAnsi"/>
          <w:b/>
          <w:color w:val="201F1E"/>
        </w:rPr>
      </w:pPr>
    </w:p>
    <w:p w14:paraId="2AAA03AD" w14:textId="7A83C879" w:rsidR="009F52E1" w:rsidRPr="003208DC" w:rsidRDefault="009F52E1" w:rsidP="003208DC">
      <w:pPr>
        <w:pStyle w:val="paragraph"/>
        <w:spacing w:before="0" w:beforeAutospacing="0" w:after="0" w:afterAutospacing="0"/>
        <w:ind w:right="105"/>
        <w:textAlignment w:val="baseline"/>
        <w:rPr>
          <w:rFonts w:asciiTheme="minorHAnsi" w:hAnsiTheme="minorHAnsi" w:cstheme="minorHAnsi"/>
          <w:b/>
        </w:rPr>
      </w:pPr>
      <w:r>
        <w:rPr>
          <w:rFonts w:asciiTheme="minorHAnsi" w:hAnsiTheme="minorHAnsi" w:cstheme="minorHAnsi"/>
          <w:b/>
        </w:rPr>
        <w:t xml:space="preserve"> </w:t>
      </w:r>
    </w:p>
    <w:sectPr w:rsidR="009F52E1" w:rsidRPr="003208DC" w:rsidSect="000619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1D52C" w14:textId="77777777" w:rsidR="000F258D" w:rsidRDefault="000F258D" w:rsidP="000F258D">
      <w:r>
        <w:separator/>
      </w:r>
    </w:p>
  </w:endnote>
  <w:endnote w:type="continuationSeparator" w:id="0">
    <w:p w14:paraId="5AE75FE5" w14:textId="77777777" w:rsidR="000F258D" w:rsidRDefault="000F258D" w:rsidP="000F2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0058D" w14:textId="77777777" w:rsidR="000F258D" w:rsidRDefault="000F258D" w:rsidP="000F258D">
      <w:r>
        <w:separator/>
      </w:r>
    </w:p>
  </w:footnote>
  <w:footnote w:type="continuationSeparator" w:id="0">
    <w:p w14:paraId="53872A11" w14:textId="77777777" w:rsidR="000F258D" w:rsidRDefault="000F258D" w:rsidP="000F25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FF54C8"/>
    <w:multiLevelType w:val="multilevel"/>
    <w:tmpl w:val="903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DC"/>
    <w:rsid w:val="000166FD"/>
    <w:rsid w:val="000619F2"/>
    <w:rsid w:val="000F258D"/>
    <w:rsid w:val="00111A25"/>
    <w:rsid w:val="0018068B"/>
    <w:rsid w:val="003208DC"/>
    <w:rsid w:val="0037692A"/>
    <w:rsid w:val="00385EEF"/>
    <w:rsid w:val="0084389B"/>
    <w:rsid w:val="008F14FE"/>
    <w:rsid w:val="009A3AF8"/>
    <w:rsid w:val="009F52E1"/>
    <w:rsid w:val="00D057F3"/>
    <w:rsid w:val="00E13811"/>
    <w:rsid w:val="00EB1DFB"/>
    <w:rsid w:val="00FB2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248C7"/>
  <w15:chartTrackingRefBased/>
  <w15:docId w15:val="{A7678FF4-DE56-F34B-AFD2-95D47459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208D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208DC"/>
  </w:style>
  <w:style w:type="character" w:customStyle="1" w:styleId="eop">
    <w:name w:val="eop"/>
    <w:basedOn w:val="DefaultParagraphFont"/>
    <w:rsid w:val="003208DC"/>
  </w:style>
  <w:style w:type="character" w:styleId="Hyperlink">
    <w:name w:val="Hyperlink"/>
    <w:basedOn w:val="DefaultParagraphFont"/>
    <w:uiPriority w:val="99"/>
    <w:unhideWhenUsed/>
    <w:rsid w:val="00E13811"/>
    <w:rPr>
      <w:color w:val="0563C1" w:themeColor="hyperlink"/>
      <w:u w:val="single"/>
    </w:rPr>
  </w:style>
  <w:style w:type="character" w:customStyle="1" w:styleId="UnresolvedMention">
    <w:name w:val="Unresolved Mention"/>
    <w:basedOn w:val="DefaultParagraphFont"/>
    <w:uiPriority w:val="99"/>
    <w:semiHidden/>
    <w:unhideWhenUsed/>
    <w:rsid w:val="00E13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517224">
      <w:bodyDiv w:val="1"/>
      <w:marLeft w:val="0"/>
      <w:marRight w:val="0"/>
      <w:marTop w:val="0"/>
      <w:marBottom w:val="0"/>
      <w:divBdr>
        <w:top w:val="none" w:sz="0" w:space="0" w:color="auto"/>
        <w:left w:val="none" w:sz="0" w:space="0" w:color="auto"/>
        <w:bottom w:val="none" w:sz="0" w:space="0" w:color="auto"/>
        <w:right w:val="none" w:sz="0" w:space="0" w:color="auto"/>
      </w:divBdr>
    </w:div>
    <w:div w:id="1528986270">
      <w:bodyDiv w:val="1"/>
      <w:marLeft w:val="0"/>
      <w:marRight w:val="0"/>
      <w:marTop w:val="0"/>
      <w:marBottom w:val="0"/>
      <w:divBdr>
        <w:top w:val="none" w:sz="0" w:space="0" w:color="auto"/>
        <w:left w:val="none" w:sz="0" w:space="0" w:color="auto"/>
        <w:bottom w:val="none" w:sz="0" w:space="0" w:color="auto"/>
        <w:right w:val="none" w:sz="0" w:space="0" w:color="auto"/>
      </w:divBdr>
    </w:div>
    <w:div w:id="1694650879">
      <w:bodyDiv w:val="1"/>
      <w:marLeft w:val="0"/>
      <w:marRight w:val="0"/>
      <w:marTop w:val="0"/>
      <w:marBottom w:val="0"/>
      <w:divBdr>
        <w:top w:val="none" w:sz="0" w:space="0" w:color="auto"/>
        <w:left w:val="none" w:sz="0" w:space="0" w:color="auto"/>
        <w:bottom w:val="none" w:sz="0" w:space="0" w:color="auto"/>
        <w:right w:val="none" w:sz="0" w:space="0" w:color="auto"/>
      </w:divBdr>
      <w:divsChild>
        <w:div w:id="1486118593">
          <w:marLeft w:val="0"/>
          <w:marRight w:val="0"/>
          <w:marTop w:val="0"/>
          <w:marBottom w:val="0"/>
          <w:divBdr>
            <w:top w:val="none" w:sz="0" w:space="0" w:color="auto"/>
            <w:left w:val="none" w:sz="0" w:space="0" w:color="auto"/>
            <w:bottom w:val="none" w:sz="0" w:space="0" w:color="auto"/>
            <w:right w:val="none" w:sz="0" w:space="0" w:color="auto"/>
          </w:divBdr>
        </w:div>
        <w:div w:id="775295097">
          <w:marLeft w:val="0"/>
          <w:marRight w:val="0"/>
          <w:marTop w:val="0"/>
          <w:marBottom w:val="0"/>
          <w:divBdr>
            <w:top w:val="none" w:sz="0" w:space="0" w:color="auto"/>
            <w:left w:val="none" w:sz="0" w:space="0" w:color="auto"/>
            <w:bottom w:val="none" w:sz="0" w:space="0" w:color="auto"/>
            <w:right w:val="none" w:sz="0" w:space="0" w:color="auto"/>
          </w:divBdr>
        </w:div>
        <w:div w:id="1966883263">
          <w:marLeft w:val="0"/>
          <w:marRight w:val="0"/>
          <w:marTop w:val="0"/>
          <w:marBottom w:val="0"/>
          <w:divBdr>
            <w:top w:val="none" w:sz="0" w:space="0" w:color="auto"/>
            <w:left w:val="none" w:sz="0" w:space="0" w:color="auto"/>
            <w:bottom w:val="none" w:sz="0" w:space="0" w:color="auto"/>
            <w:right w:val="none" w:sz="0" w:space="0" w:color="auto"/>
          </w:divBdr>
        </w:div>
        <w:div w:id="1531453267">
          <w:marLeft w:val="0"/>
          <w:marRight w:val="0"/>
          <w:marTop w:val="0"/>
          <w:marBottom w:val="0"/>
          <w:divBdr>
            <w:top w:val="none" w:sz="0" w:space="0" w:color="auto"/>
            <w:left w:val="none" w:sz="0" w:space="0" w:color="auto"/>
            <w:bottom w:val="none" w:sz="0" w:space="0" w:color="auto"/>
            <w:right w:val="none" w:sz="0" w:space="0" w:color="auto"/>
          </w:divBdr>
        </w:div>
        <w:div w:id="1179193080">
          <w:marLeft w:val="0"/>
          <w:marRight w:val="0"/>
          <w:marTop w:val="0"/>
          <w:marBottom w:val="0"/>
          <w:divBdr>
            <w:top w:val="none" w:sz="0" w:space="0" w:color="auto"/>
            <w:left w:val="none" w:sz="0" w:space="0" w:color="auto"/>
            <w:bottom w:val="none" w:sz="0" w:space="0" w:color="auto"/>
            <w:right w:val="none" w:sz="0" w:space="0" w:color="auto"/>
          </w:divBdr>
        </w:div>
        <w:div w:id="1202597242">
          <w:marLeft w:val="0"/>
          <w:marRight w:val="0"/>
          <w:marTop w:val="0"/>
          <w:marBottom w:val="0"/>
          <w:divBdr>
            <w:top w:val="none" w:sz="0" w:space="0" w:color="auto"/>
            <w:left w:val="none" w:sz="0" w:space="0" w:color="auto"/>
            <w:bottom w:val="none" w:sz="0" w:space="0" w:color="auto"/>
            <w:right w:val="none" w:sz="0" w:space="0" w:color="auto"/>
          </w:divBdr>
        </w:div>
        <w:div w:id="947394127">
          <w:marLeft w:val="0"/>
          <w:marRight w:val="0"/>
          <w:marTop w:val="0"/>
          <w:marBottom w:val="0"/>
          <w:divBdr>
            <w:top w:val="none" w:sz="0" w:space="0" w:color="auto"/>
            <w:left w:val="none" w:sz="0" w:space="0" w:color="auto"/>
            <w:bottom w:val="none" w:sz="0" w:space="0" w:color="auto"/>
            <w:right w:val="none" w:sz="0" w:space="0" w:color="auto"/>
          </w:divBdr>
        </w:div>
        <w:div w:id="1776752460">
          <w:marLeft w:val="0"/>
          <w:marRight w:val="0"/>
          <w:marTop w:val="0"/>
          <w:marBottom w:val="0"/>
          <w:divBdr>
            <w:top w:val="none" w:sz="0" w:space="0" w:color="auto"/>
            <w:left w:val="none" w:sz="0" w:space="0" w:color="auto"/>
            <w:bottom w:val="none" w:sz="0" w:space="0" w:color="auto"/>
            <w:right w:val="none" w:sz="0" w:space="0" w:color="auto"/>
          </w:divBdr>
        </w:div>
        <w:div w:id="1085033941">
          <w:marLeft w:val="0"/>
          <w:marRight w:val="0"/>
          <w:marTop w:val="0"/>
          <w:marBottom w:val="0"/>
          <w:divBdr>
            <w:top w:val="none" w:sz="0" w:space="0" w:color="auto"/>
            <w:left w:val="none" w:sz="0" w:space="0" w:color="auto"/>
            <w:bottom w:val="none" w:sz="0" w:space="0" w:color="auto"/>
            <w:right w:val="none" w:sz="0" w:space="0" w:color="auto"/>
          </w:divBdr>
        </w:div>
        <w:div w:id="30305709">
          <w:marLeft w:val="0"/>
          <w:marRight w:val="0"/>
          <w:marTop w:val="0"/>
          <w:marBottom w:val="0"/>
          <w:divBdr>
            <w:top w:val="none" w:sz="0" w:space="0" w:color="auto"/>
            <w:left w:val="none" w:sz="0" w:space="0" w:color="auto"/>
            <w:bottom w:val="none" w:sz="0" w:space="0" w:color="auto"/>
            <w:right w:val="none" w:sz="0" w:space="0" w:color="auto"/>
          </w:divBdr>
        </w:div>
        <w:div w:id="669329699">
          <w:marLeft w:val="0"/>
          <w:marRight w:val="0"/>
          <w:marTop w:val="0"/>
          <w:marBottom w:val="0"/>
          <w:divBdr>
            <w:top w:val="none" w:sz="0" w:space="0" w:color="auto"/>
            <w:left w:val="none" w:sz="0" w:space="0" w:color="auto"/>
            <w:bottom w:val="none" w:sz="0" w:space="0" w:color="auto"/>
            <w:right w:val="none" w:sz="0" w:space="0" w:color="auto"/>
          </w:divBdr>
        </w:div>
        <w:div w:id="660504062">
          <w:marLeft w:val="0"/>
          <w:marRight w:val="0"/>
          <w:marTop w:val="0"/>
          <w:marBottom w:val="0"/>
          <w:divBdr>
            <w:top w:val="none" w:sz="0" w:space="0" w:color="auto"/>
            <w:left w:val="none" w:sz="0" w:space="0" w:color="auto"/>
            <w:bottom w:val="none" w:sz="0" w:space="0" w:color="auto"/>
            <w:right w:val="none" w:sz="0" w:space="0" w:color="auto"/>
          </w:divBdr>
        </w:div>
        <w:div w:id="617300621">
          <w:marLeft w:val="0"/>
          <w:marRight w:val="0"/>
          <w:marTop w:val="0"/>
          <w:marBottom w:val="0"/>
          <w:divBdr>
            <w:top w:val="none" w:sz="0" w:space="0" w:color="auto"/>
            <w:left w:val="none" w:sz="0" w:space="0" w:color="auto"/>
            <w:bottom w:val="none" w:sz="0" w:space="0" w:color="auto"/>
            <w:right w:val="none" w:sz="0" w:space="0" w:color="auto"/>
          </w:divBdr>
        </w:div>
        <w:div w:id="1169905389">
          <w:marLeft w:val="0"/>
          <w:marRight w:val="0"/>
          <w:marTop w:val="0"/>
          <w:marBottom w:val="0"/>
          <w:divBdr>
            <w:top w:val="none" w:sz="0" w:space="0" w:color="auto"/>
            <w:left w:val="none" w:sz="0" w:space="0" w:color="auto"/>
            <w:bottom w:val="none" w:sz="0" w:space="0" w:color="auto"/>
            <w:right w:val="none" w:sz="0" w:space="0" w:color="auto"/>
          </w:divBdr>
        </w:div>
        <w:div w:id="1763723398">
          <w:marLeft w:val="0"/>
          <w:marRight w:val="0"/>
          <w:marTop w:val="0"/>
          <w:marBottom w:val="0"/>
          <w:divBdr>
            <w:top w:val="none" w:sz="0" w:space="0" w:color="auto"/>
            <w:left w:val="none" w:sz="0" w:space="0" w:color="auto"/>
            <w:bottom w:val="none" w:sz="0" w:space="0" w:color="auto"/>
            <w:right w:val="none" w:sz="0" w:space="0" w:color="auto"/>
          </w:divBdr>
        </w:div>
        <w:div w:id="1374424544">
          <w:marLeft w:val="0"/>
          <w:marRight w:val="0"/>
          <w:marTop w:val="0"/>
          <w:marBottom w:val="0"/>
          <w:divBdr>
            <w:top w:val="none" w:sz="0" w:space="0" w:color="auto"/>
            <w:left w:val="none" w:sz="0" w:space="0" w:color="auto"/>
            <w:bottom w:val="none" w:sz="0" w:space="0" w:color="auto"/>
            <w:right w:val="none" w:sz="0" w:space="0" w:color="auto"/>
          </w:divBdr>
        </w:div>
      </w:divsChild>
    </w:div>
    <w:div w:id="1704553729">
      <w:bodyDiv w:val="1"/>
      <w:marLeft w:val="0"/>
      <w:marRight w:val="0"/>
      <w:marTop w:val="0"/>
      <w:marBottom w:val="0"/>
      <w:divBdr>
        <w:top w:val="none" w:sz="0" w:space="0" w:color="auto"/>
        <w:left w:val="none" w:sz="0" w:space="0" w:color="auto"/>
        <w:bottom w:val="none" w:sz="0" w:space="0" w:color="auto"/>
        <w:right w:val="none" w:sz="0" w:space="0" w:color="auto"/>
      </w:divBdr>
      <w:divsChild>
        <w:div w:id="1503541984">
          <w:marLeft w:val="0"/>
          <w:marRight w:val="0"/>
          <w:marTop w:val="0"/>
          <w:marBottom w:val="0"/>
          <w:divBdr>
            <w:top w:val="none" w:sz="0" w:space="0" w:color="auto"/>
            <w:left w:val="none" w:sz="0" w:space="0" w:color="auto"/>
            <w:bottom w:val="none" w:sz="0" w:space="0" w:color="auto"/>
            <w:right w:val="none" w:sz="0" w:space="0" w:color="auto"/>
          </w:divBdr>
        </w:div>
        <w:div w:id="1225143494">
          <w:marLeft w:val="0"/>
          <w:marRight w:val="0"/>
          <w:marTop w:val="0"/>
          <w:marBottom w:val="0"/>
          <w:divBdr>
            <w:top w:val="none" w:sz="0" w:space="0" w:color="auto"/>
            <w:left w:val="none" w:sz="0" w:space="0" w:color="auto"/>
            <w:bottom w:val="none" w:sz="0" w:space="0" w:color="auto"/>
            <w:right w:val="none" w:sz="0" w:space="0" w:color="auto"/>
          </w:divBdr>
        </w:div>
        <w:div w:id="411244915">
          <w:marLeft w:val="0"/>
          <w:marRight w:val="0"/>
          <w:marTop w:val="0"/>
          <w:marBottom w:val="0"/>
          <w:divBdr>
            <w:top w:val="none" w:sz="0" w:space="0" w:color="auto"/>
            <w:left w:val="none" w:sz="0" w:space="0" w:color="auto"/>
            <w:bottom w:val="none" w:sz="0" w:space="0" w:color="auto"/>
            <w:right w:val="none" w:sz="0" w:space="0" w:color="auto"/>
          </w:divBdr>
        </w:div>
      </w:divsChild>
    </w:div>
    <w:div w:id="203083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1292</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Chagnon, Ruta</cp:lastModifiedBy>
  <cp:revision>2</cp:revision>
  <dcterms:created xsi:type="dcterms:W3CDTF">2020-06-04T18:07:00Z</dcterms:created>
  <dcterms:modified xsi:type="dcterms:W3CDTF">2020-06-04T18:07:00Z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ChagnonRX@state.gov</vt:lpwstr>
  </property>
  <property fmtid="{D5CDD505-2E9C-101B-9397-08002B2CF9AE}" pid="5" name="MSIP_Label_1665d9ee-429a-4d5f-97cc-cfb56e044a6e_SetDate">
    <vt:lpwstr>2020-06-04T18:06:45.3818547Z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b4eda161-90f3-448b-a247-0ea8d17c522e</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