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C3F" w:rsidRDefault="00590C3F" w:rsidP="005318DE">
      <w:pPr>
        <w:rPr>
          <w:rFonts w:ascii="Times New Roman" w:hAnsi="Times New Roman"/>
          <w:b/>
          <w:bCs/>
          <w:sz w:val="24"/>
          <w:szCs w:val="24"/>
        </w:rPr>
      </w:pPr>
      <w:bookmarkStart w:id="0" w:name="_GoBack"/>
      <w:bookmarkEnd w:id="0"/>
    </w:p>
    <w:p w:rsidR="003E5DDF" w:rsidRPr="00036B16" w:rsidRDefault="003E5DDF" w:rsidP="003E5DDF">
      <w:pPr>
        <w:rPr>
          <w:rFonts w:ascii="Times New Roman" w:hAnsi="Times New Roman"/>
          <w:bCs/>
          <w:sz w:val="24"/>
          <w:szCs w:val="24"/>
        </w:rPr>
      </w:pPr>
      <w:r w:rsidRPr="00036B16">
        <w:rPr>
          <w:rFonts w:ascii="Times New Roman" w:hAnsi="Times New Roman"/>
          <w:b/>
          <w:bCs/>
          <w:sz w:val="24"/>
          <w:szCs w:val="24"/>
        </w:rPr>
        <w:t>Note:</w:t>
      </w:r>
      <w:r w:rsidRPr="00036B16">
        <w:rPr>
          <w:rFonts w:ascii="Times New Roman" w:hAnsi="Times New Roman"/>
          <w:bCs/>
          <w:sz w:val="24"/>
          <w:szCs w:val="24"/>
        </w:rPr>
        <w:t xml:space="preserve"> The System for Award Management (SAM) may be experiencing a backlog at the time submission of applications are due. Applicants are still able to submit an application to PHMSA; however the DUNS number must be registered and active prior to PHMSA awarding a grant. Failure to have an active DUNS in SAM may eliminate an applicant’s chance of receiving an award. PHMSA suggests that applicants ensure that the organization’s </w:t>
      </w:r>
      <w:r w:rsidR="00036B16" w:rsidRPr="00036B16">
        <w:rPr>
          <w:rFonts w:ascii="Times New Roman" w:hAnsi="Times New Roman"/>
          <w:bCs/>
          <w:sz w:val="24"/>
          <w:szCs w:val="24"/>
        </w:rPr>
        <w:t>DUNS is</w:t>
      </w:r>
      <w:r w:rsidRPr="00036B16">
        <w:rPr>
          <w:rFonts w:ascii="Times New Roman" w:hAnsi="Times New Roman"/>
          <w:bCs/>
          <w:sz w:val="24"/>
          <w:szCs w:val="24"/>
        </w:rPr>
        <w:t xml:space="preserve"> active in SAM no later than August 1, 2018.</w:t>
      </w:r>
    </w:p>
    <w:p w:rsidR="003E5DDF" w:rsidRPr="00036B16" w:rsidRDefault="003E5DDF" w:rsidP="003E5DDF">
      <w:pPr>
        <w:rPr>
          <w:rFonts w:ascii="Times New Roman" w:hAnsi="Times New Roman"/>
          <w:bCs/>
          <w:sz w:val="24"/>
          <w:szCs w:val="24"/>
        </w:rPr>
      </w:pPr>
    </w:p>
    <w:p w:rsidR="005318DE" w:rsidRPr="00036B16" w:rsidRDefault="005318DE" w:rsidP="005318DE">
      <w:pPr>
        <w:rPr>
          <w:rFonts w:ascii="Times New Roman" w:hAnsi="Times New Roman"/>
          <w:bCs/>
          <w:sz w:val="24"/>
          <w:szCs w:val="24"/>
        </w:rPr>
      </w:pPr>
      <w:r w:rsidRPr="00036B16">
        <w:rPr>
          <w:rFonts w:ascii="Times New Roman" w:hAnsi="Times New Roman"/>
          <w:b/>
          <w:bCs/>
          <w:sz w:val="24"/>
          <w:szCs w:val="24"/>
        </w:rPr>
        <w:t>Question:</w:t>
      </w:r>
      <w:r w:rsidRPr="00036B16">
        <w:rPr>
          <w:rFonts w:ascii="Times New Roman" w:hAnsi="Times New Roman"/>
          <w:bCs/>
          <w:sz w:val="24"/>
          <w:szCs w:val="24"/>
        </w:rPr>
        <w:t xml:space="preserve"> Will PHMSA grant an extension for submission of application? </w:t>
      </w:r>
    </w:p>
    <w:p w:rsidR="005318DE" w:rsidRPr="00036B16" w:rsidRDefault="005318DE" w:rsidP="005318DE">
      <w:pPr>
        <w:rPr>
          <w:rFonts w:ascii="Times New Roman" w:hAnsi="Times New Roman"/>
          <w:bCs/>
          <w:sz w:val="24"/>
          <w:szCs w:val="24"/>
        </w:rPr>
      </w:pPr>
    </w:p>
    <w:p w:rsidR="005318DE" w:rsidRPr="00036B16" w:rsidRDefault="005318DE" w:rsidP="005318DE">
      <w:pPr>
        <w:rPr>
          <w:rFonts w:ascii="Times New Roman" w:hAnsi="Times New Roman"/>
          <w:bCs/>
          <w:sz w:val="24"/>
          <w:szCs w:val="24"/>
        </w:rPr>
      </w:pPr>
      <w:r w:rsidRPr="00036B16">
        <w:rPr>
          <w:rFonts w:ascii="Times New Roman" w:hAnsi="Times New Roman"/>
          <w:b/>
          <w:bCs/>
          <w:sz w:val="24"/>
          <w:szCs w:val="24"/>
        </w:rPr>
        <w:t>Answer:</w:t>
      </w:r>
      <w:r w:rsidRPr="00036B16">
        <w:rPr>
          <w:rFonts w:ascii="Times New Roman" w:hAnsi="Times New Roman"/>
          <w:bCs/>
          <w:sz w:val="24"/>
          <w:szCs w:val="24"/>
        </w:rPr>
        <w:t xml:space="preserve"> No. Unfortunately, we are under a very tight schedule. If you have any specific questions that may expedite your application preparation, you can submit them </w:t>
      </w:r>
      <w:r w:rsidR="00AE4F88" w:rsidRPr="00036B16">
        <w:rPr>
          <w:rFonts w:ascii="Times New Roman" w:hAnsi="Times New Roman"/>
          <w:bCs/>
          <w:sz w:val="24"/>
          <w:szCs w:val="24"/>
        </w:rPr>
        <w:t>to HMIT.grants@dot.gov</w:t>
      </w:r>
      <w:r w:rsidRPr="00036B16">
        <w:rPr>
          <w:rFonts w:ascii="Times New Roman" w:hAnsi="Times New Roman"/>
          <w:bCs/>
          <w:sz w:val="24"/>
          <w:szCs w:val="24"/>
        </w:rPr>
        <w:t xml:space="preserve"> and we will post a response on grants.gov so that everyone can see it.</w:t>
      </w:r>
    </w:p>
    <w:p w:rsidR="00590C3F" w:rsidRPr="00036B16" w:rsidRDefault="00590C3F" w:rsidP="005318DE">
      <w:pPr>
        <w:rPr>
          <w:rFonts w:ascii="Times New Roman" w:hAnsi="Times New Roman"/>
          <w:bCs/>
          <w:sz w:val="24"/>
          <w:szCs w:val="24"/>
        </w:rPr>
      </w:pPr>
    </w:p>
    <w:p w:rsidR="005318DE" w:rsidRPr="00036B16" w:rsidRDefault="005318DE" w:rsidP="005318DE">
      <w:pPr>
        <w:rPr>
          <w:rFonts w:ascii="Times New Roman" w:hAnsi="Times New Roman"/>
          <w:bCs/>
          <w:sz w:val="24"/>
          <w:szCs w:val="24"/>
        </w:rPr>
      </w:pPr>
      <w:r w:rsidRPr="00036B16">
        <w:rPr>
          <w:rFonts w:ascii="Times New Roman" w:hAnsi="Times New Roman"/>
          <w:b/>
          <w:bCs/>
          <w:sz w:val="24"/>
          <w:szCs w:val="24"/>
        </w:rPr>
        <w:t>Question:</w:t>
      </w:r>
      <w:r w:rsidRPr="00036B16">
        <w:rPr>
          <w:rFonts w:ascii="Times New Roman" w:hAnsi="Times New Roman"/>
          <w:bCs/>
          <w:sz w:val="24"/>
          <w:szCs w:val="24"/>
        </w:rPr>
        <w:t xml:space="preserve"> Is there specific formatting guidelines that need to be adhered to? (i.e. page limits, </w:t>
      </w:r>
      <w:proofErr w:type="spellStart"/>
      <w:proofErr w:type="gramStart"/>
      <w:r w:rsidRPr="00036B16">
        <w:rPr>
          <w:rFonts w:ascii="Times New Roman" w:hAnsi="Times New Roman"/>
          <w:bCs/>
          <w:sz w:val="24"/>
          <w:szCs w:val="24"/>
        </w:rPr>
        <w:t>font,etc</w:t>
      </w:r>
      <w:proofErr w:type="spellEnd"/>
      <w:proofErr w:type="gramEnd"/>
      <w:r w:rsidRPr="00036B16">
        <w:rPr>
          <w:rFonts w:ascii="Times New Roman" w:hAnsi="Times New Roman"/>
          <w:bCs/>
          <w:sz w:val="24"/>
          <w:szCs w:val="24"/>
        </w:rPr>
        <w:t>…)</w:t>
      </w:r>
    </w:p>
    <w:p w:rsidR="005318DE" w:rsidRPr="00036B16" w:rsidRDefault="005318DE" w:rsidP="005318DE">
      <w:pPr>
        <w:rPr>
          <w:rFonts w:ascii="Times New Roman" w:hAnsi="Times New Roman"/>
          <w:bCs/>
          <w:sz w:val="24"/>
          <w:szCs w:val="24"/>
        </w:rPr>
      </w:pPr>
    </w:p>
    <w:p w:rsidR="005318DE" w:rsidRPr="00036B16" w:rsidRDefault="005318DE" w:rsidP="005318DE">
      <w:pPr>
        <w:rPr>
          <w:rFonts w:ascii="Times New Roman" w:hAnsi="Times New Roman"/>
          <w:bCs/>
          <w:sz w:val="24"/>
          <w:szCs w:val="24"/>
        </w:rPr>
      </w:pPr>
      <w:r w:rsidRPr="00036B16">
        <w:rPr>
          <w:rFonts w:ascii="Times New Roman" w:hAnsi="Times New Roman"/>
          <w:b/>
          <w:bCs/>
          <w:sz w:val="24"/>
          <w:szCs w:val="24"/>
        </w:rPr>
        <w:t>Answer:</w:t>
      </w:r>
      <w:r w:rsidRPr="00036B16">
        <w:rPr>
          <w:rFonts w:ascii="Times New Roman" w:hAnsi="Times New Roman"/>
          <w:bCs/>
          <w:sz w:val="24"/>
          <w:szCs w:val="24"/>
        </w:rPr>
        <w:t xml:space="preserve"> No, PHMSA’s HMIT grant program does not have any specific guidelines on </w:t>
      </w:r>
      <w:r w:rsidR="00D95A51" w:rsidRPr="00036B16">
        <w:rPr>
          <w:rFonts w:ascii="Times New Roman" w:hAnsi="Times New Roman"/>
          <w:bCs/>
          <w:sz w:val="24"/>
          <w:szCs w:val="24"/>
        </w:rPr>
        <w:t xml:space="preserve">the </w:t>
      </w:r>
      <w:r w:rsidRPr="00036B16">
        <w:rPr>
          <w:rFonts w:ascii="Times New Roman" w:hAnsi="Times New Roman"/>
          <w:bCs/>
          <w:sz w:val="24"/>
          <w:szCs w:val="24"/>
        </w:rPr>
        <w:t xml:space="preserve">format </w:t>
      </w:r>
      <w:r w:rsidR="00D95A51" w:rsidRPr="00036B16">
        <w:rPr>
          <w:rFonts w:ascii="Times New Roman" w:hAnsi="Times New Roman"/>
          <w:bCs/>
          <w:sz w:val="24"/>
          <w:szCs w:val="24"/>
        </w:rPr>
        <w:t>of</w:t>
      </w:r>
      <w:r w:rsidRPr="00036B16">
        <w:rPr>
          <w:rFonts w:ascii="Times New Roman" w:hAnsi="Times New Roman"/>
          <w:bCs/>
          <w:sz w:val="24"/>
          <w:szCs w:val="24"/>
        </w:rPr>
        <w:t xml:space="preserve"> applications submitted. </w:t>
      </w:r>
      <w:r w:rsidR="003E5DDF" w:rsidRPr="00036B16">
        <w:rPr>
          <w:rFonts w:ascii="Times New Roman" w:hAnsi="Times New Roman"/>
          <w:bCs/>
          <w:sz w:val="24"/>
          <w:szCs w:val="24"/>
        </w:rPr>
        <w:t xml:space="preserve">Applicants are encouraged to submit information in a clear and concise manner. </w:t>
      </w:r>
    </w:p>
    <w:p w:rsidR="005318DE" w:rsidRPr="00036B16" w:rsidRDefault="005318DE" w:rsidP="00C643AF">
      <w:pPr>
        <w:rPr>
          <w:rFonts w:ascii="Times New Roman" w:hAnsi="Times New Roman"/>
          <w:b/>
          <w:bCs/>
          <w:sz w:val="24"/>
          <w:szCs w:val="24"/>
        </w:rPr>
      </w:pPr>
    </w:p>
    <w:p w:rsidR="00C643AF" w:rsidRPr="00036B16" w:rsidRDefault="00C643AF" w:rsidP="00C643AF">
      <w:pPr>
        <w:rPr>
          <w:rFonts w:ascii="Times New Roman" w:hAnsi="Times New Roman"/>
          <w:bCs/>
          <w:sz w:val="24"/>
          <w:szCs w:val="24"/>
        </w:rPr>
      </w:pPr>
      <w:r w:rsidRPr="00036B16">
        <w:rPr>
          <w:rFonts w:ascii="Times New Roman" w:hAnsi="Times New Roman"/>
          <w:b/>
          <w:bCs/>
          <w:sz w:val="24"/>
          <w:szCs w:val="24"/>
        </w:rPr>
        <w:t>Question:</w:t>
      </w:r>
      <w:r w:rsidRPr="00036B16">
        <w:rPr>
          <w:rFonts w:ascii="Times New Roman" w:hAnsi="Times New Roman"/>
          <w:bCs/>
          <w:sz w:val="24"/>
          <w:szCs w:val="24"/>
        </w:rPr>
        <w:t xml:space="preserve"> </w:t>
      </w:r>
      <w:r w:rsidR="005318DE" w:rsidRPr="00036B16">
        <w:rPr>
          <w:rFonts w:ascii="Times New Roman" w:hAnsi="Times New Roman"/>
          <w:bCs/>
          <w:sz w:val="24"/>
          <w:szCs w:val="24"/>
        </w:rPr>
        <w:t>For the budget narrative it mentions that the benefits package and percentage need to be addressed</w:t>
      </w:r>
      <w:r w:rsidR="00F268BB" w:rsidRPr="00036B16">
        <w:rPr>
          <w:rFonts w:ascii="Times New Roman" w:hAnsi="Times New Roman"/>
          <w:bCs/>
          <w:sz w:val="24"/>
          <w:szCs w:val="24"/>
        </w:rPr>
        <w:t>. Is it sufficient to list what the benefit package covers and include the overall of fringe that is covered by each employee?</w:t>
      </w:r>
    </w:p>
    <w:p w:rsidR="00C643AF" w:rsidRPr="00036B16" w:rsidRDefault="00C643AF" w:rsidP="00C643AF">
      <w:pPr>
        <w:rPr>
          <w:rFonts w:ascii="Times New Roman" w:hAnsi="Times New Roman"/>
          <w:bCs/>
          <w:sz w:val="24"/>
          <w:szCs w:val="24"/>
        </w:rPr>
      </w:pPr>
    </w:p>
    <w:p w:rsidR="00C643AF" w:rsidRPr="00036B16" w:rsidRDefault="00C643AF" w:rsidP="00E70B52">
      <w:pPr>
        <w:rPr>
          <w:rFonts w:ascii="Times New Roman" w:hAnsi="Times New Roman"/>
          <w:bCs/>
          <w:sz w:val="24"/>
          <w:szCs w:val="24"/>
        </w:rPr>
      </w:pPr>
      <w:r w:rsidRPr="00036B16">
        <w:rPr>
          <w:rFonts w:ascii="Times New Roman" w:hAnsi="Times New Roman"/>
          <w:b/>
          <w:bCs/>
          <w:sz w:val="24"/>
          <w:szCs w:val="24"/>
        </w:rPr>
        <w:t>Answer:</w:t>
      </w:r>
      <w:r w:rsidRPr="00036B16">
        <w:rPr>
          <w:rFonts w:ascii="Times New Roman" w:hAnsi="Times New Roman"/>
          <w:bCs/>
          <w:sz w:val="24"/>
          <w:szCs w:val="24"/>
        </w:rPr>
        <w:t xml:space="preserve"> </w:t>
      </w:r>
      <w:r w:rsidR="00D95A51" w:rsidRPr="00036B16">
        <w:rPr>
          <w:rFonts w:ascii="Times New Roman" w:hAnsi="Times New Roman"/>
          <w:bCs/>
          <w:sz w:val="24"/>
          <w:szCs w:val="24"/>
        </w:rPr>
        <w:t xml:space="preserve">Yes, it is sufficient to list what </w:t>
      </w:r>
      <w:r w:rsidR="000C6131" w:rsidRPr="00036B16">
        <w:rPr>
          <w:rFonts w:ascii="Times New Roman" w:hAnsi="Times New Roman"/>
          <w:bCs/>
          <w:sz w:val="24"/>
          <w:szCs w:val="24"/>
        </w:rPr>
        <w:t>is included in the</w:t>
      </w:r>
      <w:r w:rsidR="00D95A51" w:rsidRPr="00036B16">
        <w:rPr>
          <w:rFonts w:ascii="Times New Roman" w:hAnsi="Times New Roman"/>
          <w:bCs/>
          <w:sz w:val="24"/>
          <w:szCs w:val="24"/>
        </w:rPr>
        <w:t xml:space="preserve"> </w:t>
      </w:r>
      <w:r w:rsidR="000C6131" w:rsidRPr="00036B16">
        <w:rPr>
          <w:rFonts w:ascii="Times New Roman" w:hAnsi="Times New Roman"/>
          <w:bCs/>
          <w:sz w:val="24"/>
          <w:szCs w:val="24"/>
        </w:rPr>
        <w:t xml:space="preserve">fringe </w:t>
      </w:r>
      <w:r w:rsidR="00D95A51" w:rsidRPr="00036B16">
        <w:rPr>
          <w:rFonts w:ascii="Times New Roman" w:hAnsi="Times New Roman"/>
          <w:bCs/>
          <w:sz w:val="24"/>
          <w:szCs w:val="24"/>
        </w:rPr>
        <w:t>benefit package</w:t>
      </w:r>
      <w:r w:rsidR="00E70B52" w:rsidRPr="00036B16">
        <w:rPr>
          <w:rFonts w:ascii="Times New Roman" w:hAnsi="Times New Roman"/>
          <w:bCs/>
          <w:sz w:val="24"/>
          <w:szCs w:val="24"/>
        </w:rPr>
        <w:t xml:space="preserve"> </w:t>
      </w:r>
      <w:r w:rsidR="00AA753E" w:rsidRPr="00036B16">
        <w:rPr>
          <w:rFonts w:ascii="Times New Roman" w:hAnsi="Times New Roman"/>
          <w:bCs/>
          <w:sz w:val="24"/>
          <w:szCs w:val="24"/>
        </w:rPr>
        <w:t xml:space="preserve">and include the </w:t>
      </w:r>
      <w:r w:rsidR="000C6131" w:rsidRPr="00036B16">
        <w:rPr>
          <w:rFonts w:ascii="Times New Roman" w:hAnsi="Times New Roman"/>
          <w:bCs/>
          <w:sz w:val="24"/>
          <w:szCs w:val="24"/>
        </w:rPr>
        <w:t>fringe benefit percentage rate of each employee listed</w:t>
      </w:r>
      <w:r w:rsidR="00E70B52" w:rsidRPr="00036B16">
        <w:rPr>
          <w:rFonts w:ascii="Times New Roman" w:hAnsi="Times New Roman"/>
          <w:bCs/>
          <w:sz w:val="24"/>
          <w:szCs w:val="24"/>
        </w:rPr>
        <w:t>.</w:t>
      </w:r>
      <w:r w:rsidR="000C6131" w:rsidRPr="00036B16">
        <w:rPr>
          <w:rFonts w:ascii="Times New Roman" w:hAnsi="Times New Roman"/>
          <w:bCs/>
          <w:sz w:val="24"/>
          <w:szCs w:val="24"/>
        </w:rPr>
        <w:t xml:space="preserve"> </w:t>
      </w:r>
    </w:p>
    <w:p w:rsidR="00C643AF" w:rsidRPr="00036B16" w:rsidRDefault="00C643AF" w:rsidP="00C41972">
      <w:pPr>
        <w:rPr>
          <w:rFonts w:ascii="Times New Roman" w:hAnsi="Times New Roman"/>
          <w:b/>
          <w:bCs/>
          <w:sz w:val="24"/>
          <w:szCs w:val="24"/>
        </w:rPr>
      </w:pPr>
    </w:p>
    <w:p w:rsidR="00C41972" w:rsidRPr="00CD57D4" w:rsidRDefault="00C41972" w:rsidP="00C41972">
      <w:pPr>
        <w:rPr>
          <w:rFonts w:ascii="Times New Roman" w:hAnsi="Times New Roman"/>
          <w:bCs/>
          <w:sz w:val="24"/>
          <w:szCs w:val="24"/>
        </w:rPr>
      </w:pPr>
      <w:r w:rsidRPr="00036B16">
        <w:rPr>
          <w:rFonts w:ascii="Times New Roman" w:hAnsi="Times New Roman"/>
          <w:b/>
          <w:bCs/>
          <w:sz w:val="24"/>
          <w:szCs w:val="24"/>
        </w:rPr>
        <w:t>Question:</w:t>
      </w:r>
      <w:r w:rsidRPr="00036B16">
        <w:rPr>
          <w:rFonts w:ascii="Times New Roman" w:hAnsi="Times New Roman"/>
          <w:bCs/>
          <w:sz w:val="24"/>
          <w:szCs w:val="24"/>
        </w:rPr>
        <w:t xml:space="preserve"> In the new notice of funding, there is no longer an emphasis for “supplemental”</w:t>
      </w:r>
      <w:r w:rsidRPr="00CD57D4">
        <w:rPr>
          <w:rFonts w:ascii="Times New Roman" w:hAnsi="Times New Roman"/>
          <w:bCs/>
          <w:sz w:val="24"/>
          <w:szCs w:val="24"/>
        </w:rPr>
        <w:t xml:space="preserve"> training, and this year there is mention of “initial and continuous” training. Is this a change of the scope for this grant? Are we to be qualifying hazmat employees through our training vs. offering supplemental resources to the HMR?</w:t>
      </w:r>
    </w:p>
    <w:p w:rsidR="00C41972" w:rsidRPr="00CD57D4" w:rsidRDefault="00C41972" w:rsidP="00C41972">
      <w:pPr>
        <w:rPr>
          <w:rFonts w:ascii="Times New Roman" w:hAnsi="Times New Roman"/>
          <w:bCs/>
          <w:sz w:val="24"/>
          <w:szCs w:val="24"/>
        </w:rPr>
      </w:pPr>
    </w:p>
    <w:p w:rsidR="00C41972" w:rsidRPr="00CD57D4" w:rsidRDefault="00C41972" w:rsidP="00C41972">
      <w:pPr>
        <w:rPr>
          <w:rFonts w:ascii="Times New Roman" w:hAnsi="Times New Roman"/>
          <w:bCs/>
          <w:sz w:val="24"/>
          <w:szCs w:val="24"/>
        </w:rPr>
      </w:pPr>
      <w:r w:rsidRPr="00CD57D4">
        <w:rPr>
          <w:rFonts w:ascii="Times New Roman" w:hAnsi="Times New Roman"/>
          <w:b/>
          <w:bCs/>
          <w:sz w:val="24"/>
          <w:szCs w:val="24"/>
        </w:rPr>
        <w:t>Answer:</w:t>
      </w:r>
      <w:r w:rsidRPr="00CD57D4">
        <w:rPr>
          <w:rFonts w:ascii="Times New Roman" w:hAnsi="Times New Roman"/>
          <w:bCs/>
          <w:sz w:val="24"/>
          <w:szCs w:val="24"/>
        </w:rPr>
        <w:t xml:space="preserve"> The scope of the HMIT grant program has not changed from prior grant years. The core objective of the HMIT Grant program is to facilitate </w:t>
      </w:r>
      <w:r w:rsidR="00DC205E" w:rsidRPr="00CD57D4">
        <w:rPr>
          <w:rFonts w:ascii="Times New Roman" w:hAnsi="Times New Roman"/>
          <w:bCs/>
          <w:sz w:val="24"/>
          <w:szCs w:val="24"/>
        </w:rPr>
        <w:t>a train-the-trainer courses for the private sector hazmat employees to become instructors on how to train other</w:t>
      </w:r>
      <w:r w:rsidRPr="00CD57D4">
        <w:rPr>
          <w:rFonts w:ascii="Times New Roman" w:hAnsi="Times New Roman"/>
          <w:bCs/>
          <w:sz w:val="24"/>
          <w:szCs w:val="24"/>
        </w:rPr>
        <w:t xml:space="preserve"> hazmat employees</w:t>
      </w:r>
      <w:r w:rsidR="006B6E4A" w:rsidRPr="00CD57D4">
        <w:rPr>
          <w:rFonts w:ascii="Times New Roman" w:hAnsi="Times New Roman"/>
          <w:bCs/>
          <w:sz w:val="24"/>
          <w:szCs w:val="24"/>
        </w:rPr>
        <w:t xml:space="preserve"> </w:t>
      </w:r>
      <w:r w:rsidRPr="00CD57D4">
        <w:rPr>
          <w:rFonts w:ascii="Times New Roman" w:hAnsi="Times New Roman"/>
          <w:bCs/>
          <w:sz w:val="24"/>
          <w:szCs w:val="24"/>
        </w:rPr>
        <w:t xml:space="preserve"> on the requirements of the Hazardous Materials Regulations (HMR), 49 CFR Chapter I, Subchapter C.  </w:t>
      </w:r>
    </w:p>
    <w:p w:rsidR="00C41972" w:rsidRPr="00CD57D4" w:rsidRDefault="00C41972" w:rsidP="00C41972">
      <w:pPr>
        <w:rPr>
          <w:rFonts w:ascii="Times New Roman" w:hAnsi="Times New Roman"/>
          <w:bCs/>
          <w:sz w:val="24"/>
          <w:szCs w:val="24"/>
        </w:rPr>
      </w:pPr>
    </w:p>
    <w:p w:rsidR="00C41972" w:rsidRPr="00CD57D4" w:rsidRDefault="00C41972" w:rsidP="00C41972">
      <w:pPr>
        <w:rPr>
          <w:rFonts w:ascii="Times New Roman" w:hAnsi="Times New Roman"/>
          <w:bCs/>
          <w:sz w:val="24"/>
          <w:szCs w:val="24"/>
        </w:rPr>
      </w:pPr>
      <w:r w:rsidRPr="00CD57D4">
        <w:rPr>
          <w:rFonts w:ascii="Times New Roman" w:hAnsi="Times New Roman"/>
          <w:b/>
          <w:bCs/>
          <w:sz w:val="24"/>
          <w:szCs w:val="24"/>
        </w:rPr>
        <w:t>Question:</w:t>
      </w:r>
      <w:r w:rsidRPr="00CD57D4">
        <w:rPr>
          <w:rFonts w:ascii="Times New Roman" w:hAnsi="Times New Roman"/>
          <w:bCs/>
          <w:sz w:val="24"/>
          <w:szCs w:val="24"/>
        </w:rPr>
        <w:t xml:space="preserve"> When we submit our narrative, in part (1) Organization Information and Capacity, section (2), do you want to know about our whole organization or just our non-profit’s efforts in regards to the HMIT grant?</w:t>
      </w:r>
    </w:p>
    <w:p w:rsidR="00C41972" w:rsidRPr="00CD57D4" w:rsidRDefault="00C41972" w:rsidP="00C41972">
      <w:pPr>
        <w:rPr>
          <w:rFonts w:ascii="Times New Roman" w:hAnsi="Times New Roman"/>
          <w:bCs/>
          <w:sz w:val="24"/>
          <w:szCs w:val="24"/>
        </w:rPr>
      </w:pPr>
    </w:p>
    <w:p w:rsidR="00C41972" w:rsidRPr="00CD57D4" w:rsidRDefault="00C41972" w:rsidP="00C41972">
      <w:pPr>
        <w:rPr>
          <w:rFonts w:ascii="Times New Roman" w:hAnsi="Times New Roman"/>
          <w:bCs/>
          <w:sz w:val="24"/>
          <w:szCs w:val="24"/>
        </w:rPr>
      </w:pPr>
      <w:r w:rsidRPr="00CD57D4">
        <w:rPr>
          <w:rFonts w:ascii="Times New Roman" w:hAnsi="Times New Roman"/>
          <w:b/>
          <w:bCs/>
          <w:sz w:val="24"/>
          <w:szCs w:val="24"/>
        </w:rPr>
        <w:t>Answer:</w:t>
      </w:r>
      <w:r w:rsidRPr="00CD57D4">
        <w:rPr>
          <w:rFonts w:ascii="Times New Roman" w:hAnsi="Times New Roman"/>
          <w:bCs/>
          <w:sz w:val="24"/>
          <w:szCs w:val="24"/>
        </w:rPr>
        <w:t xml:space="preserve"> PHMSA wants the applicant to provide a brief </w:t>
      </w:r>
      <w:r w:rsidR="00CD57D4" w:rsidRPr="00CD57D4">
        <w:rPr>
          <w:rFonts w:ascii="Times New Roman" w:hAnsi="Times New Roman"/>
          <w:bCs/>
          <w:sz w:val="24"/>
          <w:szCs w:val="24"/>
        </w:rPr>
        <w:t>overview of</w:t>
      </w:r>
      <w:r w:rsidRPr="00CD57D4">
        <w:rPr>
          <w:rFonts w:ascii="Times New Roman" w:hAnsi="Times New Roman"/>
          <w:bCs/>
          <w:sz w:val="24"/>
          <w:szCs w:val="24"/>
        </w:rPr>
        <w:t xml:space="preserve"> the whole organization with </w:t>
      </w:r>
      <w:r w:rsidR="007E0F62" w:rsidRPr="00CD57D4">
        <w:rPr>
          <w:rFonts w:ascii="Times New Roman" w:hAnsi="Times New Roman"/>
          <w:bCs/>
          <w:sz w:val="24"/>
          <w:szCs w:val="24"/>
        </w:rPr>
        <w:t xml:space="preserve">a </w:t>
      </w:r>
      <w:r w:rsidRPr="00CD57D4">
        <w:rPr>
          <w:rFonts w:ascii="Times New Roman" w:hAnsi="Times New Roman"/>
          <w:bCs/>
          <w:sz w:val="24"/>
          <w:szCs w:val="24"/>
        </w:rPr>
        <w:t xml:space="preserve">focus on the </w:t>
      </w:r>
      <w:r w:rsidR="007E0F62" w:rsidRPr="00CD57D4">
        <w:rPr>
          <w:rFonts w:ascii="Times New Roman" w:hAnsi="Times New Roman"/>
          <w:bCs/>
          <w:sz w:val="24"/>
          <w:szCs w:val="24"/>
        </w:rPr>
        <w:t>organization’s</w:t>
      </w:r>
      <w:r w:rsidRPr="00CD57D4">
        <w:rPr>
          <w:rFonts w:ascii="Times New Roman" w:hAnsi="Times New Roman"/>
          <w:bCs/>
          <w:sz w:val="24"/>
          <w:szCs w:val="24"/>
        </w:rPr>
        <w:t xml:space="preserve"> efforts in regards to the HMIT grant.</w:t>
      </w:r>
    </w:p>
    <w:p w:rsidR="00C41972" w:rsidRPr="00CD57D4" w:rsidRDefault="00C41972" w:rsidP="00C41972">
      <w:pPr>
        <w:rPr>
          <w:rFonts w:ascii="Times New Roman" w:hAnsi="Times New Roman"/>
          <w:bCs/>
          <w:sz w:val="24"/>
          <w:szCs w:val="24"/>
        </w:rPr>
      </w:pPr>
    </w:p>
    <w:p w:rsidR="00C41972" w:rsidRPr="00CD57D4" w:rsidRDefault="00C41972" w:rsidP="00C41972">
      <w:pPr>
        <w:rPr>
          <w:rFonts w:ascii="Times New Roman" w:hAnsi="Times New Roman"/>
          <w:bCs/>
          <w:sz w:val="24"/>
          <w:szCs w:val="24"/>
        </w:rPr>
      </w:pPr>
      <w:r w:rsidRPr="00CD57D4">
        <w:rPr>
          <w:rFonts w:ascii="Times New Roman" w:hAnsi="Times New Roman"/>
          <w:b/>
          <w:bCs/>
          <w:sz w:val="24"/>
          <w:szCs w:val="24"/>
        </w:rPr>
        <w:lastRenderedPageBreak/>
        <w:t>Question:</w:t>
      </w:r>
      <w:r w:rsidRPr="00CD57D4">
        <w:rPr>
          <w:rFonts w:ascii="Times New Roman" w:hAnsi="Times New Roman"/>
          <w:bCs/>
          <w:sz w:val="24"/>
          <w:szCs w:val="24"/>
        </w:rPr>
        <w:t xml:space="preserve"> Is there an opportunity for </w:t>
      </w:r>
      <w:r w:rsidR="007E0F62" w:rsidRPr="00CD57D4">
        <w:rPr>
          <w:rFonts w:ascii="Times New Roman" w:hAnsi="Times New Roman"/>
          <w:bCs/>
          <w:sz w:val="24"/>
          <w:szCs w:val="24"/>
        </w:rPr>
        <w:t xml:space="preserve">an </w:t>
      </w:r>
      <w:r w:rsidRPr="00CD57D4">
        <w:rPr>
          <w:rFonts w:ascii="Times New Roman" w:hAnsi="Times New Roman"/>
          <w:bCs/>
          <w:sz w:val="24"/>
          <w:szCs w:val="24"/>
        </w:rPr>
        <w:t>applicant to submit a draft, and have it reviewed? Is this permissible?</w:t>
      </w:r>
    </w:p>
    <w:p w:rsidR="00C41972" w:rsidRPr="00CD57D4" w:rsidRDefault="00C41972" w:rsidP="00C41972">
      <w:pPr>
        <w:rPr>
          <w:rFonts w:ascii="Times New Roman" w:hAnsi="Times New Roman"/>
          <w:bCs/>
          <w:sz w:val="24"/>
          <w:szCs w:val="24"/>
        </w:rPr>
      </w:pPr>
    </w:p>
    <w:p w:rsidR="00DC205E" w:rsidRPr="008D4120" w:rsidRDefault="00C41972" w:rsidP="00DC205E">
      <w:pPr>
        <w:rPr>
          <w:rFonts w:ascii="Times New Roman" w:hAnsi="Times New Roman"/>
          <w:bCs/>
          <w:sz w:val="24"/>
          <w:szCs w:val="24"/>
        </w:rPr>
      </w:pPr>
      <w:r w:rsidRPr="00CD57D4">
        <w:rPr>
          <w:rFonts w:ascii="Times New Roman" w:hAnsi="Times New Roman"/>
          <w:b/>
          <w:bCs/>
          <w:sz w:val="24"/>
          <w:szCs w:val="24"/>
        </w:rPr>
        <w:t>Answer:</w:t>
      </w:r>
      <w:r w:rsidRPr="00CD57D4">
        <w:rPr>
          <w:rFonts w:ascii="Times New Roman" w:hAnsi="Times New Roman"/>
          <w:bCs/>
          <w:sz w:val="24"/>
          <w:szCs w:val="24"/>
        </w:rPr>
        <w:t xml:space="preserve"> HMIT is a competitive grant process and PHMSA cannot conduct a cursory review of</w:t>
      </w:r>
      <w:r w:rsidR="00DC205E" w:rsidRPr="00CD57D4">
        <w:rPr>
          <w:rFonts w:ascii="Times New Roman" w:hAnsi="Times New Roman"/>
          <w:bCs/>
          <w:sz w:val="24"/>
          <w:szCs w:val="24"/>
        </w:rPr>
        <w:t xml:space="preserve"> draft application</w:t>
      </w:r>
      <w:r w:rsidR="007E0F62" w:rsidRPr="00CD57D4">
        <w:rPr>
          <w:rFonts w:ascii="Times New Roman" w:hAnsi="Times New Roman"/>
          <w:bCs/>
          <w:sz w:val="24"/>
          <w:szCs w:val="24"/>
        </w:rPr>
        <w:t>s</w:t>
      </w:r>
      <w:r w:rsidR="00DC205E" w:rsidRPr="00CD57D4">
        <w:rPr>
          <w:rFonts w:ascii="Times New Roman" w:hAnsi="Times New Roman"/>
          <w:bCs/>
          <w:sz w:val="24"/>
          <w:szCs w:val="24"/>
        </w:rPr>
        <w:t xml:space="preserve"> prior to submission.</w:t>
      </w:r>
    </w:p>
    <w:p w:rsidR="00C643AF" w:rsidRDefault="00C643AF" w:rsidP="0072460F">
      <w:pPr>
        <w:rPr>
          <w:rFonts w:ascii="Times New Roman" w:hAnsi="Times New Roman"/>
          <w:b/>
          <w:bCs/>
          <w:sz w:val="24"/>
          <w:szCs w:val="24"/>
        </w:rPr>
      </w:pPr>
    </w:p>
    <w:p w:rsidR="0072460F" w:rsidRPr="008D4120" w:rsidRDefault="0072460F" w:rsidP="0072460F">
      <w:pPr>
        <w:rPr>
          <w:rFonts w:ascii="Times New Roman" w:hAnsi="Times New Roman"/>
          <w:bCs/>
          <w:sz w:val="24"/>
          <w:szCs w:val="24"/>
        </w:rPr>
      </w:pPr>
      <w:r w:rsidRPr="008D4120">
        <w:rPr>
          <w:rFonts w:ascii="Times New Roman" w:hAnsi="Times New Roman"/>
          <w:b/>
          <w:bCs/>
          <w:sz w:val="24"/>
          <w:szCs w:val="24"/>
        </w:rPr>
        <w:t>Question:</w:t>
      </w:r>
      <w:r w:rsidRPr="008D4120">
        <w:rPr>
          <w:rFonts w:ascii="Times New Roman" w:hAnsi="Times New Roman"/>
          <w:bCs/>
          <w:sz w:val="24"/>
          <w:szCs w:val="24"/>
        </w:rPr>
        <w:t xml:space="preserve"> </w:t>
      </w:r>
      <w:r w:rsidR="00391C64">
        <w:rPr>
          <w:rFonts w:ascii="Times New Roman" w:hAnsi="Times New Roman"/>
          <w:bCs/>
          <w:sz w:val="24"/>
          <w:szCs w:val="24"/>
        </w:rPr>
        <w:t>H</w:t>
      </w:r>
      <w:r w:rsidRPr="008D4120">
        <w:rPr>
          <w:rFonts w:ascii="Times New Roman" w:hAnsi="Times New Roman"/>
          <w:bCs/>
          <w:sz w:val="24"/>
          <w:szCs w:val="24"/>
        </w:rPr>
        <w:t>ow does DOT define public/private partnerships?</w:t>
      </w:r>
    </w:p>
    <w:p w:rsidR="0072460F" w:rsidRPr="008D4120" w:rsidRDefault="0072460F" w:rsidP="0072460F">
      <w:pPr>
        <w:rPr>
          <w:rFonts w:ascii="Times New Roman" w:hAnsi="Times New Roman"/>
          <w:bCs/>
          <w:sz w:val="24"/>
          <w:szCs w:val="24"/>
        </w:rPr>
      </w:pPr>
    </w:p>
    <w:p w:rsidR="0072460F" w:rsidRPr="008D4120" w:rsidRDefault="0072460F" w:rsidP="0072460F">
      <w:pPr>
        <w:rPr>
          <w:rFonts w:ascii="Times New Roman" w:hAnsi="Times New Roman"/>
          <w:bCs/>
          <w:sz w:val="24"/>
          <w:szCs w:val="24"/>
        </w:rPr>
      </w:pPr>
      <w:r w:rsidRPr="008D4120">
        <w:rPr>
          <w:rFonts w:ascii="Times New Roman" w:hAnsi="Times New Roman"/>
          <w:b/>
          <w:bCs/>
          <w:sz w:val="24"/>
          <w:szCs w:val="24"/>
        </w:rPr>
        <w:t>Answer:</w:t>
      </w:r>
      <w:r w:rsidRPr="008D4120">
        <w:rPr>
          <w:rFonts w:ascii="Times New Roman" w:hAnsi="Times New Roman"/>
          <w:bCs/>
          <w:sz w:val="24"/>
          <w:szCs w:val="24"/>
        </w:rPr>
        <w:t xml:space="preserve"> When PHMSA states "This competitive grant opportunity requests applications from nonprofit organizations representing regional public-private partnerships”, we are referring to nonprofit organizations that have the ability to reach a large audience through active public/private partnerships they have with the emergency response community.</w:t>
      </w:r>
    </w:p>
    <w:p w:rsidR="0072460F" w:rsidRPr="008D4120" w:rsidRDefault="0072460F" w:rsidP="0072460F">
      <w:pPr>
        <w:rPr>
          <w:rFonts w:ascii="Times New Roman" w:hAnsi="Times New Roman"/>
          <w:bCs/>
          <w:sz w:val="24"/>
          <w:szCs w:val="24"/>
        </w:rPr>
      </w:pPr>
    </w:p>
    <w:p w:rsidR="00801802" w:rsidRDefault="00801802" w:rsidP="00801802">
      <w:pPr>
        <w:rPr>
          <w:rFonts w:ascii="Times New Roman" w:hAnsi="Times New Roman"/>
          <w:bCs/>
          <w:sz w:val="24"/>
          <w:szCs w:val="24"/>
        </w:rPr>
      </w:pPr>
      <w:r w:rsidRPr="008D4120">
        <w:rPr>
          <w:rFonts w:ascii="Times New Roman" w:hAnsi="Times New Roman"/>
          <w:b/>
          <w:bCs/>
          <w:sz w:val="24"/>
          <w:szCs w:val="24"/>
        </w:rPr>
        <w:t>Question:</w:t>
      </w:r>
      <w:r w:rsidRPr="008D4120">
        <w:rPr>
          <w:rFonts w:ascii="Times New Roman" w:hAnsi="Times New Roman"/>
          <w:bCs/>
          <w:sz w:val="24"/>
          <w:szCs w:val="24"/>
        </w:rPr>
        <w:t xml:space="preserve"> </w:t>
      </w:r>
      <w:r w:rsidRPr="00801802">
        <w:rPr>
          <w:rFonts w:ascii="Times New Roman" w:hAnsi="Times New Roman"/>
          <w:bCs/>
          <w:sz w:val="24"/>
          <w:szCs w:val="24"/>
        </w:rPr>
        <w:t xml:space="preserve">Who is the intended audience, is it for Train-the-Trainer for </w:t>
      </w:r>
      <w:proofErr w:type="spellStart"/>
      <w:r w:rsidRPr="00801802">
        <w:rPr>
          <w:rFonts w:ascii="Times New Roman" w:hAnsi="Times New Roman"/>
          <w:bCs/>
          <w:sz w:val="24"/>
          <w:szCs w:val="24"/>
        </w:rPr>
        <w:t>Haz</w:t>
      </w:r>
      <w:proofErr w:type="spellEnd"/>
      <w:r w:rsidRPr="00801802">
        <w:rPr>
          <w:rFonts w:ascii="Times New Roman" w:hAnsi="Times New Roman"/>
          <w:bCs/>
          <w:sz w:val="24"/>
          <w:szCs w:val="24"/>
        </w:rPr>
        <w:t xml:space="preserve">. Waste Worker to go back and train at their facility or is it to train HAZ Waste Workers on the DOT </w:t>
      </w:r>
      <w:proofErr w:type="spellStart"/>
      <w:r w:rsidRPr="00801802">
        <w:rPr>
          <w:rFonts w:ascii="Times New Roman" w:hAnsi="Times New Roman"/>
          <w:bCs/>
          <w:sz w:val="24"/>
          <w:szCs w:val="24"/>
        </w:rPr>
        <w:t>Regs</w:t>
      </w:r>
      <w:proofErr w:type="spellEnd"/>
      <w:r w:rsidRPr="00801802">
        <w:rPr>
          <w:rFonts w:ascii="Times New Roman" w:hAnsi="Times New Roman"/>
          <w:bCs/>
          <w:sz w:val="24"/>
          <w:szCs w:val="24"/>
        </w:rPr>
        <w:t>?  Or Both?</w:t>
      </w:r>
    </w:p>
    <w:p w:rsidR="00801802" w:rsidRPr="008D4120" w:rsidRDefault="00801802" w:rsidP="00801802">
      <w:pPr>
        <w:rPr>
          <w:rFonts w:ascii="Times New Roman" w:hAnsi="Times New Roman"/>
          <w:bCs/>
          <w:sz w:val="24"/>
          <w:szCs w:val="24"/>
        </w:rPr>
      </w:pPr>
    </w:p>
    <w:p w:rsidR="00801802" w:rsidRPr="00801802" w:rsidRDefault="00801802" w:rsidP="00801802">
      <w:pPr>
        <w:rPr>
          <w:rFonts w:ascii="Times New Roman" w:hAnsi="Times New Roman"/>
          <w:bCs/>
          <w:sz w:val="24"/>
          <w:szCs w:val="24"/>
        </w:rPr>
      </w:pPr>
      <w:r w:rsidRPr="008D4120">
        <w:rPr>
          <w:rFonts w:ascii="Times New Roman" w:hAnsi="Times New Roman"/>
          <w:b/>
          <w:bCs/>
          <w:sz w:val="24"/>
          <w:szCs w:val="24"/>
        </w:rPr>
        <w:t>Answer:</w:t>
      </w:r>
      <w:r w:rsidRPr="008D4120">
        <w:rPr>
          <w:rFonts w:ascii="Times New Roman" w:hAnsi="Times New Roman"/>
          <w:bCs/>
          <w:sz w:val="24"/>
          <w:szCs w:val="24"/>
        </w:rPr>
        <w:t xml:space="preserve"> </w:t>
      </w:r>
      <w:r w:rsidRPr="00801802">
        <w:rPr>
          <w:rFonts w:ascii="Times New Roman" w:hAnsi="Times New Roman"/>
          <w:bCs/>
          <w:sz w:val="24"/>
          <w:szCs w:val="24"/>
        </w:rPr>
        <w:t xml:space="preserve">Both. Training provided under the Hazardous Materials Instructor Training (HMIT) grant program is not limited to hazardous materials waste. The HMIT program is intended to reach and train private sector hazmat instructors and employees involved with the transportation of hazardous materials who must comply with the Hazardous Materials Regulations (HMR).   </w:t>
      </w:r>
    </w:p>
    <w:p w:rsidR="00801802" w:rsidRPr="00801802" w:rsidRDefault="00801802" w:rsidP="00801802">
      <w:pPr>
        <w:rPr>
          <w:rFonts w:ascii="Times New Roman" w:hAnsi="Times New Roman"/>
          <w:bCs/>
          <w:sz w:val="24"/>
          <w:szCs w:val="24"/>
        </w:rPr>
      </w:pPr>
    </w:p>
    <w:p w:rsidR="00801802" w:rsidRPr="00801802" w:rsidRDefault="00801802" w:rsidP="00801802">
      <w:pPr>
        <w:rPr>
          <w:rFonts w:ascii="Times New Roman" w:hAnsi="Times New Roman"/>
          <w:bCs/>
          <w:sz w:val="24"/>
          <w:szCs w:val="24"/>
        </w:rPr>
      </w:pPr>
      <w:r w:rsidRPr="00801802">
        <w:rPr>
          <w:rFonts w:ascii="Times New Roman" w:hAnsi="Times New Roman"/>
          <w:bCs/>
          <w:sz w:val="24"/>
          <w:szCs w:val="24"/>
        </w:rPr>
        <w:t xml:space="preserve">Pursuant to 49 U.S.C § 5107(e), HMIT funds may be used for (A) for training instructors to train hazmat employees; and (B) to the extent determined appropriate by the Secretary, for such instructors to train hazmat employees. </w:t>
      </w:r>
    </w:p>
    <w:p w:rsidR="00801802" w:rsidRPr="00801802" w:rsidRDefault="00801802" w:rsidP="00801802">
      <w:pPr>
        <w:rPr>
          <w:rFonts w:ascii="Times New Roman" w:hAnsi="Times New Roman"/>
          <w:bCs/>
          <w:sz w:val="24"/>
          <w:szCs w:val="24"/>
        </w:rPr>
      </w:pPr>
    </w:p>
    <w:p w:rsidR="0072460F" w:rsidRDefault="00801802" w:rsidP="00801802">
      <w:pPr>
        <w:rPr>
          <w:rFonts w:ascii="Times New Roman" w:hAnsi="Times New Roman"/>
          <w:bCs/>
          <w:sz w:val="24"/>
          <w:szCs w:val="24"/>
        </w:rPr>
      </w:pPr>
      <w:r w:rsidRPr="00801802">
        <w:rPr>
          <w:rFonts w:ascii="Times New Roman" w:hAnsi="Times New Roman"/>
          <w:bCs/>
          <w:sz w:val="24"/>
          <w:szCs w:val="24"/>
        </w:rPr>
        <w:t>PHMSA encourages applicants to use the train-the-trainer model to train: (1) existing hazmat instructors, (2) existing hazmat employees to become hazmat instructors who will then train additional hazmat employ</w:t>
      </w:r>
      <w:r>
        <w:rPr>
          <w:rFonts w:ascii="Times New Roman" w:hAnsi="Times New Roman"/>
          <w:bCs/>
          <w:sz w:val="24"/>
          <w:szCs w:val="24"/>
        </w:rPr>
        <w:t>ees; and (3) on a limited basis</w:t>
      </w:r>
      <w:r w:rsidRPr="00801802">
        <w:rPr>
          <w:rFonts w:ascii="Times New Roman" w:hAnsi="Times New Roman"/>
          <w:bCs/>
          <w:sz w:val="24"/>
          <w:szCs w:val="24"/>
        </w:rPr>
        <w:t>, direct training to hazmat employees</w:t>
      </w:r>
      <w:r w:rsidR="006569AA">
        <w:rPr>
          <w:rFonts w:ascii="Times New Roman" w:hAnsi="Times New Roman"/>
          <w:bCs/>
          <w:sz w:val="24"/>
          <w:szCs w:val="24"/>
        </w:rPr>
        <w:t xml:space="preserve"> (no more than 25% of grant award)</w:t>
      </w:r>
      <w:r w:rsidRPr="00801802">
        <w:rPr>
          <w:rFonts w:ascii="Times New Roman" w:hAnsi="Times New Roman"/>
          <w:bCs/>
          <w:sz w:val="24"/>
          <w:szCs w:val="24"/>
        </w:rPr>
        <w:t>.</w:t>
      </w:r>
      <w:r w:rsidR="006569AA">
        <w:rPr>
          <w:rFonts w:ascii="Times New Roman" w:hAnsi="Times New Roman"/>
          <w:bCs/>
          <w:sz w:val="24"/>
          <w:szCs w:val="24"/>
        </w:rPr>
        <w:t xml:space="preserve"> </w:t>
      </w:r>
    </w:p>
    <w:p w:rsidR="008D61B1" w:rsidRDefault="008D61B1" w:rsidP="00801802">
      <w:pPr>
        <w:rPr>
          <w:rFonts w:ascii="Times New Roman" w:hAnsi="Times New Roman"/>
          <w:bCs/>
          <w:sz w:val="24"/>
          <w:szCs w:val="24"/>
        </w:rPr>
      </w:pPr>
    </w:p>
    <w:p w:rsidR="008D61B1" w:rsidRDefault="008D61B1" w:rsidP="00801802">
      <w:pPr>
        <w:rPr>
          <w:rFonts w:ascii="Times New Roman" w:hAnsi="Times New Roman"/>
          <w:bCs/>
          <w:sz w:val="24"/>
          <w:szCs w:val="24"/>
        </w:rPr>
      </w:pPr>
    </w:p>
    <w:p w:rsidR="008D61B1" w:rsidRDefault="008D61B1" w:rsidP="00801802">
      <w:pPr>
        <w:rPr>
          <w:rFonts w:ascii="Times New Roman" w:hAnsi="Times New Roman"/>
          <w:bCs/>
          <w:sz w:val="24"/>
          <w:szCs w:val="24"/>
        </w:rPr>
      </w:pPr>
    </w:p>
    <w:p w:rsidR="008D61B1" w:rsidRPr="008D61B1" w:rsidRDefault="008D61B1" w:rsidP="008D61B1">
      <w:pPr>
        <w:rPr>
          <w:rFonts w:ascii="Times New Roman" w:hAnsi="Times New Roman"/>
          <w:b/>
          <w:sz w:val="24"/>
          <w:szCs w:val="24"/>
        </w:rPr>
      </w:pPr>
      <w:r w:rsidRPr="008D61B1">
        <w:rPr>
          <w:rFonts w:ascii="Times New Roman" w:hAnsi="Times New Roman"/>
          <w:b/>
          <w:sz w:val="24"/>
          <w:szCs w:val="24"/>
        </w:rPr>
        <w:t>For reference:</w:t>
      </w:r>
    </w:p>
    <w:p w:rsidR="008D61B1" w:rsidRDefault="008D61B1" w:rsidP="008D61B1">
      <w:pPr>
        <w:rPr>
          <w:rFonts w:ascii="Times New Roman" w:hAnsi="Times New Roman"/>
          <w:sz w:val="24"/>
          <w:szCs w:val="24"/>
        </w:rPr>
      </w:pPr>
      <w:r>
        <w:rPr>
          <w:rFonts w:ascii="Times New Roman" w:hAnsi="Times New Roman"/>
          <w:i/>
          <w:iCs/>
          <w:sz w:val="24"/>
          <w:szCs w:val="24"/>
        </w:rPr>
        <w:t>Hazardous material</w:t>
      </w:r>
      <w:r>
        <w:rPr>
          <w:rFonts w:ascii="Times New Roman" w:hAnsi="Times New Roman"/>
          <w:sz w:val="24"/>
          <w:szCs w:val="24"/>
        </w:rPr>
        <w:t> means a substance or material that the </w:t>
      </w:r>
      <w:hyperlink r:id="rId4" w:tooltip="Secretary" w:history="1">
        <w:r>
          <w:rPr>
            <w:rStyle w:val="Hyperlink"/>
            <w:rFonts w:ascii="Times New Roman" w:hAnsi="Times New Roman"/>
            <w:color w:val="auto"/>
            <w:sz w:val="24"/>
            <w:szCs w:val="24"/>
          </w:rPr>
          <w:t>Secretary</w:t>
        </w:r>
      </w:hyperlink>
      <w:r>
        <w:rPr>
          <w:rFonts w:ascii="Times New Roman" w:hAnsi="Times New Roman"/>
          <w:sz w:val="24"/>
          <w:szCs w:val="24"/>
        </w:rPr>
        <w:t> of Transportation has determined is capable of posing an unreasonable risk to health, safety, and property when transported in </w:t>
      </w:r>
      <w:hyperlink r:id="rId5" w:tooltip="commerce" w:history="1">
        <w:r>
          <w:rPr>
            <w:rStyle w:val="Hyperlink"/>
            <w:rFonts w:ascii="Times New Roman" w:hAnsi="Times New Roman"/>
            <w:color w:val="auto"/>
            <w:sz w:val="24"/>
            <w:szCs w:val="24"/>
          </w:rPr>
          <w:t>commerce</w:t>
        </w:r>
      </w:hyperlink>
      <w:r>
        <w:rPr>
          <w:rFonts w:ascii="Times New Roman" w:hAnsi="Times New Roman"/>
          <w:sz w:val="24"/>
          <w:szCs w:val="24"/>
        </w:rPr>
        <w:t>, and has designated as hazardous under section 5103 of Federal </w:t>
      </w:r>
      <w:hyperlink r:id="rId6" w:tooltip="hazardous materials" w:history="1">
        <w:r>
          <w:rPr>
            <w:rStyle w:val="Hyperlink"/>
            <w:rFonts w:ascii="Times New Roman" w:hAnsi="Times New Roman"/>
            <w:color w:val="auto"/>
            <w:sz w:val="24"/>
            <w:szCs w:val="24"/>
          </w:rPr>
          <w:t>hazardous materials</w:t>
        </w:r>
      </w:hyperlink>
      <w:r>
        <w:rPr>
          <w:rFonts w:ascii="Times New Roman" w:hAnsi="Times New Roman"/>
          <w:sz w:val="24"/>
          <w:szCs w:val="24"/>
        </w:rPr>
        <w:t> transportation law ( </w:t>
      </w:r>
      <w:hyperlink r:id="rId7" w:tooltip="49 U.S.C. 5103" w:history="1">
        <w:r>
          <w:rPr>
            <w:rStyle w:val="Hyperlink"/>
            <w:rFonts w:ascii="Times New Roman" w:hAnsi="Times New Roman"/>
            <w:color w:val="auto"/>
            <w:sz w:val="24"/>
            <w:szCs w:val="24"/>
          </w:rPr>
          <w:t>49 U.S.C. 5103</w:t>
        </w:r>
      </w:hyperlink>
      <w:r>
        <w:rPr>
          <w:rFonts w:ascii="Times New Roman" w:hAnsi="Times New Roman"/>
          <w:sz w:val="24"/>
          <w:szCs w:val="24"/>
        </w:rPr>
        <w:t>). The term includes hazardous substances, hazardous wastes, marine pollutants, elevated temperature materials, materials designated as hazardous in the </w:t>
      </w:r>
      <w:hyperlink r:id="rId8" w:tooltip="Hazardous Materials" w:history="1">
        <w:r>
          <w:rPr>
            <w:rStyle w:val="Hyperlink"/>
            <w:rFonts w:ascii="Times New Roman" w:hAnsi="Times New Roman"/>
            <w:color w:val="auto"/>
            <w:sz w:val="24"/>
            <w:szCs w:val="24"/>
          </w:rPr>
          <w:t>Hazardous Materials</w:t>
        </w:r>
      </w:hyperlink>
      <w:r>
        <w:rPr>
          <w:rFonts w:ascii="Times New Roman" w:hAnsi="Times New Roman"/>
          <w:sz w:val="24"/>
          <w:szCs w:val="24"/>
        </w:rPr>
        <w:t> Table (see </w:t>
      </w:r>
      <w:hyperlink r:id="rId9" w:tooltip="49 CFR 172.101)" w:history="1">
        <w:r>
          <w:rPr>
            <w:rStyle w:val="Hyperlink"/>
            <w:rFonts w:ascii="Times New Roman" w:hAnsi="Times New Roman"/>
            <w:color w:val="auto"/>
            <w:sz w:val="24"/>
            <w:szCs w:val="24"/>
          </w:rPr>
          <w:t>49 CFR 172.101)</w:t>
        </w:r>
      </w:hyperlink>
      <w:r>
        <w:rPr>
          <w:rFonts w:ascii="Times New Roman" w:hAnsi="Times New Roman"/>
          <w:sz w:val="24"/>
          <w:szCs w:val="24"/>
        </w:rPr>
        <w:t>, and materials that meet the defining criteria for </w:t>
      </w:r>
      <w:hyperlink r:id="rId10" w:tooltip="hazard classes" w:history="1">
        <w:r>
          <w:rPr>
            <w:rStyle w:val="Hyperlink"/>
            <w:rFonts w:ascii="Times New Roman" w:hAnsi="Times New Roman"/>
            <w:color w:val="auto"/>
            <w:sz w:val="24"/>
            <w:szCs w:val="24"/>
          </w:rPr>
          <w:t>hazard classes</w:t>
        </w:r>
      </w:hyperlink>
      <w:r>
        <w:rPr>
          <w:rFonts w:ascii="Times New Roman" w:hAnsi="Times New Roman"/>
          <w:sz w:val="24"/>
          <w:szCs w:val="24"/>
        </w:rPr>
        <w:t> and </w:t>
      </w:r>
      <w:hyperlink r:id="rId11" w:tooltip="divisions" w:history="1">
        <w:r>
          <w:rPr>
            <w:rStyle w:val="Hyperlink"/>
            <w:rFonts w:ascii="Times New Roman" w:hAnsi="Times New Roman"/>
            <w:color w:val="auto"/>
            <w:sz w:val="24"/>
            <w:szCs w:val="24"/>
          </w:rPr>
          <w:t>divisions</w:t>
        </w:r>
      </w:hyperlink>
      <w:r>
        <w:rPr>
          <w:rFonts w:ascii="Times New Roman" w:hAnsi="Times New Roman"/>
          <w:sz w:val="24"/>
          <w:szCs w:val="24"/>
        </w:rPr>
        <w:t> in </w:t>
      </w:r>
      <w:hyperlink r:id="rId12" w:tooltip="part 173" w:history="1">
        <w:r>
          <w:rPr>
            <w:rStyle w:val="Hyperlink"/>
            <w:rFonts w:ascii="Times New Roman" w:hAnsi="Times New Roman"/>
            <w:color w:val="auto"/>
            <w:sz w:val="24"/>
            <w:szCs w:val="24"/>
          </w:rPr>
          <w:t>part 173</w:t>
        </w:r>
      </w:hyperlink>
      <w:r>
        <w:rPr>
          <w:rFonts w:ascii="Times New Roman" w:hAnsi="Times New Roman"/>
          <w:sz w:val="24"/>
          <w:szCs w:val="24"/>
        </w:rPr>
        <w:t> of this subchapter.</w:t>
      </w:r>
    </w:p>
    <w:p w:rsidR="008D61B1" w:rsidRDefault="008D61B1" w:rsidP="008D61B1">
      <w:pPr>
        <w:rPr>
          <w:rFonts w:ascii="Times New Roman" w:hAnsi="Times New Roman"/>
          <w:sz w:val="24"/>
          <w:szCs w:val="24"/>
        </w:rPr>
      </w:pPr>
    </w:p>
    <w:p w:rsidR="008D61B1" w:rsidRDefault="008D61B1" w:rsidP="008D61B1">
      <w:pPr>
        <w:rPr>
          <w:rFonts w:ascii="Times New Roman" w:hAnsi="Times New Roman"/>
          <w:sz w:val="24"/>
          <w:szCs w:val="24"/>
        </w:rPr>
      </w:pPr>
      <w:r>
        <w:rPr>
          <w:rFonts w:ascii="Times New Roman" w:hAnsi="Times New Roman"/>
          <w:i/>
          <w:iCs/>
          <w:sz w:val="24"/>
          <w:szCs w:val="24"/>
        </w:rPr>
        <w:t>Hazardous waste,</w:t>
      </w:r>
      <w:r>
        <w:rPr>
          <w:rFonts w:ascii="Times New Roman" w:hAnsi="Times New Roman"/>
          <w:sz w:val="24"/>
          <w:szCs w:val="24"/>
        </w:rPr>
        <w:t> for the purposes of this chapter, means any material that is subject to the Hazardous Waste Manifest Requirements of the U.S. Environmental Protection Agency specified in </w:t>
      </w:r>
      <w:hyperlink r:id="rId13" w:tooltip="40 CFR part 262." w:history="1">
        <w:r>
          <w:rPr>
            <w:rStyle w:val="Hyperlink"/>
            <w:rFonts w:ascii="Times New Roman" w:hAnsi="Times New Roman"/>
            <w:color w:val="auto"/>
            <w:sz w:val="24"/>
            <w:szCs w:val="24"/>
          </w:rPr>
          <w:t>40 CFR part 262.</w:t>
        </w:r>
      </w:hyperlink>
    </w:p>
    <w:p w:rsidR="008D61B1" w:rsidRDefault="008D61B1" w:rsidP="00801802">
      <w:pPr>
        <w:rPr>
          <w:rFonts w:ascii="Times New Roman" w:hAnsi="Times New Roman"/>
          <w:bCs/>
          <w:sz w:val="24"/>
          <w:szCs w:val="24"/>
        </w:rPr>
      </w:pPr>
    </w:p>
    <w:p w:rsidR="00012AD7" w:rsidRPr="008D4120" w:rsidRDefault="00012AD7" w:rsidP="00012AD7">
      <w:pPr>
        <w:rPr>
          <w:rFonts w:ascii="Times New Roman" w:hAnsi="Times New Roman"/>
          <w:bCs/>
          <w:sz w:val="24"/>
          <w:szCs w:val="24"/>
        </w:rPr>
      </w:pPr>
    </w:p>
    <w:p w:rsidR="00012AD7" w:rsidRPr="00801802" w:rsidRDefault="00012AD7" w:rsidP="00801802">
      <w:pPr>
        <w:rPr>
          <w:rFonts w:ascii="Times New Roman" w:hAnsi="Times New Roman"/>
          <w:bCs/>
          <w:sz w:val="24"/>
          <w:szCs w:val="24"/>
        </w:rPr>
      </w:pPr>
    </w:p>
    <w:sectPr w:rsidR="00012AD7" w:rsidRPr="00801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FB7"/>
    <w:rsid w:val="00012AD7"/>
    <w:rsid w:val="00016F25"/>
    <w:rsid w:val="00036B16"/>
    <w:rsid w:val="000C6131"/>
    <w:rsid w:val="001A4598"/>
    <w:rsid w:val="001B0478"/>
    <w:rsid w:val="002210AD"/>
    <w:rsid w:val="00362B23"/>
    <w:rsid w:val="00391C64"/>
    <w:rsid w:val="003A257B"/>
    <w:rsid w:val="003E5DDF"/>
    <w:rsid w:val="004978A3"/>
    <w:rsid w:val="005318DE"/>
    <w:rsid w:val="00536099"/>
    <w:rsid w:val="00590C3F"/>
    <w:rsid w:val="006569AA"/>
    <w:rsid w:val="006B6E4A"/>
    <w:rsid w:val="006E7A79"/>
    <w:rsid w:val="0072460F"/>
    <w:rsid w:val="00753FB7"/>
    <w:rsid w:val="00777FE6"/>
    <w:rsid w:val="007B3535"/>
    <w:rsid w:val="007E0F62"/>
    <w:rsid w:val="00801802"/>
    <w:rsid w:val="008C2DC1"/>
    <w:rsid w:val="008D4120"/>
    <w:rsid w:val="008D61B1"/>
    <w:rsid w:val="009A16FE"/>
    <w:rsid w:val="00AA753E"/>
    <w:rsid w:val="00AE4F88"/>
    <w:rsid w:val="00B7334A"/>
    <w:rsid w:val="00C358BB"/>
    <w:rsid w:val="00C41972"/>
    <w:rsid w:val="00C44298"/>
    <w:rsid w:val="00C5420F"/>
    <w:rsid w:val="00C643AF"/>
    <w:rsid w:val="00CD57D4"/>
    <w:rsid w:val="00D74C13"/>
    <w:rsid w:val="00D95A51"/>
    <w:rsid w:val="00DC205E"/>
    <w:rsid w:val="00E27D81"/>
    <w:rsid w:val="00E70B52"/>
    <w:rsid w:val="00E7587D"/>
    <w:rsid w:val="00F268BB"/>
    <w:rsid w:val="00FC2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F4A0E-5A7D-4F4F-A870-F47B5A42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53FB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61B1"/>
    <w:rPr>
      <w:color w:val="0563C1"/>
      <w:u w:val="single"/>
    </w:rPr>
  </w:style>
  <w:style w:type="paragraph" w:styleId="BalloonText">
    <w:name w:val="Balloon Text"/>
    <w:basedOn w:val="Normal"/>
    <w:link w:val="BalloonTextChar"/>
    <w:uiPriority w:val="99"/>
    <w:semiHidden/>
    <w:unhideWhenUsed/>
    <w:rsid w:val="00CD57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36185">
      <w:bodyDiv w:val="1"/>
      <w:marLeft w:val="0"/>
      <w:marRight w:val="0"/>
      <w:marTop w:val="0"/>
      <w:marBottom w:val="0"/>
      <w:divBdr>
        <w:top w:val="none" w:sz="0" w:space="0" w:color="auto"/>
        <w:left w:val="none" w:sz="0" w:space="0" w:color="auto"/>
        <w:bottom w:val="none" w:sz="0" w:space="0" w:color="auto"/>
        <w:right w:val="none" w:sz="0" w:space="0" w:color="auto"/>
      </w:divBdr>
    </w:div>
    <w:div w:id="793209139">
      <w:bodyDiv w:val="1"/>
      <w:marLeft w:val="0"/>
      <w:marRight w:val="0"/>
      <w:marTop w:val="0"/>
      <w:marBottom w:val="0"/>
      <w:divBdr>
        <w:top w:val="none" w:sz="0" w:space="0" w:color="auto"/>
        <w:left w:val="none" w:sz="0" w:space="0" w:color="auto"/>
        <w:bottom w:val="none" w:sz="0" w:space="0" w:color="auto"/>
        <w:right w:val="none" w:sz="0" w:space="0" w:color="auto"/>
      </w:divBdr>
    </w:div>
    <w:div w:id="1288585058">
      <w:bodyDiv w:val="1"/>
      <w:marLeft w:val="0"/>
      <w:marRight w:val="0"/>
      <w:marTop w:val="0"/>
      <w:marBottom w:val="0"/>
      <w:divBdr>
        <w:top w:val="none" w:sz="0" w:space="0" w:color="auto"/>
        <w:left w:val="none" w:sz="0" w:space="0" w:color="auto"/>
        <w:bottom w:val="none" w:sz="0" w:space="0" w:color="auto"/>
        <w:right w:val="none" w:sz="0" w:space="0" w:color="auto"/>
      </w:divBdr>
    </w:div>
    <w:div w:id="202821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definitions/index.php?width=840&amp;height=800&amp;iframe=true&amp;def_id=639d6a96a12081927752d7c7f6fa0f2f&amp;term_occur=13&amp;term_src=Title:49:Subtitle:B:Chapter:I:Subchapter:C:Part:171:Subpart:A:171.8" TargetMode="External"/><Relationship Id="rId13" Type="http://schemas.openxmlformats.org/officeDocument/2006/relationships/hyperlink" Target="https://www.law.cornell.edu/cfr/text/40/part-262." TargetMode="External"/><Relationship Id="rId3" Type="http://schemas.openxmlformats.org/officeDocument/2006/relationships/webSettings" Target="webSettings.xml"/><Relationship Id="rId7" Type="http://schemas.openxmlformats.org/officeDocument/2006/relationships/hyperlink" Target="https://www.law.cornell.edu/uscode/text/49/5103" TargetMode="External"/><Relationship Id="rId12" Type="http://schemas.openxmlformats.org/officeDocument/2006/relationships/hyperlink" Target="https://www.law.cornell.edu/cfr/text/49/part-1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definitions/index.php?width=840&amp;height=800&amp;iframe=true&amp;def_id=639d6a96a12081927752d7c7f6fa0f2f&amp;term_occur=12&amp;term_src=Title:49:Subtitle:B:Chapter:I:Subchapter:C:Part:171:Subpart:A:171.8" TargetMode="External"/><Relationship Id="rId11" Type="http://schemas.openxmlformats.org/officeDocument/2006/relationships/hyperlink" Target="https://www.law.cornell.edu/definitions/index.php?width=840&amp;height=800&amp;iframe=true&amp;def_id=2f81e462a47411105565e9cc45e9bbfe&amp;term_occur=5&amp;term_src=Title:49:Subtitle:B:Chapter:I:Subchapter:C:Part:171:Subpart:A:171.8" TargetMode="External"/><Relationship Id="rId5" Type="http://schemas.openxmlformats.org/officeDocument/2006/relationships/hyperlink" Target="https://www.law.cornell.edu/definitions/index.php?width=840&amp;height=800&amp;iframe=true&amp;def_id=da935b667c9a9d6b98205a7692ad036f&amp;term_occur=2&amp;term_src=Title:49:Subtitle:B:Chapter:I:Subchapter:C:Part:171:Subpart:A:171.8" TargetMode="External"/><Relationship Id="rId15" Type="http://schemas.openxmlformats.org/officeDocument/2006/relationships/theme" Target="theme/theme1.xml"/><Relationship Id="rId10" Type="http://schemas.openxmlformats.org/officeDocument/2006/relationships/hyperlink" Target="https://www.law.cornell.edu/definitions/index.php?width=840&amp;height=800&amp;iframe=true&amp;def_id=089fda5b8ae93c746884149242f37d76&amp;term_occur=5&amp;term_src=Title:49:Subtitle:B:Chapter:I:Subchapter:C:Part:171:Subpart:A:171.8" TargetMode="External"/><Relationship Id="rId4" Type="http://schemas.openxmlformats.org/officeDocument/2006/relationships/hyperlink" Target="https://www.law.cornell.edu/definitions/index.php?width=840&amp;height=800&amp;iframe=true&amp;def_id=7736fa344a3a847add394313d58b32a2&amp;term_occur=1&amp;term_src=Title:49:Subtitle:B:Chapter:I:Subchapter:C:Part:171:Subpart:A:171.8" TargetMode="External"/><Relationship Id="rId9" Type="http://schemas.openxmlformats.org/officeDocument/2006/relationships/hyperlink" Target="https://www.law.cornell.edu/cfr/text/49/172.1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5996</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Sheppard, Carla (PHMSA)</dc:creator>
  <cp:lastModifiedBy>Achieng, Rose CTR (PHMSA)</cp:lastModifiedBy>
  <cp:revision>2</cp:revision>
  <dcterms:created xsi:type="dcterms:W3CDTF">2018-06-22T14:57:00Z</dcterms:created>
  <dcterms:modified xsi:type="dcterms:W3CDTF">2018-06-22T14:57:00Z</dcterms:modified>
</cp:coreProperties>
</file>