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03B" w:rsidRPr="00E61B19" w:rsidRDefault="008C1A29" w:rsidP="0029403B">
      <w:pPr>
        <w:pStyle w:val="NoSpacing"/>
        <w:jc w:val="center"/>
        <w:rPr>
          <w:rFonts w:cstheme="minorHAnsi"/>
          <w:b/>
          <w:i/>
        </w:rPr>
      </w:pPr>
      <w:bookmarkStart w:id="0" w:name="_GoBack"/>
      <w:bookmarkEnd w:id="0"/>
      <w:r w:rsidRPr="00E61B19">
        <w:rPr>
          <w:rFonts w:cstheme="minorHAnsi"/>
          <w:b/>
        </w:rPr>
        <w:t>CDC-RFA-DP18-1802:</w:t>
      </w:r>
      <w:r w:rsidR="00E61B19">
        <w:rPr>
          <w:rFonts w:cstheme="minorHAnsi"/>
          <w:b/>
        </w:rPr>
        <w:t xml:space="preserve"> </w:t>
      </w:r>
      <w:r w:rsidRPr="00E61B19">
        <w:rPr>
          <w:rFonts w:cstheme="minorHAnsi"/>
          <w:b/>
          <w:i/>
        </w:rPr>
        <w:t xml:space="preserve">National Partnerships to Promote Cancer Surveillance Standards and </w:t>
      </w:r>
    </w:p>
    <w:p w:rsidR="008C1A29" w:rsidRPr="00E61B19" w:rsidRDefault="008C1A29" w:rsidP="0029403B">
      <w:pPr>
        <w:pStyle w:val="NoSpacing"/>
        <w:jc w:val="center"/>
        <w:rPr>
          <w:rFonts w:cstheme="minorHAnsi"/>
          <w:b/>
        </w:rPr>
      </w:pPr>
      <w:r w:rsidRPr="00E61B19">
        <w:rPr>
          <w:rFonts w:cstheme="minorHAnsi"/>
          <w:b/>
          <w:i/>
        </w:rPr>
        <w:t>Support Data Quality and Operations of National Program of Cancer Registries</w:t>
      </w:r>
      <w:r w:rsidRPr="00E61B19">
        <w:rPr>
          <w:rFonts w:cstheme="minorHAnsi"/>
          <w:b/>
        </w:rPr>
        <w:t>.</w:t>
      </w:r>
    </w:p>
    <w:p w:rsidR="008C1A29" w:rsidRPr="00E61B19" w:rsidRDefault="008C1A29" w:rsidP="008C1A29">
      <w:pPr>
        <w:pStyle w:val="NoSpacing"/>
        <w:rPr>
          <w:rFonts w:cstheme="minorHAnsi"/>
        </w:rPr>
      </w:pPr>
    </w:p>
    <w:p w:rsidR="0029403B" w:rsidRPr="00E61B19" w:rsidRDefault="0029403B" w:rsidP="0029403B">
      <w:pPr>
        <w:pStyle w:val="NoSpacing"/>
        <w:jc w:val="center"/>
        <w:rPr>
          <w:rFonts w:cstheme="minorHAnsi"/>
          <w:b/>
        </w:rPr>
      </w:pPr>
      <w:r w:rsidRPr="00E61B19">
        <w:rPr>
          <w:rFonts w:cstheme="minorHAnsi"/>
          <w:b/>
        </w:rPr>
        <w:t xml:space="preserve">Questions and Answers from </w:t>
      </w:r>
      <w:r w:rsidR="004B71B2" w:rsidRPr="00E61B19">
        <w:rPr>
          <w:rFonts w:cstheme="minorHAnsi"/>
          <w:b/>
        </w:rPr>
        <w:t>Potential Applicants</w:t>
      </w:r>
    </w:p>
    <w:p w:rsidR="00E61B19" w:rsidRPr="00E61B19" w:rsidRDefault="00E61B19" w:rsidP="008C1A29">
      <w:pPr>
        <w:pStyle w:val="NoSpacing"/>
        <w:rPr>
          <w:rFonts w:cstheme="minorHAnsi"/>
          <w:b/>
        </w:rPr>
      </w:pPr>
    </w:p>
    <w:p w:rsidR="00E61B19" w:rsidRPr="00E61B19" w:rsidRDefault="00E61B19" w:rsidP="008C1A29">
      <w:pPr>
        <w:pStyle w:val="NoSpacing"/>
        <w:rPr>
          <w:rFonts w:cstheme="minorHAnsi"/>
          <w:b/>
        </w:rPr>
      </w:pPr>
    </w:p>
    <w:p w:rsidR="008C1A29" w:rsidRPr="00E61B19" w:rsidRDefault="0029403B" w:rsidP="008C1A29">
      <w:pPr>
        <w:pStyle w:val="NoSpacing"/>
        <w:rPr>
          <w:rFonts w:cstheme="minorHAnsi"/>
          <w:b/>
        </w:rPr>
      </w:pPr>
      <w:r w:rsidRPr="00E61B19">
        <w:rPr>
          <w:rFonts w:cstheme="minorHAnsi"/>
          <w:b/>
        </w:rPr>
        <w:t xml:space="preserve">Questions and Answers from Informational Call on </w:t>
      </w:r>
      <w:r w:rsidR="008C1A29" w:rsidRPr="00E61B19">
        <w:rPr>
          <w:rFonts w:cstheme="minorHAnsi"/>
          <w:b/>
        </w:rPr>
        <w:t>Wednesday, March 7, 2018, 1pm</w:t>
      </w:r>
    </w:p>
    <w:p w:rsidR="008C1A29" w:rsidRPr="00E61B19" w:rsidRDefault="008C1A29" w:rsidP="008C1A29">
      <w:pPr>
        <w:pStyle w:val="NoSpacing"/>
        <w:rPr>
          <w:rFonts w:cstheme="minorHAnsi"/>
        </w:rPr>
      </w:pPr>
    </w:p>
    <w:p w:rsidR="008C1A29" w:rsidRPr="00E61B19" w:rsidRDefault="008C1A29" w:rsidP="008C1A29">
      <w:pPr>
        <w:pStyle w:val="NoSpacing"/>
        <w:numPr>
          <w:ilvl w:val="0"/>
          <w:numId w:val="1"/>
        </w:numPr>
        <w:rPr>
          <w:rFonts w:cstheme="minorHAnsi"/>
        </w:rPr>
      </w:pPr>
      <w:r w:rsidRPr="00E61B19">
        <w:rPr>
          <w:rFonts w:cstheme="minorHAnsi"/>
        </w:rPr>
        <w:t>Does the letter of intent need to state</w:t>
      </w:r>
      <w:r w:rsidR="00BD6AE0" w:rsidRPr="00E61B19">
        <w:rPr>
          <w:rFonts w:cstheme="minorHAnsi"/>
        </w:rPr>
        <w:t xml:space="preserve"> </w:t>
      </w:r>
      <w:r w:rsidRPr="00E61B19">
        <w:rPr>
          <w:rFonts w:cstheme="minorHAnsi"/>
        </w:rPr>
        <w:t>which Component the potential applicant is targeting?</w:t>
      </w:r>
    </w:p>
    <w:p w:rsidR="00BD6AE0" w:rsidRPr="00E61B19" w:rsidRDefault="00BD6AE0" w:rsidP="00BD6AE0">
      <w:pPr>
        <w:pStyle w:val="NoSpacing"/>
        <w:ind w:left="1440"/>
        <w:rPr>
          <w:rFonts w:cstheme="minorHAnsi"/>
        </w:rPr>
      </w:pPr>
    </w:p>
    <w:p w:rsidR="00C77D35" w:rsidRPr="00E61B19" w:rsidRDefault="00A14332" w:rsidP="00C77D35">
      <w:pPr>
        <w:pStyle w:val="NoSpacing"/>
        <w:ind w:left="1440"/>
        <w:rPr>
          <w:rFonts w:cstheme="minorHAnsi"/>
        </w:rPr>
      </w:pPr>
      <w:r w:rsidRPr="00E61B19">
        <w:rPr>
          <w:rFonts w:cstheme="minorHAnsi"/>
        </w:rPr>
        <w:t>Both t</w:t>
      </w:r>
      <w:r w:rsidR="00CA6E30" w:rsidRPr="00E61B19">
        <w:rPr>
          <w:rFonts w:cstheme="minorHAnsi"/>
        </w:rPr>
        <w:t>he</w:t>
      </w:r>
      <w:r w:rsidR="00BD6AE0" w:rsidRPr="00E61B19">
        <w:rPr>
          <w:rFonts w:cstheme="minorHAnsi"/>
        </w:rPr>
        <w:t xml:space="preserve"> Letter of Intent</w:t>
      </w:r>
      <w:r w:rsidRPr="00E61B19">
        <w:rPr>
          <w:rFonts w:cstheme="minorHAnsi"/>
        </w:rPr>
        <w:t xml:space="preserve"> and the inclusion of a statement on the Component of interest </w:t>
      </w:r>
      <w:r w:rsidR="00BD6AE0" w:rsidRPr="00E61B19">
        <w:rPr>
          <w:rFonts w:cstheme="minorHAnsi"/>
        </w:rPr>
        <w:t xml:space="preserve">is optional, but encouraged.  </w:t>
      </w:r>
      <w:r w:rsidR="00CA6E30" w:rsidRPr="00E61B19">
        <w:rPr>
          <w:rFonts w:cstheme="minorHAnsi"/>
        </w:rPr>
        <w:t>T</w:t>
      </w:r>
      <w:r w:rsidR="009E340A" w:rsidRPr="00E61B19">
        <w:rPr>
          <w:rFonts w:cstheme="minorHAnsi"/>
        </w:rPr>
        <w:t xml:space="preserve">his information </w:t>
      </w:r>
      <w:r w:rsidRPr="00E61B19">
        <w:rPr>
          <w:rFonts w:cstheme="minorHAnsi"/>
        </w:rPr>
        <w:t xml:space="preserve">is </w:t>
      </w:r>
      <w:r w:rsidR="004B71B2" w:rsidRPr="00E61B19">
        <w:rPr>
          <w:rFonts w:cstheme="minorHAnsi"/>
        </w:rPr>
        <w:t>helpful</w:t>
      </w:r>
      <w:r w:rsidR="009E340A" w:rsidRPr="00E61B19">
        <w:rPr>
          <w:rFonts w:cstheme="minorHAnsi"/>
        </w:rPr>
        <w:t xml:space="preserve"> to CDC </w:t>
      </w:r>
      <w:r w:rsidR="00CA6E30" w:rsidRPr="00E61B19">
        <w:rPr>
          <w:rFonts w:cstheme="minorHAnsi"/>
        </w:rPr>
        <w:t>in planning for the objective review.</w:t>
      </w:r>
      <w:r w:rsidR="009E340A" w:rsidRPr="00E61B19">
        <w:rPr>
          <w:rFonts w:cstheme="minorHAnsi"/>
        </w:rPr>
        <w:t xml:space="preserve"> </w:t>
      </w:r>
    </w:p>
    <w:p w:rsidR="00BD6AE0" w:rsidRPr="00E61B19" w:rsidRDefault="00BD6AE0" w:rsidP="00BD6AE0">
      <w:pPr>
        <w:pStyle w:val="NoSpacing"/>
        <w:rPr>
          <w:rFonts w:cstheme="minorHAnsi"/>
        </w:rPr>
      </w:pPr>
    </w:p>
    <w:p w:rsidR="008C1A29" w:rsidRPr="00E61B19" w:rsidRDefault="008C1A29" w:rsidP="008C1A29">
      <w:pPr>
        <w:pStyle w:val="NoSpacing"/>
        <w:numPr>
          <w:ilvl w:val="0"/>
          <w:numId w:val="1"/>
        </w:numPr>
        <w:rPr>
          <w:rFonts w:cstheme="minorHAnsi"/>
        </w:rPr>
      </w:pPr>
      <w:r w:rsidRPr="00E61B19">
        <w:rPr>
          <w:rFonts w:cstheme="minorHAnsi"/>
        </w:rPr>
        <w:t>Where is there a listing of eligible organizations?</w:t>
      </w:r>
    </w:p>
    <w:p w:rsidR="00CA6E30" w:rsidRPr="00E61B19" w:rsidRDefault="00CA6E30" w:rsidP="00CA6E30">
      <w:pPr>
        <w:pStyle w:val="NoSpacing"/>
        <w:ind w:left="1440"/>
        <w:rPr>
          <w:rFonts w:cstheme="minorHAnsi"/>
        </w:rPr>
      </w:pPr>
    </w:p>
    <w:p w:rsidR="00CA6E30" w:rsidRPr="00E61B19" w:rsidRDefault="00CA6E30" w:rsidP="00CA6E30">
      <w:pPr>
        <w:pStyle w:val="NoSpacing"/>
        <w:ind w:left="1440"/>
        <w:rPr>
          <w:rFonts w:cstheme="minorHAnsi"/>
        </w:rPr>
      </w:pPr>
      <w:r w:rsidRPr="00E61B19">
        <w:rPr>
          <w:rFonts w:cstheme="minorHAnsi"/>
        </w:rPr>
        <w:t xml:space="preserve">CDC-RFA-DP18-1802 is an unrestricted </w:t>
      </w:r>
      <w:r w:rsidR="002A2F9A" w:rsidRPr="00E61B19">
        <w:rPr>
          <w:rFonts w:cstheme="minorHAnsi"/>
        </w:rPr>
        <w:t xml:space="preserve">and </w:t>
      </w:r>
      <w:r w:rsidRPr="00E61B19">
        <w:rPr>
          <w:rFonts w:cstheme="minorHAnsi"/>
        </w:rPr>
        <w:t xml:space="preserve">open to any type of entity </w:t>
      </w:r>
      <w:r w:rsidR="002A2F9A" w:rsidRPr="00E61B19">
        <w:rPr>
          <w:rFonts w:cstheme="minorHAnsi"/>
        </w:rPr>
        <w:t>listed below:</w:t>
      </w:r>
    </w:p>
    <w:p w:rsidR="00CA6E30" w:rsidRPr="0070682D" w:rsidRDefault="00CA6E30" w:rsidP="0070682D">
      <w:pPr>
        <w:pStyle w:val="NoSpacing"/>
        <w:numPr>
          <w:ilvl w:val="0"/>
          <w:numId w:val="4"/>
        </w:numPr>
        <w:ind w:left="1980"/>
        <w:rPr>
          <w:rFonts w:cstheme="minorHAnsi"/>
          <w:sz w:val="20"/>
        </w:rPr>
      </w:pPr>
      <w:r w:rsidRPr="0070682D">
        <w:rPr>
          <w:rFonts w:cstheme="minorHAnsi"/>
          <w:sz w:val="20"/>
        </w:rPr>
        <w:t>State governments</w:t>
      </w:r>
    </w:p>
    <w:p w:rsidR="00CA6E30" w:rsidRPr="0070682D" w:rsidRDefault="00CA6E30" w:rsidP="0070682D">
      <w:pPr>
        <w:pStyle w:val="NoSpacing"/>
        <w:numPr>
          <w:ilvl w:val="0"/>
          <w:numId w:val="4"/>
        </w:numPr>
        <w:ind w:left="1980"/>
        <w:rPr>
          <w:rFonts w:cstheme="minorHAnsi"/>
          <w:sz w:val="20"/>
        </w:rPr>
      </w:pPr>
      <w:r w:rsidRPr="0070682D">
        <w:rPr>
          <w:rFonts w:cstheme="minorHAnsi"/>
          <w:sz w:val="20"/>
        </w:rPr>
        <w:t>County governments</w:t>
      </w:r>
    </w:p>
    <w:p w:rsidR="00CA6E30" w:rsidRPr="0070682D" w:rsidRDefault="00CA6E30" w:rsidP="0070682D">
      <w:pPr>
        <w:pStyle w:val="NoSpacing"/>
        <w:numPr>
          <w:ilvl w:val="0"/>
          <w:numId w:val="4"/>
        </w:numPr>
        <w:ind w:left="1980"/>
        <w:rPr>
          <w:rFonts w:cstheme="minorHAnsi"/>
          <w:sz w:val="20"/>
        </w:rPr>
      </w:pPr>
      <w:r w:rsidRPr="0070682D">
        <w:rPr>
          <w:rFonts w:cstheme="minorHAnsi"/>
          <w:sz w:val="20"/>
        </w:rPr>
        <w:t>City or township governments</w:t>
      </w:r>
    </w:p>
    <w:p w:rsidR="00CA6E30" w:rsidRPr="0070682D" w:rsidRDefault="00CA6E30" w:rsidP="0070682D">
      <w:pPr>
        <w:pStyle w:val="NoSpacing"/>
        <w:numPr>
          <w:ilvl w:val="0"/>
          <w:numId w:val="4"/>
        </w:numPr>
        <w:ind w:left="1980"/>
        <w:rPr>
          <w:rFonts w:cstheme="minorHAnsi"/>
          <w:sz w:val="20"/>
        </w:rPr>
      </w:pPr>
      <w:r w:rsidRPr="0070682D">
        <w:rPr>
          <w:rFonts w:cstheme="minorHAnsi"/>
          <w:sz w:val="20"/>
        </w:rPr>
        <w:t>Special district governments</w:t>
      </w:r>
    </w:p>
    <w:p w:rsidR="00CA6E30" w:rsidRPr="0070682D" w:rsidRDefault="00CA6E30" w:rsidP="0070682D">
      <w:pPr>
        <w:pStyle w:val="NoSpacing"/>
        <w:numPr>
          <w:ilvl w:val="0"/>
          <w:numId w:val="4"/>
        </w:numPr>
        <w:ind w:left="1980"/>
        <w:rPr>
          <w:rFonts w:cstheme="minorHAnsi"/>
          <w:sz w:val="20"/>
        </w:rPr>
      </w:pPr>
      <w:r w:rsidRPr="0070682D">
        <w:rPr>
          <w:rFonts w:cstheme="minorHAnsi"/>
          <w:sz w:val="20"/>
        </w:rPr>
        <w:t>Independent school districts</w:t>
      </w:r>
    </w:p>
    <w:p w:rsidR="00CA6E30" w:rsidRPr="0070682D" w:rsidRDefault="00CA6E30" w:rsidP="0070682D">
      <w:pPr>
        <w:pStyle w:val="NoSpacing"/>
        <w:numPr>
          <w:ilvl w:val="0"/>
          <w:numId w:val="4"/>
        </w:numPr>
        <w:ind w:left="1980"/>
        <w:rPr>
          <w:rFonts w:cstheme="minorHAnsi"/>
          <w:sz w:val="20"/>
        </w:rPr>
      </w:pPr>
      <w:r w:rsidRPr="0070682D">
        <w:rPr>
          <w:rFonts w:cstheme="minorHAnsi"/>
          <w:sz w:val="20"/>
        </w:rPr>
        <w:t>Public and State controlled institutions of higher education</w:t>
      </w:r>
    </w:p>
    <w:p w:rsidR="00CA6E30" w:rsidRPr="0070682D" w:rsidRDefault="00CA6E30" w:rsidP="0070682D">
      <w:pPr>
        <w:pStyle w:val="NoSpacing"/>
        <w:numPr>
          <w:ilvl w:val="0"/>
          <w:numId w:val="4"/>
        </w:numPr>
        <w:ind w:left="1980"/>
        <w:rPr>
          <w:rFonts w:cstheme="minorHAnsi"/>
          <w:sz w:val="20"/>
        </w:rPr>
      </w:pPr>
      <w:r w:rsidRPr="0070682D">
        <w:rPr>
          <w:rFonts w:cstheme="minorHAnsi"/>
          <w:sz w:val="20"/>
        </w:rPr>
        <w:t>Native American tribal governments (Federally recognized)</w:t>
      </w:r>
    </w:p>
    <w:p w:rsidR="00CA6E30" w:rsidRPr="0070682D" w:rsidRDefault="00CA6E30" w:rsidP="0070682D">
      <w:pPr>
        <w:pStyle w:val="NoSpacing"/>
        <w:numPr>
          <w:ilvl w:val="0"/>
          <w:numId w:val="4"/>
        </w:numPr>
        <w:ind w:left="1980"/>
        <w:rPr>
          <w:rFonts w:cstheme="minorHAnsi"/>
          <w:sz w:val="20"/>
        </w:rPr>
      </w:pPr>
      <w:r w:rsidRPr="0070682D">
        <w:rPr>
          <w:rFonts w:cstheme="minorHAnsi"/>
          <w:sz w:val="20"/>
        </w:rPr>
        <w:t>Public housing authorities/Indian housing authorities</w:t>
      </w:r>
    </w:p>
    <w:p w:rsidR="00CA6E30" w:rsidRPr="0070682D" w:rsidRDefault="00CA6E30" w:rsidP="0070682D">
      <w:pPr>
        <w:pStyle w:val="NoSpacing"/>
        <w:numPr>
          <w:ilvl w:val="0"/>
          <w:numId w:val="4"/>
        </w:numPr>
        <w:ind w:left="1980"/>
        <w:rPr>
          <w:rFonts w:cstheme="minorHAnsi"/>
          <w:sz w:val="20"/>
        </w:rPr>
      </w:pPr>
      <w:r w:rsidRPr="0070682D">
        <w:rPr>
          <w:rFonts w:cstheme="minorHAnsi"/>
          <w:sz w:val="20"/>
        </w:rPr>
        <w:t>Native American tribal organizations (other than Federally recognized tribal governments)</w:t>
      </w:r>
    </w:p>
    <w:p w:rsidR="00CA6E30" w:rsidRPr="0070682D" w:rsidRDefault="00CA6E30" w:rsidP="0070682D">
      <w:pPr>
        <w:pStyle w:val="NoSpacing"/>
        <w:numPr>
          <w:ilvl w:val="0"/>
          <w:numId w:val="4"/>
        </w:numPr>
        <w:ind w:left="1980"/>
        <w:rPr>
          <w:rFonts w:cstheme="minorHAnsi"/>
          <w:sz w:val="20"/>
        </w:rPr>
      </w:pPr>
      <w:r w:rsidRPr="0070682D">
        <w:rPr>
          <w:rFonts w:cstheme="minorHAnsi"/>
          <w:sz w:val="20"/>
        </w:rPr>
        <w:t>Nonprofits having a 501(c)(3) status with the IRS, other than institutions of higher education</w:t>
      </w:r>
    </w:p>
    <w:p w:rsidR="00CA6E30" w:rsidRPr="0070682D" w:rsidRDefault="00CA6E30" w:rsidP="0070682D">
      <w:pPr>
        <w:pStyle w:val="NoSpacing"/>
        <w:numPr>
          <w:ilvl w:val="0"/>
          <w:numId w:val="4"/>
        </w:numPr>
        <w:ind w:left="1980"/>
        <w:rPr>
          <w:rFonts w:cstheme="minorHAnsi"/>
          <w:sz w:val="20"/>
        </w:rPr>
      </w:pPr>
      <w:r w:rsidRPr="0070682D">
        <w:rPr>
          <w:rFonts w:cstheme="minorHAnsi"/>
          <w:sz w:val="20"/>
        </w:rPr>
        <w:t>Nonprofits without 501(c)(3) status with the IRS, other than institutions of higher education</w:t>
      </w:r>
    </w:p>
    <w:p w:rsidR="00CA6E30" w:rsidRPr="0070682D" w:rsidRDefault="00CA6E30" w:rsidP="0070682D">
      <w:pPr>
        <w:pStyle w:val="NoSpacing"/>
        <w:numPr>
          <w:ilvl w:val="0"/>
          <w:numId w:val="4"/>
        </w:numPr>
        <w:ind w:left="1980"/>
        <w:rPr>
          <w:rFonts w:cstheme="minorHAnsi"/>
          <w:sz w:val="20"/>
        </w:rPr>
      </w:pPr>
      <w:r w:rsidRPr="0070682D">
        <w:rPr>
          <w:rFonts w:cstheme="minorHAnsi"/>
          <w:sz w:val="20"/>
        </w:rPr>
        <w:t>Private institutions of higher education</w:t>
      </w:r>
    </w:p>
    <w:p w:rsidR="00CA6E30" w:rsidRPr="0070682D" w:rsidRDefault="00CA6E30" w:rsidP="0070682D">
      <w:pPr>
        <w:pStyle w:val="NoSpacing"/>
        <w:numPr>
          <w:ilvl w:val="0"/>
          <w:numId w:val="4"/>
        </w:numPr>
        <w:ind w:left="1980"/>
        <w:rPr>
          <w:rFonts w:cstheme="minorHAnsi"/>
          <w:sz w:val="20"/>
        </w:rPr>
      </w:pPr>
      <w:r w:rsidRPr="0070682D">
        <w:rPr>
          <w:rFonts w:cstheme="minorHAnsi"/>
          <w:sz w:val="20"/>
        </w:rPr>
        <w:t>For profit organizations other than small businesses</w:t>
      </w:r>
    </w:p>
    <w:p w:rsidR="00CA6E30" w:rsidRPr="0070682D" w:rsidRDefault="00CA6E30" w:rsidP="0070682D">
      <w:pPr>
        <w:pStyle w:val="NoSpacing"/>
        <w:numPr>
          <w:ilvl w:val="0"/>
          <w:numId w:val="4"/>
        </w:numPr>
        <w:ind w:left="1980"/>
        <w:rPr>
          <w:rFonts w:cstheme="minorHAnsi"/>
          <w:sz w:val="20"/>
        </w:rPr>
      </w:pPr>
      <w:r w:rsidRPr="0070682D">
        <w:rPr>
          <w:rFonts w:cstheme="minorHAnsi"/>
          <w:sz w:val="20"/>
        </w:rPr>
        <w:t>Small businesses</w:t>
      </w:r>
    </w:p>
    <w:p w:rsidR="002A2F9A" w:rsidRPr="00E61B19" w:rsidRDefault="002A2F9A" w:rsidP="002A2F9A">
      <w:pPr>
        <w:pStyle w:val="NoSpacing"/>
        <w:ind w:left="2160"/>
        <w:rPr>
          <w:rFonts w:cstheme="minorHAnsi"/>
          <w:sz w:val="20"/>
        </w:rPr>
      </w:pPr>
    </w:p>
    <w:p w:rsidR="002A2F9A" w:rsidRPr="00E61B19" w:rsidRDefault="002A2F9A" w:rsidP="00CA6E30">
      <w:pPr>
        <w:pStyle w:val="NoSpacing"/>
        <w:ind w:left="1440"/>
        <w:rPr>
          <w:rFonts w:cstheme="minorHAnsi"/>
        </w:rPr>
      </w:pPr>
      <w:r w:rsidRPr="00E61B19">
        <w:rPr>
          <w:rFonts w:cstheme="minorHAnsi"/>
        </w:rPr>
        <w:t>Non-U.S. applications are not eligible to apply for this funding opportunity</w:t>
      </w:r>
    </w:p>
    <w:p w:rsidR="002A2F9A" w:rsidRDefault="002A2F9A" w:rsidP="00CA6E30">
      <w:pPr>
        <w:pStyle w:val="NoSpacing"/>
        <w:ind w:left="1440"/>
        <w:rPr>
          <w:rFonts w:cstheme="minorHAnsi"/>
        </w:rPr>
      </w:pPr>
    </w:p>
    <w:p w:rsidR="0070682D" w:rsidRPr="00E61B19" w:rsidRDefault="0070682D" w:rsidP="00CA6E30">
      <w:pPr>
        <w:pStyle w:val="NoSpacing"/>
        <w:ind w:left="1440"/>
        <w:rPr>
          <w:rFonts w:cstheme="minorHAnsi"/>
        </w:rPr>
      </w:pPr>
    </w:p>
    <w:p w:rsidR="008C1A29" w:rsidRPr="00E61B19" w:rsidRDefault="008C1A29" w:rsidP="008C1A29">
      <w:pPr>
        <w:pStyle w:val="NoSpacing"/>
        <w:numPr>
          <w:ilvl w:val="0"/>
          <w:numId w:val="1"/>
        </w:numPr>
        <w:rPr>
          <w:rFonts w:cstheme="minorHAnsi"/>
        </w:rPr>
      </w:pPr>
      <w:r w:rsidRPr="00E61B19">
        <w:rPr>
          <w:rFonts w:cstheme="minorHAnsi"/>
        </w:rPr>
        <w:t xml:space="preserve">Is there a checklist </w:t>
      </w:r>
      <w:r w:rsidR="007373FC" w:rsidRPr="00E61B19">
        <w:rPr>
          <w:rFonts w:cstheme="minorHAnsi"/>
        </w:rPr>
        <w:t xml:space="preserve">available </w:t>
      </w:r>
      <w:r w:rsidR="00A14332" w:rsidRPr="00E61B19">
        <w:rPr>
          <w:rFonts w:cstheme="minorHAnsi"/>
        </w:rPr>
        <w:t xml:space="preserve">of </w:t>
      </w:r>
      <w:r w:rsidR="009D3DC4" w:rsidRPr="00E61B19">
        <w:rPr>
          <w:rFonts w:cstheme="minorHAnsi"/>
        </w:rPr>
        <w:t xml:space="preserve">items and </w:t>
      </w:r>
      <w:r w:rsidR="007373FC" w:rsidRPr="00E61B19">
        <w:rPr>
          <w:rFonts w:cstheme="minorHAnsi"/>
        </w:rPr>
        <w:t>criteria</w:t>
      </w:r>
      <w:r w:rsidR="00B86041" w:rsidRPr="00E61B19">
        <w:rPr>
          <w:rFonts w:cstheme="minorHAnsi"/>
        </w:rPr>
        <w:t xml:space="preserve"> that will be “reviewed for eligibility and completeness” </w:t>
      </w:r>
      <w:r w:rsidR="00A14332" w:rsidRPr="00E61B19">
        <w:rPr>
          <w:rFonts w:cstheme="minorHAnsi"/>
        </w:rPr>
        <w:t>in</w:t>
      </w:r>
      <w:r w:rsidR="004B71B2" w:rsidRPr="00E61B19">
        <w:rPr>
          <w:rFonts w:cstheme="minorHAnsi"/>
        </w:rPr>
        <w:t xml:space="preserve"> the</w:t>
      </w:r>
      <w:r w:rsidR="00A14332" w:rsidRPr="00E61B19">
        <w:rPr>
          <w:rFonts w:cstheme="minorHAnsi"/>
        </w:rPr>
        <w:t xml:space="preserve"> </w:t>
      </w:r>
      <w:r w:rsidR="009D3DC4" w:rsidRPr="00E61B19">
        <w:rPr>
          <w:rFonts w:cstheme="minorHAnsi"/>
        </w:rPr>
        <w:t>Phase I review</w:t>
      </w:r>
      <w:r w:rsidRPr="00E61B19">
        <w:rPr>
          <w:rFonts w:cstheme="minorHAnsi"/>
        </w:rPr>
        <w:t>?</w:t>
      </w:r>
    </w:p>
    <w:p w:rsidR="002A2F9A" w:rsidRPr="00E61B19" w:rsidRDefault="002A2F9A" w:rsidP="002A2F9A">
      <w:pPr>
        <w:pStyle w:val="NoSpacing"/>
        <w:rPr>
          <w:rFonts w:cstheme="minorHAnsi"/>
        </w:rPr>
      </w:pPr>
    </w:p>
    <w:p w:rsidR="002A2F9A" w:rsidRPr="00E61B19" w:rsidRDefault="00D21355" w:rsidP="002A2F9A">
      <w:pPr>
        <w:pStyle w:val="NoSpacing"/>
        <w:ind w:left="1440"/>
        <w:rPr>
          <w:rFonts w:cstheme="minorHAnsi"/>
        </w:rPr>
      </w:pPr>
      <w:r>
        <w:rPr>
          <w:rFonts w:cstheme="minorHAnsi"/>
        </w:rPr>
        <w:t xml:space="preserve">Other than the </w:t>
      </w:r>
      <w:r w:rsidRPr="008839E3">
        <w:rPr>
          <w:rFonts w:cstheme="minorHAnsi"/>
        </w:rPr>
        <w:t>HHS checklist</w:t>
      </w:r>
      <w:r w:rsidR="008839E3">
        <w:rPr>
          <w:rFonts w:cstheme="minorHAnsi"/>
        </w:rPr>
        <w:t xml:space="preserve"> (HHS 5161-1)</w:t>
      </w:r>
      <w:r>
        <w:rPr>
          <w:rFonts w:cstheme="minorHAnsi"/>
        </w:rPr>
        <w:t xml:space="preserve"> provided under the grant opportunity </w:t>
      </w:r>
      <w:r>
        <w:t>“Package” tab on Grants.gov</w:t>
      </w:r>
      <w:r w:rsidR="008839E3">
        <w:t>, a</w:t>
      </w:r>
      <w:r w:rsidR="008839E3">
        <w:rPr>
          <w:rFonts w:cstheme="minorHAnsi"/>
        </w:rPr>
        <w:t xml:space="preserve"> checklist for this specific</w:t>
      </w:r>
      <w:r w:rsidR="00E61B19" w:rsidRPr="00E61B19">
        <w:rPr>
          <w:rFonts w:cstheme="minorHAnsi"/>
        </w:rPr>
        <w:t xml:space="preserve"> funding opportunity is not available.  </w:t>
      </w:r>
      <w:r w:rsidR="004518A0" w:rsidRPr="00E61B19">
        <w:rPr>
          <w:rFonts w:cstheme="minorHAnsi"/>
        </w:rPr>
        <w:t xml:space="preserve">We will be reviewing </w:t>
      </w:r>
      <w:r w:rsidR="00D0118C">
        <w:rPr>
          <w:rFonts w:cstheme="minorHAnsi"/>
        </w:rPr>
        <w:t xml:space="preserve">applications </w:t>
      </w:r>
      <w:r w:rsidR="004518A0" w:rsidRPr="00E61B19">
        <w:rPr>
          <w:rFonts w:cstheme="minorHAnsi"/>
        </w:rPr>
        <w:t xml:space="preserve">based on what is written in the NOFO (type of entity, </w:t>
      </w:r>
      <w:r w:rsidR="00E61B19" w:rsidRPr="00E61B19">
        <w:rPr>
          <w:rFonts w:cstheme="minorHAnsi"/>
        </w:rPr>
        <w:t>whether</w:t>
      </w:r>
      <w:r w:rsidR="004518A0" w:rsidRPr="00E61B19">
        <w:rPr>
          <w:rFonts w:cstheme="minorHAnsi"/>
        </w:rPr>
        <w:t xml:space="preserve"> application </w:t>
      </w:r>
      <w:r w:rsidR="00D74AA5" w:rsidRPr="00E61B19">
        <w:rPr>
          <w:rFonts w:cstheme="minorHAnsi"/>
        </w:rPr>
        <w:t>is over the award ceiling</w:t>
      </w:r>
      <w:r w:rsidR="00E61B19" w:rsidRPr="00E61B19">
        <w:rPr>
          <w:rFonts w:cstheme="minorHAnsi"/>
        </w:rPr>
        <w:t>)</w:t>
      </w:r>
      <w:r w:rsidR="00D74AA5" w:rsidRPr="00E61B19">
        <w:rPr>
          <w:rFonts w:cstheme="minorHAnsi"/>
        </w:rPr>
        <w:t xml:space="preserve">. Award ceilings per component can be found under Section B. Award Information Section 9. Award </w:t>
      </w:r>
      <w:r w:rsidR="00E61B19" w:rsidRPr="00E61B19">
        <w:rPr>
          <w:rFonts w:cstheme="minorHAnsi"/>
        </w:rPr>
        <w:t>Ceiling</w:t>
      </w:r>
      <w:r w:rsidR="00D0118C">
        <w:rPr>
          <w:rFonts w:cstheme="minorHAnsi"/>
        </w:rPr>
        <w:t xml:space="preserve"> (pages 19-20)</w:t>
      </w:r>
      <w:r w:rsidR="00E61B19" w:rsidRPr="00E61B19">
        <w:rPr>
          <w:rFonts w:cstheme="minorHAnsi"/>
        </w:rPr>
        <w:t>.  Also, refer to question 4</w:t>
      </w:r>
      <w:r w:rsidR="00D0118C">
        <w:rPr>
          <w:rFonts w:cstheme="minorHAnsi"/>
        </w:rPr>
        <w:t xml:space="preserve"> below</w:t>
      </w:r>
      <w:r w:rsidR="00E61B19" w:rsidRPr="00E61B19">
        <w:rPr>
          <w:rFonts w:cstheme="minorHAnsi"/>
        </w:rPr>
        <w:t>.</w:t>
      </w:r>
    </w:p>
    <w:p w:rsidR="00E61B19" w:rsidRPr="00E61B19" w:rsidRDefault="00E61B19" w:rsidP="002A2F9A">
      <w:pPr>
        <w:pStyle w:val="NoSpacing"/>
        <w:rPr>
          <w:rFonts w:cstheme="minorHAnsi"/>
        </w:rPr>
      </w:pPr>
    </w:p>
    <w:p w:rsidR="008C1A29" w:rsidRPr="00E61B19" w:rsidRDefault="008C1A29" w:rsidP="00283E34">
      <w:pPr>
        <w:pStyle w:val="NoSpacing"/>
        <w:numPr>
          <w:ilvl w:val="0"/>
          <w:numId w:val="1"/>
        </w:numPr>
        <w:rPr>
          <w:rFonts w:cstheme="minorHAnsi"/>
        </w:rPr>
      </w:pPr>
      <w:r w:rsidRPr="00E61B19">
        <w:rPr>
          <w:rFonts w:cstheme="minorHAnsi"/>
        </w:rPr>
        <w:t>Can applicants request more than the component-specific maximum award amount stated in the funding announcement?</w:t>
      </w:r>
      <w:r w:rsidR="00283E34" w:rsidRPr="00E61B19">
        <w:rPr>
          <w:rFonts w:cstheme="minorHAnsi"/>
        </w:rPr>
        <w:t xml:space="preserve">  </w:t>
      </w:r>
      <w:r w:rsidRPr="00E61B19">
        <w:rPr>
          <w:rFonts w:cstheme="minorHAnsi"/>
        </w:rPr>
        <w:t>If amount of funding requested is above stated award ceiling, will that make the applications view as ineligible or not meeting submission requirements?</w:t>
      </w:r>
    </w:p>
    <w:p w:rsidR="00283E34" w:rsidRPr="00E61B19" w:rsidRDefault="00283E34" w:rsidP="00283E34">
      <w:pPr>
        <w:pStyle w:val="NoSpacing"/>
        <w:rPr>
          <w:rFonts w:cstheme="minorHAnsi"/>
        </w:rPr>
      </w:pPr>
    </w:p>
    <w:p w:rsidR="004518A0" w:rsidRPr="00E61B19" w:rsidRDefault="00D74AA5" w:rsidP="004518A0">
      <w:pPr>
        <w:pStyle w:val="NoSpacing"/>
        <w:tabs>
          <w:tab w:val="left" w:pos="4340"/>
        </w:tabs>
        <w:ind w:left="1440"/>
        <w:rPr>
          <w:rFonts w:cstheme="minorHAnsi"/>
        </w:rPr>
      </w:pPr>
      <w:r w:rsidRPr="00E61B19">
        <w:rPr>
          <w:rFonts w:cstheme="minorHAnsi"/>
        </w:rPr>
        <w:t>Based on the eligibility information the applicant should not submit applications over the fund</w:t>
      </w:r>
      <w:r w:rsidR="001949A8" w:rsidRPr="00E61B19">
        <w:rPr>
          <w:rFonts w:cstheme="minorHAnsi"/>
        </w:rPr>
        <w:t xml:space="preserve">ing ceiling of the component in which they are applying for. Please see Section B. Award Information Section 9. Award </w:t>
      </w:r>
      <w:r w:rsidR="00E61B19" w:rsidRPr="00E61B19">
        <w:rPr>
          <w:rFonts w:cstheme="minorHAnsi"/>
        </w:rPr>
        <w:t>Ceiling.</w:t>
      </w:r>
    </w:p>
    <w:p w:rsidR="00E61B19" w:rsidRPr="00E61B19" w:rsidRDefault="00E61B19" w:rsidP="00E61B19">
      <w:pPr>
        <w:pStyle w:val="NoSpacing"/>
        <w:tabs>
          <w:tab w:val="left" w:pos="4340"/>
        </w:tabs>
        <w:ind w:left="1440"/>
        <w:rPr>
          <w:rFonts w:cstheme="minorHAnsi"/>
        </w:rPr>
      </w:pPr>
      <w:bookmarkStart w:id="1" w:name="C._Eligibility_Information"/>
      <w:bookmarkStart w:id="2" w:name="bookmark0"/>
      <w:bookmarkEnd w:id="1"/>
      <w:bookmarkEnd w:id="2"/>
    </w:p>
    <w:tbl>
      <w:tblPr>
        <w:tblStyle w:val="ListTable3"/>
        <w:tblW w:w="0" w:type="auto"/>
        <w:tblInd w:w="1945" w:type="dxa"/>
        <w:tblLook w:val="04A0" w:firstRow="1" w:lastRow="0" w:firstColumn="1" w:lastColumn="0" w:noHBand="0" w:noVBand="1"/>
      </w:tblPr>
      <w:tblGrid>
        <w:gridCol w:w="5395"/>
        <w:gridCol w:w="1800"/>
      </w:tblGrid>
      <w:tr w:rsidR="00E61B19" w:rsidRPr="00E61B19" w:rsidTr="00E61B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95" w:type="dxa"/>
            <w:tcBorders>
              <w:bottom w:val="single" w:sz="4" w:space="0" w:color="000000" w:themeColor="text1"/>
            </w:tcBorders>
          </w:tcPr>
          <w:p w:rsidR="00E61B19" w:rsidRPr="00E61B19" w:rsidRDefault="00E61B19" w:rsidP="00E61B19">
            <w:pPr>
              <w:pStyle w:val="NoSpacing"/>
              <w:tabs>
                <w:tab w:val="left" w:pos="4340"/>
              </w:tabs>
              <w:rPr>
                <w:rFonts w:cstheme="minorHAnsi"/>
              </w:rPr>
            </w:pPr>
            <w:r w:rsidRPr="00E61B19">
              <w:rPr>
                <w:rFonts w:cstheme="minorHAnsi"/>
              </w:rPr>
              <w:t>Component</w:t>
            </w:r>
          </w:p>
        </w:tc>
        <w:tc>
          <w:tcPr>
            <w:tcW w:w="1800" w:type="dxa"/>
          </w:tcPr>
          <w:p w:rsidR="00E61B19" w:rsidRPr="00E61B19" w:rsidRDefault="00E61B19" w:rsidP="00E61B19">
            <w:pPr>
              <w:pStyle w:val="NoSpacing"/>
              <w:tabs>
                <w:tab w:val="left" w:pos="434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61B19">
              <w:rPr>
                <w:rFonts w:cstheme="minorHAnsi"/>
              </w:rPr>
              <w:t>Award Ceiling</w:t>
            </w:r>
          </w:p>
        </w:tc>
      </w:tr>
      <w:tr w:rsidR="00E61B19" w:rsidRPr="00E61B19" w:rsidTr="00E61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tcBorders>
              <w:right w:val="single" w:sz="4" w:space="0" w:color="auto"/>
            </w:tcBorders>
          </w:tcPr>
          <w:p w:rsidR="00E61B19" w:rsidRPr="00E61B19" w:rsidRDefault="00E61B19" w:rsidP="00E61B19">
            <w:pPr>
              <w:pStyle w:val="NoSpacing"/>
              <w:tabs>
                <w:tab w:val="left" w:pos="4340"/>
              </w:tabs>
              <w:rPr>
                <w:rFonts w:cstheme="minorHAnsi"/>
                <w:b w:val="0"/>
              </w:rPr>
            </w:pPr>
            <w:r w:rsidRPr="00E61B19">
              <w:rPr>
                <w:rFonts w:cstheme="minorHAnsi"/>
                <w:b w:val="0"/>
              </w:rPr>
              <w:t xml:space="preserve">Component 1 </w:t>
            </w:r>
          </w:p>
          <w:p w:rsidR="00E61B19" w:rsidRPr="00E61B19" w:rsidRDefault="00E61B19" w:rsidP="00E61B19">
            <w:pPr>
              <w:pStyle w:val="NoSpacing"/>
              <w:tabs>
                <w:tab w:val="left" w:pos="4340"/>
              </w:tabs>
              <w:rPr>
                <w:rFonts w:cstheme="minorHAnsi"/>
                <w:b w:val="0"/>
              </w:rPr>
            </w:pPr>
            <w:r w:rsidRPr="00E61B19">
              <w:rPr>
                <w:rFonts w:cstheme="minorHAnsi"/>
                <w:b w:val="0"/>
              </w:rPr>
              <w:t>(Education, Standards and Translation)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E61B19" w:rsidRPr="00E61B19" w:rsidRDefault="00E61B19" w:rsidP="00E61B19">
            <w:pPr>
              <w:pStyle w:val="NoSpacing"/>
              <w:tabs>
                <w:tab w:val="left" w:pos="4340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61B19">
              <w:rPr>
                <w:rFonts w:cstheme="minorHAnsi"/>
              </w:rPr>
              <w:t xml:space="preserve"> $495,000</w:t>
            </w:r>
          </w:p>
        </w:tc>
      </w:tr>
      <w:tr w:rsidR="00E61B19" w:rsidRPr="00E61B19" w:rsidTr="00E61B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61B19" w:rsidRPr="00E61B19" w:rsidRDefault="00E61B19" w:rsidP="00E61B19">
            <w:pPr>
              <w:pStyle w:val="NoSpacing"/>
              <w:tabs>
                <w:tab w:val="left" w:pos="4340"/>
              </w:tabs>
              <w:rPr>
                <w:rFonts w:cstheme="minorHAnsi"/>
                <w:b w:val="0"/>
              </w:rPr>
            </w:pPr>
            <w:r w:rsidRPr="00E61B19">
              <w:rPr>
                <w:rFonts w:cstheme="minorHAnsi"/>
                <w:b w:val="0"/>
              </w:rPr>
              <w:t>Component 2</w:t>
            </w:r>
          </w:p>
          <w:p w:rsidR="00E61B19" w:rsidRPr="00E61B19" w:rsidRDefault="00E61B19" w:rsidP="00E61B19">
            <w:pPr>
              <w:pStyle w:val="NoSpacing"/>
              <w:tabs>
                <w:tab w:val="left" w:pos="4340"/>
              </w:tabs>
              <w:rPr>
                <w:rFonts w:cstheme="minorHAnsi"/>
                <w:b w:val="0"/>
              </w:rPr>
            </w:pPr>
            <w:r w:rsidRPr="00E61B19">
              <w:rPr>
                <w:rFonts w:cstheme="minorHAnsi"/>
                <w:b w:val="0"/>
              </w:rPr>
              <w:t>(Cancer Staging Collaboration and Implementation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E61B19" w:rsidRPr="00E61B19" w:rsidRDefault="00E61B19" w:rsidP="00E61B19">
            <w:pPr>
              <w:pStyle w:val="NoSpacing"/>
              <w:tabs>
                <w:tab w:val="left" w:pos="4340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E61B19">
              <w:rPr>
                <w:rFonts w:cstheme="minorHAnsi"/>
              </w:rPr>
              <w:t>$250,000</w:t>
            </w:r>
          </w:p>
        </w:tc>
      </w:tr>
      <w:tr w:rsidR="00E61B19" w:rsidRPr="00E61B19" w:rsidTr="00E61B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  <w:tcBorders>
              <w:right w:val="single" w:sz="4" w:space="0" w:color="auto"/>
            </w:tcBorders>
          </w:tcPr>
          <w:p w:rsidR="00E61B19" w:rsidRPr="00E61B19" w:rsidRDefault="00E61B19" w:rsidP="00E61B19">
            <w:pPr>
              <w:pStyle w:val="NoSpacing"/>
              <w:tabs>
                <w:tab w:val="left" w:pos="4340"/>
              </w:tabs>
              <w:rPr>
                <w:rFonts w:cstheme="minorHAnsi"/>
                <w:b w:val="0"/>
              </w:rPr>
            </w:pPr>
            <w:r w:rsidRPr="00E61B19">
              <w:rPr>
                <w:rFonts w:cstheme="minorHAnsi"/>
                <w:b w:val="0"/>
              </w:rPr>
              <w:t xml:space="preserve">Component 3 </w:t>
            </w:r>
          </w:p>
          <w:p w:rsidR="00E61B19" w:rsidRPr="00E61B19" w:rsidRDefault="00E61B19" w:rsidP="00E61B19">
            <w:pPr>
              <w:pStyle w:val="NoSpacing"/>
              <w:tabs>
                <w:tab w:val="left" w:pos="4340"/>
              </w:tabs>
              <w:rPr>
                <w:rFonts w:cstheme="minorHAnsi"/>
                <w:b w:val="0"/>
              </w:rPr>
            </w:pPr>
            <w:r w:rsidRPr="00E61B19">
              <w:rPr>
                <w:rFonts w:cstheme="minorHAnsi"/>
                <w:b w:val="0"/>
              </w:rPr>
              <w:t>(Standardization of Laboratory and Biomarker Reporting)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E61B19" w:rsidRPr="00E61B19" w:rsidRDefault="00E61B19" w:rsidP="00E61B19">
            <w:pPr>
              <w:pStyle w:val="NoSpacing"/>
              <w:tabs>
                <w:tab w:val="left" w:pos="4340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E61B19">
              <w:rPr>
                <w:rFonts w:cstheme="minorHAnsi"/>
              </w:rPr>
              <w:t>$300,000</w:t>
            </w:r>
          </w:p>
        </w:tc>
      </w:tr>
    </w:tbl>
    <w:p w:rsidR="00283E34" w:rsidRPr="00E61B19" w:rsidRDefault="00283E34" w:rsidP="00283E34">
      <w:pPr>
        <w:pStyle w:val="NoSpacing"/>
        <w:rPr>
          <w:rFonts w:cstheme="minorHAnsi"/>
        </w:rPr>
      </w:pPr>
    </w:p>
    <w:p w:rsidR="008C1A29" w:rsidRPr="00E61B19" w:rsidRDefault="008C1A29" w:rsidP="008C1A29">
      <w:pPr>
        <w:pStyle w:val="NoSpacing"/>
        <w:numPr>
          <w:ilvl w:val="0"/>
          <w:numId w:val="1"/>
        </w:numPr>
        <w:rPr>
          <w:rFonts w:cstheme="minorHAnsi"/>
        </w:rPr>
      </w:pPr>
      <w:r w:rsidRPr="00E61B19">
        <w:rPr>
          <w:rFonts w:cstheme="minorHAnsi"/>
        </w:rPr>
        <w:t>Are MOAs/MOUs (see page 16, 3</w:t>
      </w:r>
      <w:r w:rsidRPr="00E61B19">
        <w:rPr>
          <w:rFonts w:cstheme="minorHAnsi"/>
          <w:vertAlign w:val="superscript"/>
        </w:rPr>
        <w:t>rd</w:t>
      </w:r>
      <w:r w:rsidRPr="00E61B19">
        <w:rPr>
          <w:rFonts w:cstheme="minorHAnsi"/>
        </w:rPr>
        <w:t xml:space="preserve"> bullet) required?</w:t>
      </w:r>
    </w:p>
    <w:p w:rsidR="00283E34" w:rsidRPr="00E61B19" w:rsidRDefault="00283E34" w:rsidP="00283E34">
      <w:pPr>
        <w:pStyle w:val="NoSpacing"/>
        <w:ind w:left="360"/>
        <w:rPr>
          <w:rFonts w:cstheme="minorHAnsi"/>
        </w:rPr>
      </w:pPr>
    </w:p>
    <w:p w:rsidR="00C77D35" w:rsidRPr="00E61B19" w:rsidRDefault="00283E34" w:rsidP="00C77D35">
      <w:pPr>
        <w:pStyle w:val="NoSpacing"/>
        <w:ind w:left="1440"/>
        <w:rPr>
          <w:rFonts w:cstheme="minorHAnsi"/>
        </w:rPr>
      </w:pPr>
      <w:r w:rsidRPr="00E61B19">
        <w:rPr>
          <w:rFonts w:cstheme="minorHAnsi"/>
        </w:rPr>
        <w:t xml:space="preserve">Memorandums of Agreement (MOA) or Understanding (MOU) </w:t>
      </w:r>
      <w:r w:rsidR="0086599A" w:rsidRPr="00E61B19">
        <w:rPr>
          <w:rFonts w:cstheme="minorHAnsi"/>
        </w:rPr>
        <w:t xml:space="preserve">are not required.  They can be submitted as part of the application to demonstrate </w:t>
      </w:r>
      <w:r w:rsidR="0086599A" w:rsidRPr="00E61B19">
        <w:rPr>
          <w:rFonts w:cstheme="minorHAnsi"/>
          <w:i/>
        </w:rPr>
        <w:t>organizational capacity and experience</w:t>
      </w:r>
      <w:r w:rsidR="0086599A" w:rsidRPr="00E61B19">
        <w:rPr>
          <w:rFonts w:cstheme="minorHAnsi"/>
        </w:rPr>
        <w:t xml:space="preserve"> by having established relationships and previous </w:t>
      </w:r>
      <w:r w:rsidR="005D714C" w:rsidRPr="00E61B19">
        <w:rPr>
          <w:rFonts w:cstheme="minorHAnsi"/>
        </w:rPr>
        <w:t xml:space="preserve">collaboration </w:t>
      </w:r>
      <w:r w:rsidR="0086599A" w:rsidRPr="00E61B19">
        <w:rPr>
          <w:rFonts w:cstheme="minorHAnsi"/>
        </w:rPr>
        <w:t>with central cancer registries and/or cancer surveillance stakeholders.</w:t>
      </w:r>
      <w:r w:rsidR="007373FC" w:rsidRPr="00E61B19">
        <w:rPr>
          <w:rFonts w:cstheme="minorHAnsi"/>
        </w:rPr>
        <w:t xml:space="preserve"> </w:t>
      </w:r>
      <w:r w:rsidR="00C77D35" w:rsidRPr="00E61B19">
        <w:rPr>
          <w:rFonts w:cstheme="minorHAnsi"/>
        </w:rPr>
        <w:t xml:space="preserve">If applicants choose to submit </w:t>
      </w:r>
      <w:r w:rsidR="0041106D" w:rsidRPr="00E61B19">
        <w:rPr>
          <w:rFonts w:cstheme="minorHAnsi"/>
        </w:rPr>
        <w:t>MOAs/</w:t>
      </w:r>
      <w:r w:rsidR="003B5D2E" w:rsidRPr="00E61B19">
        <w:rPr>
          <w:rFonts w:cstheme="minorHAnsi"/>
        </w:rPr>
        <w:t>MOUs or</w:t>
      </w:r>
      <w:r w:rsidR="0041106D" w:rsidRPr="00E61B19">
        <w:rPr>
          <w:rFonts w:cstheme="minorHAnsi"/>
        </w:rPr>
        <w:t xml:space="preserve"> </w:t>
      </w:r>
      <w:r w:rsidR="00C77D35" w:rsidRPr="00E61B19">
        <w:rPr>
          <w:rFonts w:cstheme="minorHAnsi"/>
        </w:rPr>
        <w:t>Letters of Support, they would be submitted as attachments, separate from the project narrative.</w:t>
      </w:r>
    </w:p>
    <w:p w:rsidR="00283E34" w:rsidRPr="00E61B19" w:rsidRDefault="00283E34" w:rsidP="00283E34">
      <w:pPr>
        <w:pStyle w:val="NoSpacing"/>
        <w:rPr>
          <w:rFonts w:cstheme="minorHAnsi"/>
        </w:rPr>
      </w:pPr>
    </w:p>
    <w:p w:rsidR="005A00A1" w:rsidRPr="00E61B19" w:rsidRDefault="008C1A29" w:rsidP="008C1A29">
      <w:pPr>
        <w:pStyle w:val="NoSpacing"/>
        <w:numPr>
          <w:ilvl w:val="0"/>
          <w:numId w:val="1"/>
        </w:numPr>
        <w:rPr>
          <w:rFonts w:cstheme="minorHAnsi"/>
        </w:rPr>
      </w:pPr>
      <w:r w:rsidRPr="00E61B19">
        <w:rPr>
          <w:rFonts w:cstheme="minorHAnsi"/>
        </w:rPr>
        <w:t>Is there an upcoming</w:t>
      </w:r>
      <w:r w:rsidR="005A00A1" w:rsidRPr="00E61B19">
        <w:rPr>
          <w:rFonts w:cstheme="minorHAnsi"/>
        </w:rPr>
        <w:t xml:space="preserve"> P</w:t>
      </w:r>
      <w:r w:rsidRPr="00E61B19">
        <w:rPr>
          <w:rFonts w:cstheme="minorHAnsi"/>
        </w:rPr>
        <w:t xml:space="preserve">rogram Directors meeting </w:t>
      </w:r>
      <w:r w:rsidR="007373FC" w:rsidRPr="00E61B19">
        <w:rPr>
          <w:rFonts w:cstheme="minorHAnsi"/>
        </w:rPr>
        <w:t xml:space="preserve">for </w:t>
      </w:r>
      <w:r w:rsidRPr="00E61B19">
        <w:rPr>
          <w:rFonts w:cstheme="minorHAnsi"/>
        </w:rPr>
        <w:t>NPCR awardee</w:t>
      </w:r>
      <w:r w:rsidR="005A00A1" w:rsidRPr="00E61B19">
        <w:rPr>
          <w:rFonts w:cstheme="minorHAnsi"/>
        </w:rPr>
        <w:t>s?</w:t>
      </w:r>
    </w:p>
    <w:p w:rsidR="005D714C" w:rsidRPr="00E61B19" w:rsidRDefault="005D714C" w:rsidP="005D714C">
      <w:pPr>
        <w:pStyle w:val="NoSpacing"/>
        <w:ind w:left="720"/>
        <w:rPr>
          <w:rFonts w:cstheme="minorHAnsi"/>
        </w:rPr>
      </w:pPr>
    </w:p>
    <w:p w:rsidR="005D714C" w:rsidRPr="00E61B19" w:rsidRDefault="005D714C" w:rsidP="005D714C">
      <w:pPr>
        <w:pStyle w:val="NoSpacing"/>
        <w:ind w:left="1440"/>
        <w:rPr>
          <w:rFonts w:cstheme="minorHAnsi"/>
        </w:rPr>
      </w:pPr>
      <w:r w:rsidRPr="00E61B19">
        <w:rPr>
          <w:rFonts w:cstheme="minorHAnsi"/>
        </w:rPr>
        <w:t xml:space="preserve">CDC has no current or future plans for a NPCR Program Directors meeting.  The last time such a meeting took place was in August 2017 </w:t>
      </w:r>
      <w:r w:rsidRPr="00E61B19">
        <w:rPr>
          <w:rFonts w:cstheme="minorHAnsi"/>
        </w:rPr>
        <w:softHyphen/>
      </w:r>
      <w:r w:rsidRPr="00E61B19">
        <w:rPr>
          <w:rFonts w:cstheme="minorHAnsi"/>
        </w:rPr>
        <w:softHyphen/>
        <w:t>following the CDC Cancer Conference.</w:t>
      </w:r>
    </w:p>
    <w:p w:rsidR="005A00A1" w:rsidRPr="00E61B19" w:rsidRDefault="005A00A1" w:rsidP="005A00A1">
      <w:pPr>
        <w:pStyle w:val="NoSpacing"/>
        <w:rPr>
          <w:rFonts w:cstheme="minorHAnsi"/>
        </w:rPr>
      </w:pPr>
    </w:p>
    <w:p w:rsidR="0029403B" w:rsidRPr="00E61B19" w:rsidRDefault="0029403B" w:rsidP="0029403B">
      <w:pPr>
        <w:pStyle w:val="NoSpacing"/>
        <w:rPr>
          <w:rFonts w:cstheme="minorHAnsi"/>
          <w:b/>
        </w:rPr>
      </w:pPr>
      <w:r w:rsidRPr="00E61B19">
        <w:rPr>
          <w:rFonts w:cstheme="minorHAnsi"/>
          <w:b/>
        </w:rPr>
        <w:t>Questions and Answers received via email</w:t>
      </w:r>
    </w:p>
    <w:p w:rsidR="0029403B" w:rsidRPr="00E61B19" w:rsidRDefault="0029403B" w:rsidP="0029403B">
      <w:pPr>
        <w:pStyle w:val="NoSpacing"/>
        <w:rPr>
          <w:rFonts w:cstheme="minorHAnsi"/>
          <w:b/>
        </w:rPr>
      </w:pPr>
    </w:p>
    <w:p w:rsidR="0029403B" w:rsidRPr="00E61B19" w:rsidRDefault="0029403B" w:rsidP="0029403B">
      <w:pPr>
        <w:pStyle w:val="NoSpacing"/>
        <w:numPr>
          <w:ilvl w:val="0"/>
          <w:numId w:val="1"/>
        </w:numPr>
        <w:rPr>
          <w:rFonts w:cstheme="minorHAnsi"/>
        </w:rPr>
      </w:pPr>
      <w:r w:rsidRPr="00E61B19">
        <w:rPr>
          <w:rFonts w:cstheme="minorHAnsi"/>
        </w:rPr>
        <w:t>Could agencies apply independently for each component—that is CDC would receive 3 separate applications for this NOFO, one for each component?</w:t>
      </w:r>
    </w:p>
    <w:p w:rsidR="0029403B" w:rsidRPr="00E61B19" w:rsidRDefault="0029403B" w:rsidP="0029403B">
      <w:pPr>
        <w:pStyle w:val="NoSpacing"/>
        <w:rPr>
          <w:rFonts w:cstheme="minorHAnsi"/>
        </w:rPr>
      </w:pPr>
    </w:p>
    <w:p w:rsidR="0029403B" w:rsidRPr="00E61B19" w:rsidRDefault="004B71B2" w:rsidP="0029403B">
      <w:pPr>
        <w:pStyle w:val="NoSpacing"/>
        <w:ind w:left="1440"/>
        <w:rPr>
          <w:rFonts w:cstheme="minorHAnsi"/>
        </w:rPr>
      </w:pPr>
      <w:r w:rsidRPr="00E61B19">
        <w:rPr>
          <w:rFonts w:cstheme="minorHAnsi"/>
        </w:rPr>
        <w:t>Each</w:t>
      </w:r>
      <w:r w:rsidR="0029403B" w:rsidRPr="00E61B19">
        <w:rPr>
          <w:rFonts w:cstheme="minorHAnsi"/>
        </w:rPr>
        <w:t xml:space="preserve"> sub</w:t>
      </w:r>
      <w:r w:rsidR="009407DD" w:rsidRPr="00E61B19">
        <w:rPr>
          <w:rFonts w:cstheme="minorHAnsi"/>
        </w:rPr>
        <w:t>mission should focus only on o</w:t>
      </w:r>
      <w:r w:rsidR="0029403B" w:rsidRPr="00E61B19">
        <w:rPr>
          <w:rFonts w:cstheme="minorHAnsi"/>
        </w:rPr>
        <w:t xml:space="preserve">ne component </w:t>
      </w:r>
      <w:r w:rsidR="009407DD" w:rsidRPr="00E61B19">
        <w:rPr>
          <w:rFonts w:cstheme="minorHAnsi"/>
        </w:rPr>
        <w:t>(Component 1,</w:t>
      </w:r>
      <w:r w:rsidR="003B5D2E" w:rsidRPr="00E61B19">
        <w:rPr>
          <w:rFonts w:cstheme="minorHAnsi"/>
        </w:rPr>
        <w:t xml:space="preserve"> </w:t>
      </w:r>
      <w:r w:rsidR="009407DD" w:rsidRPr="00E61B19">
        <w:rPr>
          <w:rFonts w:cstheme="minorHAnsi"/>
        </w:rPr>
        <w:t>2, or 3</w:t>
      </w:r>
      <w:r w:rsidR="00E61B19" w:rsidRPr="00E61B19">
        <w:rPr>
          <w:rFonts w:cstheme="minorHAnsi"/>
        </w:rPr>
        <w:t>). Applicants</w:t>
      </w:r>
      <w:r w:rsidR="009407DD" w:rsidRPr="00E61B19">
        <w:rPr>
          <w:rFonts w:cstheme="minorHAnsi"/>
        </w:rPr>
        <w:t xml:space="preserve"> do </w:t>
      </w:r>
      <w:r w:rsidR="0029403B" w:rsidRPr="00E61B19">
        <w:rPr>
          <w:rFonts w:cstheme="minorHAnsi"/>
        </w:rPr>
        <w:t xml:space="preserve">not need to coordinate the submission with potential applicants of the other components. </w:t>
      </w:r>
    </w:p>
    <w:p w:rsidR="0029403B" w:rsidRPr="00E61B19" w:rsidRDefault="0029403B" w:rsidP="0029403B">
      <w:pPr>
        <w:pStyle w:val="NoSpacing"/>
        <w:ind w:left="1440"/>
        <w:rPr>
          <w:rFonts w:cstheme="minorHAnsi"/>
        </w:rPr>
      </w:pPr>
    </w:p>
    <w:p w:rsidR="0029403B" w:rsidRPr="00E61B19" w:rsidRDefault="0029403B" w:rsidP="0029403B">
      <w:pPr>
        <w:pStyle w:val="NoSpacing"/>
        <w:numPr>
          <w:ilvl w:val="0"/>
          <w:numId w:val="1"/>
        </w:numPr>
        <w:rPr>
          <w:rFonts w:cstheme="minorHAnsi"/>
        </w:rPr>
      </w:pPr>
      <w:r w:rsidRPr="00E61B19">
        <w:rPr>
          <w:rFonts w:cstheme="minorHAnsi"/>
        </w:rPr>
        <w:t>Please clarify the following guidance on page count</w:t>
      </w:r>
      <w:r w:rsidR="007373FC" w:rsidRPr="00E61B19">
        <w:rPr>
          <w:rFonts w:cstheme="minorHAnsi"/>
        </w:rPr>
        <w:t xml:space="preserve">: </w:t>
      </w:r>
      <w:r w:rsidRPr="00E61B19">
        <w:rPr>
          <w:rFonts w:cstheme="minorHAnsi"/>
        </w:rPr>
        <w:t>Project Narrative being limited to 15 pages for the “base</w:t>
      </w:r>
      <w:r w:rsidR="003B5D2E" w:rsidRPr="00E61B19">
        <w:rPr>
          <w:rFonts w:cstheme="minorHAnsi"/>
        </w:rPr>
        <w:t>”,</w:t>
      </w:r>
      <w:r w:rsidRPr="00E61B19">
        <w:rPr>
          <w:rFonts w:cstheme="minorHAnsi"/>
        </w:rPr>
        <w:t xml:space="preserve"> an</w:t>
      </w:r>
      <w:r w:rsidR="007373FC" w:rsidRPr="00E61B19">
        <w:rPr>
          <w:rFonts w:cstheme="minorHAnsi"/>
        </w:rPr>
        <w:t>d 4 pages for each component?</w:t>
      </w:r>
    </w:p>
    <w:p w:rsidR="0029403B" w:rsidRPr="00E61B19" w:rsidRDefault="0029403B" w:rsidP="0029403B">
      <w:pPr>
        <w:pStyle w:val="NoSpacing"/>
        <w:ind w:left="720"/>
        <w:rPr>
          <w:rFonts w:cstheme="minorHAnsi"/>
        </w:rPr>
      </w:pPr>
    </w:p>
    <w:p w:rsidR="0029403B" w:rsidRPr="00E61B19" w:rsidRDefault="007373FC" w:rsidP="0029403B">
      <w:pPr>
        <w:pStyle w:val="NoSpacing"/>
        <w:ind w:left="1440"/>
        <w:rPr>
          <w:rFonts w:cstheme="minorHAnsi"/>
        </w:rPr>
      </w:pPr>
      <w:r w:rsidRPr="00E61B19">
        <w:rPr>
          <w:rFonts w:cstheme="minorHAnsi"/>
        </w:rPr>
        <w:t xml:space="preserve">The maximum number of pages </w:t>
      </w:r>
      <w:r w:rsidR="0029403B" w:rsidRPr="00E61B19">
        <w:rPr>
          <w:rFonts w:cstheme="minorHAnsi"/>
        </w:rPr>
        <w:t>for the project narrative would be 19 pages (15 pages for the “base” application which addresses the subsections listed under project narrative and work plan (pages 25-27) and an additional maximum 4 pages focused on one of the three component (either Component 1, 2, or 3)</w:t>
      </w:r>
    </w:p>
    <w:p w:rsidR="0029403B" w:rsidRPr="00E61B19" w:rsidRDefault="0029403B" w:rsidP="005A00A1">
      <w:pPr>
        <w:pStyle w:val="NoSpacing"/>
        <w:rPr>
          <w:rFonts w:cstheme="minorHAnsi"/>
          <w:b/>
        </w:rPr>
      </w:pPr>
    </w:p>
    <w:p w:rsidR="007B09EC" w:rsidRPr="00E61B19" w:rsidRDefault="007B09EC" w:rsidP="0029403B">
      <w:pPr>
        <w:pStyle w:val="NoSpacing"/>
        <w:numPr>
          <w:ilvl w:val="0"/>
          <w:numId w:val="1"/>
        </w:numPr>
        <w:rPr>
          <w:rFonts w:cstheme="minorHAnsi"/>
        </w:rPr>
      </w:pPr>
      <w:r w:rsidRPr="00E61B19">
        <w:rPr>
          <w:rFonts w:cstheme="minorHAnsi"/>
        </w:rPr>
        <w:t xml:space="preserve">How certain are the budgeted funds? (How likely are they to be cut?) </w:t>
      </w:r>
    </w:p>
    <w:p w:rsidR="007B09EC" w:rsidRPr="00E61B19" w:rsidRDefault="007B09EC" w:rsidP="007B09EC">
      <w:pPr>
        <w:pStyle w:val="NoSpacing"/>
        <w:rPr>
          <w:rFonts w:cstheme="minorHAnsi"/>
        </w:rPr>
      </w:pPr>
    </w:p>
    <w:p w:rsidR="007B09EC" w:rsidRPr="00E61B19" w:rsidRDefault="00283FC5" w:rsidP="007B09EC">
      <w:pPr>
        <w:pStyle w:val="NoSpacing"/>
        <w:ind w:left="1440"/>
        <w:rPr>
          <w:rFonts w:cstheme="minorHAnsi"/>
        </w:rPr>
      </w:pPr>
      <w:r w:rsidRPr="00E61B19">
        <w:rPr>
          <w:rFonts w:cstheme="minorHAnsi"/>
        </w:rPr>
        <w:t>As a federal agency</w:t>
      </w:r>
      <w:r w:rsidR="007373FC" w:rsidRPr="00E61B19">
        <w:rPr>
          <w:rFonts w:cstheme="minorHAnsi"/>
        </w:rPr>
        <w:t xml:space="preserve"> </w:t>
      </w:r>
      <w:r w:rsidRPr="00E61B19">
        <w:rPr>
          <w:rFonts w:cstheme="minorHAnsi"/>
        </w:rPr>
        <w:t xml:space="preserve">budgets are subject to congressional </w:t>
      </w:r>
      <w:r w:rsidR="002967AE" w:rsidRPr="00E61B19">
        <w:rPr>
          <w:rFonts w:cstheme="minorHAnsi"/>
        </w:rPr>
        <w:t xml:space="preserve">approval and agency priorities.  </w:t>
      </w:r>
      <w:r w:rsidR="007373FC" w:rsidRPr="00E61B19">
        <w:rPr>
          <w:rFonts w:cstheme="minorHAnsi"/>
        </w:rPr>
        <w:t>Budget planning for the entire project period was reviewed and approved by CDC’s Division of Cancer Prevention and Control, but f</w:t>
      </w:r>
      <w:r w:rsidR="002967AE" w:rsidRPr="00E61B19">
        <w:rPr>
          <w:rFonts w:cstheme="minorHAnsi"/>
        </w:rPr>
        <w:t>unding for any CDC programs and project</w:t>
      </w:r>
      <w:r w:rsidR="00D0118C">
        <w:rPr>
          <w:rFonts w:cstheme="minorHAnsi"/>
        </w:rPr>
        <w:t>s</w:t>
      </w:r>
      <w:r w:rsidR="002967AE" w:rsidRPr="00E61B19">
        <w:rPr>
          <w:rFonts w:cstheme="minorHAnsi"/>
        </w:rPr>
        <w:t xml:space="preserve"> is never guaranteed.  </w:t>
      </w:r>
    </w:p>
    <w:p w:rsidR="007B09EC" w:rsidRPr="00E61B19" w:rsidRDefault="007B09EC" w:rsidP="007B09EC">
      <w:pPr>
        <w:pStyle w:val="NoSpacing"/>
        <w:rPr>
          <w:rFonts w:cstheme="minorHAnsi"/>
        </w:rPr>
      </w:pPr>
    </w:p>
    <w:p w:rsidR="007B09EC" w:rsidRPr="00E61B19" w:rsidRDefault="007B09EC" w:rsidP="0029403B">
      <w:pPr>
        <w:pStyle w:val="NoSpacing"/>
        <w:numPr>
          <w:ilvl w:val="0"/>
          <w:numId w:val="1"/>
        </w:numPr>
        <w:rPr>
          <w:rFonts w:cstheme="minorHAnsi"/>
        </w:rPr>
      </w:pPr>
      <w:r w:rsidRPr="00E61B19">
        <w:rPr>
          <w:rFonts w:cstheme="minorHAnsi"/>
        </w:rPr>
        <w:t xml:space="preserve">I believe we can charge indirect cost but at what rate? </w:t>
      </w:r>
    </w:p>
    <w:p w:rsidR="002967AE" w:rsidRPr="00E61B19" w:rsidRDefault="002967AE" w:rsidP="002967AE">
      <w:pPr>
        <w:pStyle w:val="NoSpacing"/>
        <w:rPr>
          <w:rFonts w:cstheme="minorHAnsi"/>
        </w:rPr>
      </w:pPr>
    </w:p>
    <w:p w:rsidR="001949A8" w:rsidRPr="007373FC" w:rsidRDefault="00D0118C" w:rsidP="007B09EC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>Applicants can include</w:t>
      </w:r>
      <w:r w:rsidR="001949A8" w:rsidRPr="00E61B19">
        <w:rPr>
          <w:rFonts w:cstheme="minorHAnsi"/>
        </w:rPr>
        <w:t xml:space="preserve"> indirect costs. The applicant should submit a copy of a valid </w:t>
      </w:r>
      <w:r w:rsidR="001949A8" w:rsidRPr="00D0118C">
        <w:rPr>
          <w:rFonts w:cstheme="minorHAnsi"/>
          <w:i/>
        </w:rPr>
        <w:t xml:space="preserve">indirect </w:t>
      </w:r>
      <w:r w:rsidRPr="00D0118C">
        <w:rPr>
          <w:rFonts w:cstheme="minorHAnsi"/>
          <w:i/>
        </w:rPr>
        <w:t xml:space="preserve">cost </w:t>
      </w:r>
      <w:r w:rsidR="001949A8" w:rsidRPr="00D0118C">
        <w:rPr>
          <w:rFonts w:cstheme="minorHAnsi"/>
          <w:i/>
        </w:rPr>
        <w:t>rate agreement</w:t>
      </w:r>
      <w:r w:rsidR="001949A8" w:rsidRPr="00E61B19">
        <w:rPr>
          <w:rFonts w:cstheme="minorHAnsi"/>
        </w:rPr>
        <w:t xml:space="preserve"> along with their application if they are proposing indirect costs.</w:t>
      </w:r>
      <w:r>
        <w:rPr>
          <w:rFonts w:cstheme="minorHAnsi"/>
        </w:rPr>
        <w:t xml:space="preserve"> (Refer to pages 27-28).</w:t>
      </w:r>
    </w:p>
    <w:p w:rsidR="00FC70C6" w:rsidRPr="007373FC" w:rsidRDefault="00FC70C6" w:rsidP="005A00A1">
      <w:pPr>
        <w:rPr>
          <w:rFonts w:cstheme="minorHAnsi"/>
        </w:rPr>
      </w:pPr>
    </w:p>
    <w:sectPr w:rsidR="00FC70C6" w:rsidRPr="007373FC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046AC"/>
    <w:multiLevelType w:val="hybridMultilevel"/>
    <w:tmpl w:val="F21018B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D1C6676"/>
    <w:multiLevelType w:val="hybridMultilevel"/>
    <w:tmpl w:val="4B427A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2207D"/>
    <w:multiLevelType w:val="hybridMultilevel"/>
    <w:tmpl w:val="5C5002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50F64"/>
    <w:multiLevelType w:val="hybridMultilevel"/>
    <w:tmpl w:val="92346B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A29"/>
    <w:rsid w:val="001949A8"/>
    <w:rsid w:val="00283E34"/>
    <w:rsid w:val="00283FC5"/>
    <w:rsid w:val="0029403B"/>
    <w:rsid w:val="002967AE"/>
    <w:rsid w:val="002A2F9A"/>
    <w:rsid w:val="002D6AE8"/>
    <w:rsid w:val="00335B5B"/>
    <w:rsid w:val="003B5D2E"/>
    <w:rsid w:val="003E64CD"/>
    <w:rsid w:val="0041106D"/>
    <w:rsid w:val="004518A0"/>
    <w:rsid w:val="004B71B2"/>
    <w:rsid w:val="005A00A1"/>
    <w:rsid w:val="005D714C"/>
    <w:rsid w:val="0070682D"/>
    <w:rsid w:val="007373FC"/>
    <w:rsid w:val="007B09EC"/>
    <w:rsid w:val="0086599A"/>
    <w:rsid w:val="008839E3"/>
    <w:rsid w:val="008C1A29"/>
    <w:rsid w:val="009407DD"/>
    <w:rsid w:val="009D3DC4"/>
    <w:rsid w:val="009E340A"/>
    <w:rsid w:val="00A14332"/>
    <w:rsid w:val="00B86041"/>
    <w:rsid w:val="00BD6AE0"/>
    <w:rsid w:val="00C35FB8"/>
    <w:rsid w:val="00C77D35"/>
    <w:rsid w:val="00CA6E30"/>
    <w:rsid w:val="00D0118C"/>
    <w:rsid w:val="00D21355"/>
    <w:rsid w:val="00D26908"/>
    <w:rsid w:val="00D74AA5"/>
    <w:rsid w:val="00E61B19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2C2386-8BD9-4501-AA48-EB0AD7EDE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C1A2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40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03B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4518A0"/>
    <w:pPr>
      <w:autoSpaceDE w:val="0"/>
      <w:autoSpaceDN w:val="0"/>
      <w:adjustRightInd w:val="0"/>
      <w:spacing w:after="0" w:line="240" w:lineRule="auto"/>
      <w:ind w:left="40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518A0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61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E61B1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D2135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2135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8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A6899-4B87-4EAD-82D9-16A1763D5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Pollack, Loria A. (CDC/ONDIEH/NCCDPHP)</dc:creator>
  <cp:keywords/>
  <dc:description/>
  <cp:lastModifiedBy>Holt, Ebony (CDC/OCOO/OFR/OGS)</cp:lastModifiedBy>
  <cp:revision>2</cp:revision>
  <cp:lastPrinted>2018-03-14T15:35:00Z</cp:lastPrinted>
  <dcterms:created xsi:type="dcterms:W3CDTF">2018-03-22T01:44:00Z</dcterms:created>
  <dcterms:modified xsi:type="dcterms:W3CDTF">2018-03-22T01:44:00Z</dcterms:modified>
</cp:coreProperties>
</file>