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C8A327" w14:textId="77777777" w:rsidR="00CD5DF6" w:rsidRPr="00752BF3" w:rsidRDefault="00CD5DF6" w:rsidP="00CD5DF6">
      <w:pPr>
        <w:widowControl/>
        <w:spacing w:after="0" w:line="240" w:lineRule="auto"/>
        <w:rPr>
          <w:rFonts w:ascii="Times New Roman" w:eastAsia="Times New Roman" w:hAnsi="Times New Roman" w:cs="Times New Roman"/>
          <w:b/>
          <w:snapToGrid w:val="0"/>
          <w:color w:val="000000"/>
          <w:sz w:val="24"/>
          <w:szCs w:val="20"/>
        </w:rPr>
      </w:pPr>
      <w:r w:rsidRPr="00C07CA5">
        <w:rPr>
          <w:rFonts w:ascii="Times New Roman" w:eastAsia="Times New Roman" w:hAnsi="Times New Roman" w:cs="Times New Roman"/>
          <w:b/>
          <w:snapToGrid w:val="0"/>
          <w:color w:val="000000"/>
          <w:sz w:val="28"/>
          <w:szCs w:val="28"/>
        </w:rPr>
        <w:t xml:space="preserve">BUDGET </w:t>
      </w:r>
      <w:r>
        <w:rPr>
          <w:rFonts w:ascii="Times New Roman" w:eastAsia="Times New Roman" w:hAnsi="Times New Roman" w:cs="Times New Roman"/>
          <w:b/>
          <w:snapToGrid w:val="0"/>
          <w:color w:val="000000"/>
          <w:sz w:val="28"/>
          <w:szCs w:val="28"/>
        </w:rPr>
        <w:t>NARRATIVE</w:t>
      </w:r>
    </w:p>
    <w:p w14:paraId="0B2800B0" w14:textId="77777777" w:rsidR="00CD5DF6" w:rsidRPr="00752BF3" w:rsidRDefault="00CD5DF6" w:rsidP="00CD5D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18AF1A9C" w14:textId="77777777" w:rsidR="00CD5DF6" w:rsidRPr="00752BF3" w:rsidRDefault="00CD5DF6" w:rsidP="00A9023C">
      <w:pPr>
        <w:widowControl/>
        <w:autoSpaceDE w:val="0"/>
        <w:autoSpaceDN w:val="0"/>
        <w:adjustRightInd w:val="0"/>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A. Personnel</w:t>
      </w:r>
      <w:r w:rsidRPr="00752BF3">
        <w:rPr>
          <w:rFonts w:ascii="Times New Roman" w:eastAsia="Times New Roman" w:hAnsi="Times New Roman" w:cs="Times New Roman"/>
          <w:snapToGrid w:val="0"/>
          <w:color w:val="000000"/>
          <w:sz w:val="24"/>
          <w:szCs w:val="20"/>
        </w:rPr>
        <w:t xml:space="preserve"> – </w:t>
      </w:r>
      <w:r w:rsidR="00294AEB">
        <w:rPr>
          <w:rFonts w:ascii="Times New Roman" w:hAnsi="Times New Roman" w:cs="Times New Roman"/>
          <w:sz w:val="24"/>
          <w:szCs w:val="24"/>
        </w:rPr>
        <w:t>This category includes the salaries and wages for all non-Federal</w:t>
      </w:r>
      <w:r w:rsidR="00A9023C">
        <w:rPr>
          <w:rFonts w:ascii="Times New Roman" w:hAnsi="Times New Roman" w:cs="Times New Roman"/>
          <w:sz w:val="24"/>
          <w:szCs w:val="24"/>
        </w:rPr>
        <w:t xml:space="preserve"> </w:t>
      </w:r>
      <w:r w:rsidR="00294AEB">
        <w:rPr>
          <w:rFonts w:ascii="Times New Roman" w:hAnsi="Times New Roman" w:cs="Times New Roman"/>
          <w:sz w:val="24"/>
          <w:szCs w:val="24"/>
        </w:rPr>
        <w:t>entity personnel who will be working on the project. The budget narrative should</w:t>
      </w:r>
      <w:r w:rsidR="00A9023C">
        <w:rPr>
          <w:rFonts w:ascii="Times New Roman" w:hAnsi="Times New Roman" w:cs="Times New Roman"/>
          <w:sz w:val="24"/>
          <w:szCs w:val="24"/>
        </w:rPr>
        <w:t xml:space="preserve"> </w:t>
      </w:r>
      <w:r w:rsidR="00294AEB">
        <w:rPr>
          <w:rFonts w:ascii="Times New Roman" w:hAnsi="Times New Roman" w:cs="Times New Roman"/>
          <w:sz w:val="24"/>
          <w:szCs w:val="24"/>
        </w:rPr>
        <w:t>indicate the base salary and time each person will spend on the project. The</w:t>
      </w:r>
      <w:r w:rsidR="00A9023C">
        <w:rPr>
          <w:rFonts w:ascii="Times New Roman" w:hAnsi="Times New Roman" w:cs="Times New Roman"/>
          <w:sz w:val="24"/>
          <w:szCs w:val="24"/>
        </w:rPr>
        <w:t xml:space="preserve"> </w:t>
      </w:r>
      <w:r w:rsidR="00294AEB">
        <w:rPr>
          <w:rFonts w:ascii="Times New Roman" w:hAnsi="Times New Roman" w:cs="Times New Roman"/>
          <w:sz w:val="24"/>
          <w:szCs w:val="24"/>
        </w:rPr>
        <w:t xml:space="preserve">narrative should also include any method used to arrive at the requested amount. </w:t>
      </w:r>
      <w:r w:rsidR="00294AEB">
        <w:rPr>
          <w:rFonts w:ascii="Times New Roman" w:eastAsia="Times New Roman" w:hAnsi="Times New Roman" w:cs="Times New Roman"/>
          <w:snapToGrid w:val="0"/>
          <w:color w:val="000000"/>
          <w:sz w:val="24"/>
          <w:szCs w:val="20"/>
        </w:rPr>
        <w:t xml:space="preserve"> </w:t>
      </w:r>
    </w:p>
    <w:p w14:paraId="109C8EC5" w14:textId="77777777" w:rsidR="00CD5DF6" w:rsidRPr="00752BF3" w:rsidRDefault="00CD5DF6" w:rsidP="00CD5D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611DC29A" w14:textId="77777777" w:rsidR="00294AEB" w:rsidRDefault="00CD5DF6" w:rsidP="00294AEB">
      <w:pPr>
        <w:widowControl/>
        <w:autoSpaceDE w:val="0"/>
        <w:autoSpaceDN w:val="0"/>
        <w:adjustRightInd w:val="0"/>
        <w:spacing w:after="0" w:line="240" w:lineRule="auto"/>
        <w:rPr>
          <w:rFonts w:ascii="Times New Roman" w:hAnsi="Times New Roman" w:cs="Times New Roman"/>
          <w:sz w:val="24"/>
          <w:szCs w:val="24"/>
        </w:rPr>
      </w:pPr>
      <w:r w:rsidRPr="00752BF3">
        <w:rPr>
          <w:rFonts w:ascii="Times New Roman" w:eastAsia="Times New Roman" w:hAnsi="Times New Roman" w:cs="Times New Roman"/>
          <w:b/>
          <w:snapToGrid w:val="0"/>
          <w:color w:val="000000"/>
          <w:sz w:val="24"/>
          <w:szCs w:val="20"/>
        </w:rPr>
        <w:t>B. Fringe Benefits</w:t>
      </w:r>
      <w:r w:rsidRPr="00752BF3">
        <w:rPr>
          <w:rFonts w:ascii="Times New Roman" w:eastAsia="Times New Roman" w:hAnsi="Times New Roman" w:cs="Times New Roman"/>
          <w:snapToGrid w:val="0"/>
          <w:color w:val="000000"/>
          <w:sz w:val="24"/>
          <w:szCs w:val="20"/>
        </w:rPr>
        <w:t xml:space="preserve"> </w:t>
      </w:r>
      <w:r>
        <w:rPr>
          <w:rFonts w:ascii="Times New Roman" w:eastAsia="Times New Roman" w:hAnsi="Times New Roman" w:cs="Times New Roman"/>
          <w:snapToGrid w:val="0"/>
          <w:color w:val="000000"/>
          <w:sz w:val="24"/>
          <w:szCs w:val="20"/>
        </w:rPr>
        <w:t>–</w:t>
      </w:r>
      <w:r w:rsidRPr="00752BF3">
        <w:rPr>
          <w:rFonts w:ascii="Times New Roman" w:eastAsia="Times New Roman" w:hAnsi="Times New Roman" w:cs="Times New Roman"/>
          <w:snapToGrid w:val="0"/>
          <w:color w:val="000000"/>
          <w:sz w:val="24"/>
          <w:szCs w:val="20"/>
        </w:rPr>
        <w:t xml:space="preserve"> </w:t>
      </w:r>
      <w:r w:rsidR="00294AEB">
        <w:rPr>
          <w:rFonts w:ascii="Times New Roman" w:hAnsi="Times New Roman" w:cs="Times New Roman"/>
          <w:sz w:val="24"/>
          <w:szCs w:val="24"/>
        </w:rPr>
        <w:t>Fringe benefits are allowances and services provided by</w:t>
      </w:r>
      <w:r w:rsidR="00A9023C">
        <w:rPr>
          <w:rFonts w:ascii="Times New Roman" w:hAnsi="Times New Roman" w:cs="Times New Roman"/>
          <w:sz w:val="24"/>
          <w:szCs w:val="24"/>
        </w:rPr>
        <w:t xml:space="preserve"> </w:t>
      </w:r>
      <w:r w:rsidR="00294AEB">
        <w:rPr>
          <w:rFonts w:ascii="Times New Roman" w:hAnsi="Times New Roman" w:cs="Times New Roman"/>
          <w:sz w:val="24"/>
          <w:szCs w:val="24"/>
        </w:rPr>
        <w:t>employers to their employees as compensation in addition to regular salaries and</w:t>
      </w:r>
      <w:r w:rsidR="00A9023C">
        <w:rPr>
          <w:rFonts w:ascii="Times New Roman" w:hAnsi="Times New Roman" w:cs="Times New Roman"/>
          <w:sz w:val="24"/>
          <w:szCs w:val="24"/>
        </w:rPr>
        <w:t xml:space="preserve"> </w:t>
      </w:r>
      <w:r w:rsidR="00294AEB">
        <w:rPr>
          <w:rFonts w:ascii="Times New Roman" w:hAnsi="Times New Roman" w:cs="Times New Roman"/>
          <w:sz w:val="24"/>
          <w:szCs w:val="24"/>
        </w:rPr>
        <w:t>wages. Fringe benefits include, but are not limited to, the costs of leave (vacation,</w:t>
      </w:r>
      <w:r w:rsidR="00A9023C">
        <w:rPr>
          <w:rFonts w:ascii="Times New Roman" w:hAnsi="Times New Roman" w:cs="Times New Roman"/>
          <w:sz w:val="24"/>
          <w:szCs w:val="24"/>
        </w:rPr>
        <w:t xml:space="preserve"> </w:t>
      </w:r>
      <w:r w:rsidR="00294AEB">
        <w:rPr>
          <w:rFonts w:ascii="Times New Roman" w:hAnsi="Times New Roman" w:cs="Times New Roman"/>
          <w:sz w:val="24"/>
          <w:szCs w:val="24"/>
        </w:rPr>
        <w:t>family-related, sick, or military), employee insurance, pensions, and</w:t>
      </w:r>
      <w:r w:rsidR="00A9023C">
        <w:rPr>
          <w:rFonts w:ascii="Times New Roman" w:hAnsi="Times New Roman" w:cs="Times New Roman"/>
          <w:sz w:val="24"/>
          <w:szCs w:val="24"/>
        </w:rPr>
        <w:t xml:space="preserve"> </w:t>
      </w:r>
      <w:r w:rsidR="00294AEB">
        <w:rPr>
          <w:rFonts w:ascii="Times New Roman" w:hAnsi="Times New Roman" w:cs="Times New Roman"/>
          <w:sz w:val="24"/>
          <w:szCs w:val="24"/>
        </w:rPr>
        <w:t>unemployment benefit plans. These costs may be derived from historical costs or</w:t>
      </w:r>
      <w:r w:rsidR="00A9023C">
        <w:rPr>
          <w:rFonts w:ascii="Times New Roman" w:hAnsi="Times New Roman" w:cs="Times New Roman"/>
          <w:sz w:val="24"/>
          <w:szCs w:val="24"/>
        </w:rPr>
        <w:t xml:space="preserve"> </w:t>
      </w:r>
      <w:r w:rsidR="00294AEB">
        <w:rPr>
          <w:rFonts w:ascii="Times New Roman" w:hAnsi="Times New Roman" w:cs="Times New Roman"/>
          <w:sz w:val="24"/>
          <w:szCs w:val="24"/>
        </w:rPr>
        <w:t>calculated as a percentage of salaries and wages. If the costs are calculated as a</w:t>
      </w:r>
    </w:p>
    <w:p w14:paraId="4DBF8023" w14:textId="77777777" w:rsidR="00CD5DF6" w:rsidRPr="00752BF3" w:rsidRDefault="00294AEB" w:rsidP="00294AEB">
      <w:pPr>
        <w:widowControl/>
        <w:autoSpaceDE w:val="0"/>
        <w:autoSpaceDN w:val="0"/>
        <w:adjustRightInd w:val="0"/>
        <w:spacing w:after="0" w:line="240" w:lineRule="auto"/>
        <w:rPr>
          <w:rFonts w:ascii="Times New Roman" w:eastAsia="Times New Roman" w:hAnsi="Times New Roman" w:cs="Times New Roman"/>
          <w:snapToGrid w:val="0"/>
          <w:color w:val="000000"/>
          <w:sz w:val="24"/>
          <w:szCs w:val="20"/>
        </w:rPr>
      </w:pPr>
      <w:r>
        <w:rPr>
          <w:rFonts w:ascii="Times New Roman" w:hAnsi="Times New Roman" w:cs="Times New Roman"/>
          <w:sz w:val="24"/>
          <w:szCs w:val="24"/>
        </w:rPr>
        <w:t>percentage of salaries and wages, this percentage will need to be justified by the</w:t>
      </w:r>
      <w:r w:rsidR="00A9023C">
        <w:rPr>
          <w:rFonts w:ascii="Times New Roman" w:hAnsi="Times New Roman" w:cs="Times New Roman"/>
          <w:sz w:val="24"/>
          <w:szCs w:val="24"/>
        </w:rPr>
        <w:t xml:space="preserve"> </w:t>
      </w:r>
      <w:r w:rsidRPr="00294AEB">
        <w:rPr>
          <w:rFonts w:ascii="Times New Roman" w:eastAsia="TimesNewRomanPSMT" w:hAnsi="Times New Roman" w:cs="Times New Roman"/>
          <w:sz w:val="24"/>
          <w:szCs w:val="24"/>
        </w:rPr>
        <w:t>entity’s written internal policy or documented on their Negotiated Indirect Cost</w:t>
      </w:r>
      <w:r w:rsidR="00A9023C">
        <w:rPr>
          <w:rFonts w:ascii="Times New Roman" w:eastAsia="TimesNewRomanPSMT" w:hAnsi="Times New Roman" w:cs="Times New Roman"/>
          <w:sz w:val="24"/>
          <w:szCs w:val="24"/>
        </w:rPr>
        <w:t xml:space="preserve"> </w:t>
      </w:r>
      <w:r>
        <w:rPr>
          <w:rFonts w:ascii="Times New Roman" w:hAnsi="Times New Roman" w:cs="Times New Roman"/>
          <w:sz w:val="24"/>
          <w:szCs w:val="24"/>
        </w:rPr>
        <w:t>Rate Agreement (NICRA).</w:t>
      </w:r>
    </w:p>
    <w:p w14:paraId="46A391A9" w14:textId="77777777" w:rsidR="00CD5DF6" w:rsidRPr="00752BF3" w:rsidRDefault="00CD5DF6" w:rsidP="00CD5D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0C17DD29" w14:textId="77777777" w:rsidR="00CD5DF6" w:rsidRDefault="00CD5DF6" w:rsidP="00A9023C">
      <w:pPr>
        <w:widowControl/>
        <w:autoSpaceDE w:val="0"/>
        <w:autoSpaceDN w:val="0"/>
        <w:adjustRightInd w:val="0"/>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C. Travel</w:t>
      </w:r>
      <w:r w:rsidRPr="00752BF3">
        <w:rPr>
          <w:rFonts w:ascii="Times New Roman" w:eastAsia="Times New Roman" w:hAnsi="Times New Roman" w:cs="Times New Roman"/>
          <w:snapToGrid w:val="0"/>
          <w:color w:val="000000"/>
          <w:sz w:val="24"/>
          <w:szCs w:val="20"/>
        </w:rPr>
        <w:t xml:space="preserve"> </w:t>
      </w:r>
      <w:r>
        <w:rPr>
          <w:rFonts w:ascii="Times New Roman" w:eastAsia="Times New Roman" w:hAnsi="Times New Roman" w:cs="Times New Roman"/>
          <w:snapToGrid w:val="0"/>
          <w:color w:val="000000"/>
          <w:sz w:val="24"/>
          <w:szCs w:val="20"/>
        </w:rPr>
        <w:t>–</w:t>
      </w:r>
      <w:r w:rsidRPr="00752BF3">
        <w:rPr>
          <w:rFonts w:ascii="Times New Roman" w:eastAsia="Times New Roman" w:hAnsi="Times New Roman" w:cs="Times New Roman"/>
          <w:snapToGrid w:val="0"/>
          <w:color w:val="000000"/>
          <w:sz w:val="24"/>
          <w:szCs w:val="20"/>
        </w:rPr>
        <w:t xml:space="preserve"> </w:t>
      </w:r>
      <w:r w:rsidR="00294AEB">
        <w:rPr>
          <w:rFonts w:ascii="Times New Roman" w:hAnsi="Times New Roman" w:cs="Times New Roman"/>
          <w:sz w:val="24"/>
          <w:szCs w:val="24"/>
        </w:rPr>
        <w:t>This category includes both domestic and international travel costs. The</w:t>
      </w:r>
      <w:r w:rsidR="00A9023C">
        <w:rPr>
          <w:rFonts w:ascii="Times New Roman" w:hAnsi="Times New Roman" w:cs="Times New Roman"/>
          <w:sz w:val="24"/>
          <w:szCs w:val="24"/>
        </w:rPr>
        <w:t xml:space="preserve"> </w:t>
      </w:r>
      <w:r w:rsidR="00294AEB">
        <w:rPr>
          <w:rFonts w:ascii="Times New Roman" w:hAnsi="Times New Roman" w:cs="Times New Roman"/>
          <w:sz w:val="24"/>
          <w:szCs w:val="24"/>
        </w:rPr>
        <w:t>budget narrative should indicate who will travel, where, and why, and should</w:t>
      </w:r>
      <w:r w:rsidR="00A9023C">
        <w:rPr>
          <w:rFonts w:ascii="Times New Roman" w:hAnsi="Times New Roman" w:cs="Times New Roman"/>
          <w:sz w:val="24"/>
          <w:szCs w:val="24"/>
        </w:rPr>
        <w:t xml:space="preserve"> </w:t>
      </w:r>
      <w:r w:rsidR="00294AEB">
        <w:rPr>
          <w:rFonts w:ascii="Times New Roman" w:hAnsi="Times New Roman" w:cs="Times New Roman"/>
          <w:sz w:val="24"/>
          <w:szCs w:val="24"/>
        </w:rPr>
        <w:t>include estimated air fare (or other mode of transportation), accommodations,</w:t>
      </w:r>
      <w:r w:rsidR="00A9023C">
        <w:rPr>
          <w:rFonts w:ascii="Times New Roman" w:hAnsi="Times New Roman" w:cs="Times New Roman"/>
          <w:sz w:val="24"/>
          <w:szCs w:val="24"/>
        </w:rPr>
        <w:t xml:space="preserve"> </w:t>
      </w:r>
      <w:r w:rsidR="00294AEB">
        <w:rPr>
          <w:rFonts w:ascii="Times New Roman" w:hAnsi="Times New Roman" w:cs="Times New Roman"/>
          <w:sz w:val="24"/>
          <w:szCs w:val="24"/>
        </w:rPr>
        <w:t>meals and incidental expenses, and other costs such as conference fees, visa</w:t>
      </w:r>
      <w:r w:rsidR="00A9023C">
        <w:rPr>
          <w:rFonts w:ascii="Times New Roman" w:hAnsi="Times New Roman" w:cs="Times New Roman"/>
          <w:sz w:val="24"/>
          <w:szCs w:val="24"/>
        </w:rPr>
        <w:t xml:space="preserve"> </w:t>
      </w:r>
      <w:r w:rsidR="00294AEB">
        <w:rPr>
          <w:rFonts w:ascii="Times New Roman" w:hAnsi="Times New Roman" w:cs="Times New Roman"/>
          <w:sz w:val="24"/>
          <w:szCs w:val="24"/>
        </w:rPr>
        <w:t>expenses, and inoculations.</w:t>
      </w:r>
      <w:r w:rsidR="00294AEB">
        <w:rPr>
          <w:rFonts w:ascii="Times New Roman" w:eastAsia="Times New Roman" w:hAnsi="Times New Roman" w:cs="Times New Roman"/>
          <w:snapToGrid w:val="0"/>
          <w:color w:val="000000"/>
          <w:sz w:val="24"/>
          <w:szCs w:val="20"/>
        </w:rPr>
        <w:t xml:space="preserve">  </w:t>
      </w:r>
    </w:p>
    <w:p w14:paraId="0A8C1C6E" w14:textId="77777777" w:rsidR="003D3233" w:rsidRPr="00752BF3" w:rsidRDefault="003D3233" w:rsidP="003D323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color w:val="000000"/>
          <w:sz w:val="24"/>
          <w:szCs w:val="20"/>
        </w:rPr>
      </w:pPr>
    </w:p>
    <w:p w14:paraId="3C2B53B8" w14:textId="77777777" w:rsidR="00CD5DF6" w:rsidRPr="00752BF3" w:rsidRDefault="00CD5DF6" w:rsidP="00CD5D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D. Equipment</w:t>
      </w:r>
      <w:r w:rsidRPr="00752BF3">
        <w:rPr>
          <w:rFonts w:ascii="Times New Roman" w:eastAsia="Times New Roman" w:hAnsi="Times New Roman" w:cs="Times New Roman"/>
          <w:snapToGrid w:val="0"/>
          <w:color w:val="000000"/>
          <w:sz w:val="24"/>
          <w:szCs w:val="20"/>
        </w:rPr>
        <w:t xml:space="preserve"> – </w:t>
      </w:r>
      <w:r>
        <w:rPr>
          <w:rFonts w:ascii="Times New Roman" w:eastAsia="Times New Roman" w:hAnsi="Times New Roman" w:cs="Times New Roman"/>
          <w:snapToGrid w:val="0"/>
          <w:color w:val="000000"/>
          <w:sz w:val="24"/>
          <w:szCs w:val="20"/>
        </w:rPr>
        <w:t>P</w:t>
      </w:r>
      <w:r w:rsidRPr="00752BF3">
        <w:rPr>
          <w:rFonts w:ascii="Times New Roman" w:eastAsia="Times New Roman" w:hAnsi="Times New Roman" w:cs="Times New Roman"/>
          <w:snapToGrid w:val="0"/>
          <w:color w:val="000000"/>
          <w:sz w:val="24"/>
          <w:szCs w:val="20"/>
        </w:rPr>
        <w:t>rovide justification for any equipment purchase/rental, defined as tangible personal property having a useful life of more than one year and an acquisition cost of $5</w:t>
      </w:r>
      <w:r>
        <w:rPr>
          <w:rFonts w:ascii="Times New Roman" w:eastAsia="Times New Roman" w:hAnsi="Times New Roman" w:cs="Times New Roman"/>
          <w:snapToGrid w:val="0"/>
          <w:color w:val="000000"/>
          <w:sz w:val="24"/>
          <w:szCs w:val="20"/>
        </w:rPr>
        <w:t>,</w:t>
      </w:r>
      <w:r w:rsidRPr="00752BF3">
        <w:rPr>
          <w:rFonts w:ascii="Times New Roman" w:eastAsia="Times New Roman" w:hAnsi="Times New Roman" w:cs="Times New Roman"/>
          <w:snapToGrid w:val="0"/>
          <w:color w:val="000000"/>
          <w:sz w:val="24"/>
          <w:szCs w:val="20"/>
        </w:rPr>
        <w:t>000 or more.</w:t>
      </w:r>
    </w:p>
    <w:p w14:paraId="653796AE" w14:textId="77777777" w:rsidR="00CD5DF6" w:rsidRPr="00752BF3" w:rsidRDefault="00CD5DF6" w:rsidP="00CD5D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209C6D13" w14:textId="77777777" w:rsidR="00CD5DF6" w:rsidRPr="00752BF3" w:rsidRDefault="00CD5DF6" w:rsidP="00A9023C">
      <w:pPr>
        <w:widowControl/>
        <w:autoSpaceDE w:val="0"/>
        <w:autoSpaceDN w:val="0"/>
        <w:adjustRightInd w:val="0"/>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E. Supplies</w:t>
      </w:r>
      <w:r>
        <w:rPr>
          <w:rFonts w:ascii="Times New Roman" w:eastAsia="Times New Roman" w:hAnsi="Times New Roman" w:cs="Times New Roman"/>
          <w:snapToGrid w:val="0"/>
          <w:color w:val="000000"/>
          <w:sz w:val="24"/>
          <w:szCs w:val="20"/>
        </w:rPr>
        <w:t xml:space="preserve"> –</w:t>
      </w:r>
      <w:r w:rsidR="003D3233">
        <w:rPr>
          <w:rFonts w:ascii="Times New Roman" w:eastAsia="Times New Roman" w:hAnsi="Times New Roman" w:cs="Times New Roman"/>
          <w:snapToGrid w:val="0"/>
          <w:color w:val="000000"/>
          <w:sz w:val="24"/>
          <w:szCs w:val="20"/>
        </w:rPr>
        <w:t xml:space="preserve"> </w:t>
      </w:r>
      <w:r w:rsidR="003D3233">
        <w:rPr>
          <w:rFonts w:ascii="Times New Roman" w:hAnsi="Times New Roman" w:cs="Times New Roman"/>
          <w:sz w:val="24"/>
          <w:szCs w:val="24"/>
        </w:rPr>
        <w:t>This category includes all tangible personal property other than those</w:t>
      </w:r>
      <w:r w:rsidR="00A9023C">
        <w:rPr>
          <w:rFonts w:ascii="Times New Roman" w:hAnsi="Times New Roman" w:cs="Times New Roman"/>
          <w:sz w:val="24"/>
          <w:szCs w:val="24"/>
        </w:rPr>
        <w:t xml:space="preserve"> </w:t>
      </w:r>
      <w:r w:rsidR="003D3233">
        <w:rPr>
          <w:rFonts w:ascii="Times New Roman" w:hAnsi="Times New Roman" w:cs="Times New Roman"/>
          <w:sz w:val="24"/>
          <w:szCs w:val="24"/>
        </w:rPr>
        <w:t>described as equipment. A computing device is a supply if the acquisition cost is</w:t>
      </w:r>
      <w:r w:rsidR="00A9023C">
        <w:rPr>
          <w:rFonts w:ascii="Times New Roman" w:hAnsi="Times New Roman" w:cs="Times New Roman"/>
          <w:sz w:val="24"/>
          <w:szCs w:val="24"/>
        </w:rPr>
        <w:t xml:space="preserve"> </w:t>
      </w:r>
      <w:r w:rsidR="003D3233">
        <w:rPr>
          <w:rFonts w:ascii="Times New Roman" w:hAnsi="Times New Roman" w:cs="Times New Roman"/>
          <w:sz w:val="24"/>
          <w:szCs w:val="24"/>
        </w:rPr>
        <w:t>less than $5,000, regardless of the length of its useful life. It is important to</w:t>
      </w:r>
      <w:r w:rsidR="00A9023C">
        <w:rPr>
          <w:rFonts w:ascii="Times New Roman" w:hAnsi="Times New Roman" w:cs="Times New Roman"/>
          <w:sz w:val="24"/>
          <w:szCs w:val="24"/>
        </w:rPr>
        <w:t xml:space="preserve"> </w:t>
      </w:r>
      <w:r w:rsidR="003D3233">
        <w:rPr>
          <w:rFonts w:ascii="Times New Roman" w:hAnsi="Times New Roman" w:cs="Times New Roman"/>
          <w:sz w:val="24"/>
          <w:szCs w:val="24"/>
        </w:rPr>
        <w:t>confirm that the proposed supplies are necessary to the project and if the entity has adequate internal property standards.</w:t>
      </w:r>
    </w:p>
    <w:p w14:paraId="2C113FE7" w14:textId="77777777" w:rsidR="00CD5DF6" w:rsidRPr="00752BF3" w:rsidRDefault="00CD5DF6" w:rsidP="00CD5D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2CCD5E21" w14:textId="77777777" w:rsidR="00CD5DF6" w:rsidRPr="00752BF3" w:rsidRDefault="00CD5DF6" w:rsidP="00CD5D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outlineLvl w:val="0"/>
        <w:rPr>
          <w:rFonts w:ascii="Times New Roman" w:eastAsia="Times New Roman" w:hAnsi="Times New Roman" w:cs="Times New Roman"/>
          <w:snapToGrid w:val="0"/>
          <w:sz w:val="24"/>
          <w:szCs w:val="20"/>
        </w:rPr>
      </w:pPr>
      <w:r w:rsidRPr="00752BF3">
        <w:rPr>
          <w:rFonts w:ascii="Times New Roman" w:eastAsia="Times New Roman" w:hAnsi="Times New Roman" w:cs="Times New Roman"/>
          <w:b/>
          <w:bCs/>
          <w:snapToGrid w:val="0"/>
          <w:sz w:val="24"/>
          <w:szCs w:val="20"/>
        </w:rPr>
        <w:t>F. Contractual</w:t>
      </w:r>
      <w:r w:rsidRPr="00752BF3">
        <w:rPr>
          <w:rFonts w:ascii="Times New Roman" w:eastAsia="Times New Roman" w:hAnsi="Times New Roman" w:cs="Times New Roman"/>
          <w:snapToGrid w:val="0"/>
          <w:sz w:val="24"/>
          <w:szCs w:val="20"/>
        </w:rPr>
        <w:t xml:space="preserve">  </w:t>
      </w:r>
    </w:p>
    <w:p w14:paraId="5DA0F054" w14:textId="77777777" w:rsidR="003D3233" w:rsidRDefault="00CD5DF6" w:rsidP="003D3233">
      <w:pPr>
        <w:widowControl/>
        <w:autoSpaceDE w:val="0"/>
        <w:autoSpaceDN w:val="0"/>
        <w:adjustRightInd w:val="0"/>
        <w:spacing w:after="0" w:line="240" w:lineRule="auto"/>
        <w:rPr>
          <w:rFonts w:ascii="Times New Roman" w:hAnsi="Times New Roman" w:cs="Times New Roman"/>
          <w:sz w:val="24"/>
          <w:szCs w:val="24"/>
        </w:rPr>
      </w:pPr>
      <w:r w:rsidRPr="00752BF3">
        <w:rPr>
          <w:rFonts w:ascii="Times New Roman" w:eastAsia="Times New Roman" w:hAnsi="Times New Roman" w:cs="Times New Roman"/>
          <w:b/>
          <w:snapToGrid w:val="0"/>
          <w:sz w:val="24"/>
          <w:szCs w:val="20"/>
        </w:rPr>
        <w:t>a)</w:t>
      </w:r>
      <w:r w:rsidRPr="00752BF3">
        <w:rPr>
          <w:rFonts w:ascii="Times New Roman" w:eastAsia="Times New Roman" w:hAnsi="Times New Roman" w:cs="Times New Roman"/>
          <w:snapToGrid w:val="0"/>
          <w:sz w:val="24"/>
          <w:szCs w:val="20"/>
        </w:rPr>
        <w:t xml:space="preserve"> </w:t>
      </w:r>
      <w:r w:rsidRPr="00752BF3">
        <w:rPr>
          <w:rFonts w:ascii="Times New Roman" w:eastAsia="Times New Roman" w:hAnsi="Times New Roman" w:cs="Times New Roman"/>
          <w:b/>
          <w:snapToGrid w:val="0"/>
          <w:sz w:val="24"/>
          <w:szCs w:val="20"/>
        </w:rPr>
        <w:t>Sub</w:t>
      </w:r>
      <w:r w:rsidR="003D3233">
        <w:rPr>
          <w:rFonts w:ascii="Times New Roman" w:eastAsia="Times New Roman" w:hAnsi="Times New Roman" w:cs="Times New Roman"/>
          <w:b/>
          <w:snapToGrid w:val="0"/>
          <w:sz w:val="24"/>
          <w:szCs w:val="20"/>
        </w:rPr>
        <w:t>-award:</w:t>
      </w:r>
      <w:r w:rsidRPr="00752BF3">
        <w:rPr>
          <w:rFonts w:ascii="Times New Roman" w:eastAsia="Times New Roman" w:hAnsi="Times New Roman" w:cs="Times New Roman"/>
          <w:snapToGrid w:val="0"/>
          <w:sz w:val="24"/>
          <w:szCs w:val="20"/>
        </w:rPr>
        <w:t xml:space="preserve"> </w:t>
      </w:r>
      <w:r>
        <w:rPr>
          <w:rFonts w:ascii="Times New Roman" w:eastAsia="Times New Roman" w:hAnsi="Times New Roman" w:cs="Times New Roman"/>
          <w:snapToGrid w:val="0"/>
          <w:sz w:val="24"/>
          <w:szCs w:val="20"/>
        </w:rPr>
        <w:t xml:space="preserve"> </w:t>
      </w:r>
      <w:r w:rsidR="003D3233">
        <w:rPr>
          <w:rFonts w:ascii="Times New Roman" w:eastAsia="Times New Roman" w:hAnsi="Times New Roman" w:cs="Times New Roman"/>
          <w:snapToGrid w:val="0"/>
          <w:sz w:val="24"/>
          <w:szCs w:val="20"/>
        </w:rPr>
        <w:t>a</w:t>
      </w:r>
      <w:r w:rsidR="003D3233">
        <w:rPr>
          <w:rFonts w:ascii="Times New Roman" w:hAnsi="Times New Roman" w:cs="Times New Roman"/>
          <w:sz w:val="24"/>
          <w:szCs w:val="24"/>
        </w:rPr>
        <w:t xml:space="preserve"> sub-award is provided to a sub-recipient for the purpose of carrying out a</w:t>
      </w:r>
    </w:p>
    <w:p w14:paraId="0230A647" w14:textId="77777777" w:rsidR="00CD5DF6" w:rsidRDefault="003D3233" w:rsidP="00E10D76">
      <w:pPr>
        <w:widowControl/>
        <w:autoSpaceDE w:val="0"/>
        <w:autoSpaceDN w:val="0"/>
        <w:adjustRightInd w:val="0"/>
        <w:spacing w:after="0" w:line="240" w:lineRule="auto"/>
        <w:rPr>
          <w:rFonts w:ascii="Times New Roman" w:eastAsia="Times New Roman" w:hAnsi="Times New Roman" w:cs="Times New Roman"/>
          <w:snapToGrid w:val="0"/>
          <w:sz w:val="24"/>
          <w:szCs w:val="20"/>
        </w:rPr>
      </w:pPr>
      <w:r>
        <w:rPr>
          <w:rFonts w:ascii="Times New Roman" w:hAnsi="Times New Roman" w:cs="Times New Roman"/>
          <w:sz w:val="24"/>
          <w:szCs w:val="24"/>
        </w:rPr>
        <w:t>portion of the Federal award. A beneficiary of a program is not considered</w:t>
      </w:r>
      <w:r w:rsidR="00E10D76">
        <w:rPr>
          <w:rFonts w:ascii="Times New Roman" w:hAnsi="Times New Roman" w:cs="Times New Roman"/>
          <w:sz w:val="24"/>
          <w:szCs w:val="24"/>
        </w:rPr>
        <w:t xml:space="preserve"> </w:t>
      </w:r>
      <w:r>
        <w:rPr>
          <w:rFonts w:ascii="Times New Roman" w:hAnsi="Times New Roman" w:cs="Times New Roman"/>
          <w:sz w:val="24"/>
          <w:szCs w:val="24"/>
        </w:rPr>
        <w:t>a sub-recipient. A sub-award may be provided through any form of legal</w:t>
      </w:r>
      <w:r w:rsidR="00E10D76">
        <w:rPr>
          <w:rFonts w:ascii="Times New Roman" w:hAnsi="Times New Roman" w:cs="Times New Roman"/>
          <w:sz w:val="24"/>
          <w:szCs w:val="24"/>
        </w:rPr>
        <w:t xml:space="preserve"> </w:t>
      </w:r>
      <w:r>
        <w:rPr>
          <w:rFonts w:ascii="Times New Roman" w:hAnsi="Times New Roman" w:cs="Times New Roman"/>
          <w:sz w:val="24"/>
          <w:szCs w:val="24"/>
        </w:rPr>
        <w:t>agreement, including an agreement that the prime recipient entity</w:t>
      </w:r>
      <w:r w:rsidR="00E10D76">
        <w:rPr>
          <w:rFonts w:ascii="Times New Roman" w:hAnsi="Times New Roman" w:cs="Times New Roman"/>
          <w:sz w:val="24"/>
          <w:szCs w:val="24"/>
        </w:rPr>
        <w:t xml:space="preserve"> </w:t>
      </w:r>
      <w:r>
        <w:rPr>
          <w:rFonts w:ascii="Times New Roman" w:hAnsi="Times New Roman" w:cs="Times New Roman"/>
          <w:sz w:val="24"/>
          <w:szCs w:val="24"/>
        </w:rPr>
        <w:t>considers a contract.</w:t>
      </w:r>
      <w:r w:rsidR="00E10D76">
        <w:rPr>
          <w:rFonts w:ascii="Times New Roman" w:hAnsi="Times New Roman" w:cs="Times New Roman"/>
          <w:sz w:val="24"/>
          <w:szCs w:val="24"/>
        </w:rPr>
        <w:t xml:space="preserve"> F</w:t>
      </w:r>
      <w:r w:rsidR="00CD5DF6" w:rsidRPr="00752BF3">
        <w:rPr>
          <w:rFonts w:ascii="Times New Roman" w:eastAsia="Times New Roman" w:hAnsi="Times New Roman" w:cs="Times New Roman"/>
          <w:snapToGrid w:val="0"/>
          <w:sz w:val="24"/>
          <w:szCs w:val="20"/>
        </w:rPr>
        <w:t>or each sub</w:t>
      </w:r>
      <w:r>
        <w:rPr>
          <w:rFonts w:ascii="Times New Roman" w:eastAsia="Times New Roman" w:hAnsi="Times New Roman" w:cs="Times New Roman"/>
          <w:snapToGrid w:val="0"/>
          <w:sz w:val="24"/>
          <w:szCs w:val="20"/>
        </w:rPr>
        <w:t>-award</w:t>
      </w:r>
      <w:r w:rsidR="00CD5DF6">
        <w:rPr>
          <w:rFonts w:ascii="Times New Roman" w:eastAsia="Times New Roman" w:hAnsi="Times New Roman" w:cs="Times New Roman"/>
          <w:snapToGrid w:val="0"/>
          <w:sz w:val="24"/>
          <w:szCs w:val="20"/>
        </w:rPr>
        <w:t>,</w:t>
      </w:r>
      <w:r w:rsidR="00CD5DF6" w:rsidRPr="00752BF3">
        <w:rPr>
          <w:rFonts w:ascii="Times New Roman" w:eastAsia="Times New Roman" w:hAnsi="Times New Roman" w:cs="Times New Roman"/>
          <w:snapToGrid w:val="0"/>
          <w:sz w:val="24"/>
          <w:szCs w:val="20"/>
        </w:rPr>
        <w:t xml:space="preserve"> please provide a detailed line-item budget breakdown</w:t>
      </w:r>
      <w:r w:rsidR="00CD5DF6">
        <w:rPr>
          <w:rFonts w:ascii="Times New Roman" w:eastAsia="Times New Roman" w:hAnsi="Times New Roman" w:cs="Times New Roman"/>
          <w:snapToGrid w:val="0"/>
          <w:sz w:val="24"/>
          <w:szCs w:val="20"/>
        </w:rPr>
        <w:t>,</w:t>
      </w:r>
      <w:r w:rsidR="00CD5DF6" w:rsidRPr="00752BF3">
        <w:rPr>
          <w:rFonts w:ascii="Times New Roman" w:eastAsia="Times New Roman" w:hAnsi="Times New Roman" w:cs="Times New Roman"/>
          <w:snapToGrid w:val="0"/>
          <w:sz w:val="24"/>
          <w:szCs w:val="20"/>
        </w:rPr>
        <w:t xml:space="preserve"> explaining specific services</w:t>
      </w:r>
      <w:r w:rsidR="00CD5DF6">
        <w:rPr>
          <w:rFonts w:ascii="Times New Roman" w:eastAsia="Times New Roman" w:hAnsi="Times New Roman" w:cs="Times New Roman"/>
          <w:snapToGrid w:val="0"/>
          <w:sz w:val="24"/>
          <w:szCs w:val="20"/>
        </w:rPr>
        <w:t>.</w:t>
      </w:r>
      <w:r w:rsidR="00CD5DF6" w:rsidRPr="00752BF3">
        <w:rPr>
          <w:rFonts w:ascii="Times New Roman" w:eastAsia="Times New Roman" w:hAnsi="Times New Roman" w:cs="Times New Roman"/>
          <w:snapToGrid w:val="0"/>
          <w:sz w:val="24"/>
          <w:szCs w:val="20"/>
        </w:rPr>
        <w:t xml:space="preserve"> </w:t>
      </w:r>
    </w:p>
    <w:p w14:paraId="1F67AA84" w14:textId="77777777" w:rsidR="00117566" w:rsidRPr="00752BF3" w:rsidRDefault="00117566" w:rsidP="00E10D76">
      <w:pPr>
        <w:widowControl/>
        <w:autoSpaceDE w:val="0"/>
        <w:autoSpaceDN w:val="0"/>
        <w:adjustRightInd w:val="0"/>
        <w:spacing w:after="0" w:line="240" w:lineRule="auto"/>
        <w:rPr>
          <w:rFonts w:ascii="Times New Roman" w:eastAsia="Times New Roman" w:hAnsi="Times New Roman" w:cs="Times New Roman"/>
          <w:b/>
          <w:snapToGrid w:val="0"/>
          <w:color w:val="000000"/>
          <w:sz w:val="24"/>
          <w:szCs w:val="20"/>
        </w:rPr>
      </w:pPr>
    </w:p>
    <w:p w14:paraId="670550B0" w14:textId="77777777" w:rsidR="00E10D76" w:rsidRDefault="00CD5DF6" w:rsidP="00E10D76">
      <w:pPr>
        <w:widowControl/>
        <w:autoSpaceDE w:val="0"/>
        <w:autoSpaceDN w:val="0"/>
        <w:adjustRightInd w:val="0"/>
        <w:spacing w:after="0" w:line="240" w:lineRule="auto"/>
        <w:rPr>
          <w:rFonts w:ascii="Times New Roman" w:hAnsi="Times New Roman" w:cs="Times New Roman"/>
          <w:sz w:val="24"/>
          <w:szCs w:val="24"/>
        </w:rPr>
      </w:pPr>
      <w:r w:rsidRPr="00752BF3">
        <w:rPr>
          <w:rFonts w:ascii="Times New Roman" w:eastAsia="Times New Roman" w:hAnsi="Times New Roman" w:cs="Times New Roman"/>
          <w:b/>
          <w:snapToGrid w:val="0"/>
          <w:sz w:val="24"/>
          <w:szCs w:val="20"/>
        </w:rPr>
        <w:t xml:space="preserve">b) </w:t>
      </w:r>
      <w:r w:rsidR="00E10D76">
        <w:rPr>
          <w:rFonts w:ascii="Times New Roman" w:eastAsia="Times New Roman" w:hAnsi="Times New Roman" w:cs="Times New Roman"/>
          <w:b/>
          <w:snapToGrid w:val="0"/>
          <w:sz w:val="24"/>
          <w:szCs w:val="20"/>
        </w:rPr>
        <w:t>Contract:</w:t>
      </w:r>
      <w:r w:rsidR="00E10D76">
        <w:rPr>
          <w:rFonts w:ascii="Times New Roman" w:eastAsia="Times New Roman" w:hAnsi="Times New Roman" w:cs="Times New Roman"/>
          <w:snapToGrid w:val="0"/>
          <w:color w:val="000000"/>
          <w:sz w:val="24"/>
          <w:szCs w:val="20"/>
        </w:rPr>
        <w:t xml:space="preserve"> </w:t>
      </w:r>
      <w:r w:rsidR="00A9023C">
        <w:rPr>
          <w:rFonts w:ascii="Times New Roman" w:eastAsia="Times New Roman" w:hAnsi="Times New Roman" w:cs="Times New Roman"/>
          <w:snapToGrid w:val="0"/>
          <w:color w:val="000000"/>
          <w:sz w:val="24"/>
          <w:szCs w:val="20"/>
        </w:rPr>
        <w:t>a</w:t>
      </w:r>
      <w:r w:rsidR="00E10D76">
        <w:rPr>
          <w:rFonts w:ascii="Times New Roman" w:hAnsi="Times New Roman" w:cs="Times New Roman"/>
          <w:sz w:val="24"/>
          <w:szCs w:val="24"/>
        </w:rPr>
        <w:t xml:space="preserve"> contract is for the purpose of obtaining goods and services for the non-</w:t>
      </w:r>
    </w:p>
    <w:p w14:paraId="51F54C66" w14:textId="77777777" w:rsidR="00CD5DF6" w:rsidRPr="00752BF3" w:rsidRDefault="00E10D76" w:rsidP="00E10D76">
      <w:pPr>
        <w:widowControl/>
        <w:autoSpaceDE w:val="0"/>
        <w:autoSpaceDN w:val="0"/>
        <w:adjustRightInd w:val="0"/>
        <w:spacing w:after="0" w:line="240" w:lineRule="auto"/>
        <w:rPr>
          <w:rFonts w:ascii="Times New Roman" w:eastAsia="Times New Roman" w:hAnsi="Times New Roman" w:cs="Times New Roman"/>
          <w:snapToGrid w:val="0"/>
          <w:color w:val="000000"/>
          <w:sz w:val="24"/>
          <w:szCs w:val="20"/>
        </w:rPr>
      </w:pPr>
      <w:r w:rsidRPr="00E10D76">
        <w:rPr>
          <w:rFonts w:ascii="Times New Roman" w:hAnsi="Times New Roman" w:cs="Times New Roman"/>
          <w:sz w:val="24"/>
          <w:szCs w:val="24"/>
        </w:rPr>
        <w:t xml:space="preserve">Federal </w:t>
      </w:r>
      <w:r w:rsidRPr="00E10D76">
        <w:rPr>
          <w:rFonts w:ascii="Times New Roman" w:eastAsia="TimesNewRomanPSMT" w:hAnsi="Times New Roman" w:cs="Times New Roman"/>
          <w:sz w:val="24"/>
          <w:szCs w:val="24"/>
        </w:rPr>
        <w:t>entity’s own use and creates a procurement relationship with the</w:t>
      </w:r>
      <w:r>
        <w:rPr>
          <w:rFonts w:ascii="Times New Roman" w:eastAsia="TimesNewRomanPSMT" w:hAnsi="Times New Roman" w:cs="Times New Roman"/>
          <w:sz w:val="24"/>
          <w:szCs w:val="24"/>
        </w:rPr>
        <w:t xml:space="preserve"> s</w:t>
      </w:r>
      <w:r w:rsidRPr="00E10D76">
        <w:rPr>
          <w:rFonts w:ascii="Times New Roman" w:hAnsi="Times New Roman" w:cs="Times New Roman"/>
          <w:sz w:val="24"/>
          <w:szCs w:val="24"/>
        </w:rPr>
        <w:t>ub</w:t>
      </w:r>
      <w:r>
        <w:rPr>
          <w:rFonts w:ascii="Times New Roman" w:hAnsi="Times New Roman" w:cs="Times New Roman"/>
          <w:sz w:val="24"/>
          <w:szCs w:val="24"/>
        </w:rPr>
        <w:t>-</w:t>
      </w:r>
      <w:r w:rsidRPr="00E10D76">
        <w:rPr>
          <w:rFonts w:ascii="Times New Roman" w:hAnsi="Times New Roman" w:cs="Times New Roman"/>
          <w:sz w:val="24"/>
          <w:szCs w:val="24"/>
        </w:rPr>
        <w:t>recipient. A consulting agreement with a consultant or contractor is</w:t>
      </w:r>
      <w:r>
        <w:rPr>
          <w:rFonts w:ascii="Times New Roman" w:hAnsi="Times New Roman" w:cs="Times New Roman"/>
          <w:sz w:val="24"/>
          <w:szCs w:val="24"/>
        </w:rPr>
        <w:t xml:space="preserve"> generally considered a contract.</w:t>
      </w:r>
      <w:r w:rsidR="00CD5DF6" w:rsidRPr="00752BF3">
        <w:rPr>
          <w:rFonts w:ascii="Times New Roman" w:eastAsia="Times New Roman" w:hAnsi="Times New Roman" w:cs="Times New Roman"/>
          <w:snapToGrid w:val="0"/>
          <w:color w:val="000000"/>
          <w:sz w:val="24"/>
          <w:szCs w:val="20"/>
        </w:rPr>
        <w:t xml:space="preserve"> </w:t>
      </w:r>
      <w:r w:rsidR="00CD5DF6">
        <w:rPr>
          <w:rFonts w:ascii="Times New Roman" w:eastAsia="Times New Roman" w:hAnsi="Times New Roman" w:cs="Times New Roman"/>
          <w:snapToGrid w:val="0"/>
          <w:color w:val="000000"/>
          <w:sz w:val="24"/>
          <w:szCs w:val="20"/>
        </w:rPr>
        <w:t xml:space="preserve"> Costs may include</w:t>
      </w:r>
      <w:r w:rsidR="00CD5DF6" w:rsidRPr="00752BF3">
        <w:rPr>
          <w:rFonts w:ascii="Times New Roman" w:eastAsia="Times New Roman" w:hAnsi="Times New Roman" w:cs="Times New Roman"/>
          <w:snapToGrid w:val="0"/>
          <w:color w:val="000000"/>
          <w:sz w:val="24"/>
          <w:szCs w:val="20"/>
        </w:rPr>
        <w:t xml:space="preserve"> lecture fees, honoraria, travel, and per diem for outside speakers or independent evaluators</w:t>
      </w:r>
      <w:r w:rsidR="00CD5DF6">
        <w:rPr>
          <w:rFonts w:ascii="Times New Roman" w:eastAsia="Times New Roman" w:hAnsi="Times New Roman" w:cs="Times New Roman"/>
          <w:snapToGrid w:val="0"/>
          <w:color w:val="000000"/>
          <w:sz w:val="24"/>
          <w:szCs w:val="20"/>
        </w:rPr>
        <w:t>.  L</w:t>
      </w:r>
      <w:r w:rsidR="00CD5DF6" w:rsidRPr="00752BF3">
        <w:rPr>
          <w:rFonts w:ascii="Times New Roman" w:eastAsia="Times New Roman" w:hAnsi="Times New Roman" w:cs="Times New Roman"/>
          <w:snapToGrid w:val="0"/>
          <w:color w:val="000000"/>
          <w:sz w:val="24"/>
          <w:szCs w:val="20"/>
        </w:rPr>
        <w:t xml:space="preserve">ist </w:t>
      </w:r>
      <w:r w:rsidR="00CD5DF6">
        <w:rPr>
          <w:rFonts w:ascii="Times New Roman" w:eastAsia="Times New Roman" w:hAnsi="Times New Roman" w:cs="Times New Roman"/>
          <w:snapToGrid w:val="0"/>
          <w:color w:val="000000"/>
          <w:sz w:val="24"/>
          <w:szCs w:val="20"/>
        </w:rPr>
        <w:t xml:space="preserve">the </w:t>
      </w:r>
      <w:r w:rsidR="00CD5DF6" w:rsidRPr="00752BF3">
        <w:rPr>
          <w:rFonts w:ascii="Times New Roman" w:eastAsia="Times New Roman" w:hAnsi="Times New Roman" w:cs="Times New Roman"/>
          <w:snapToGrid w:val="0"/>
          <w:color w:val="000000"/>
          <w:sz w:val="24"/>
          <w:szCs w:val="20"/>
        </w:rPr>
        <w:t xml:space="preserve">number of people and rates per day (e.g., 2 </w:t>
      </w:r>
      <w:r w:rsidR="00CD5DF6">
        <w:rPr>
          <w:rFonts w:ascii="Times New Roman" w:eastAsia="Times New Roman" w:hAnsi="Times New Roman" w:cs="Times New Roman"/>
          <w:snapToGrid w:val="0"/>
          <w:color w:val="000000"/>
          <w:sz w:val="24"/>
          <w:szCs w:val="20"/>
        </w:rPr>
        <w:t xml:space="preserve">consultants </w:t>
      </w:r>
      <w:r w:rsidR="00CD5DF6" w:rsidRPr="00752BF3">
        <w:rPr>
          <w:rFonts w:ascii="Times New Roman" w:eastAsia="Times New Roman" w:hAnsi="Times New Roman" w:cs="Times New Roman"/>
          <w:snapToGrid w:val="0"/>
          <w:color w:val="000000"/>
          <w:sz w:val="24"/>
          <w:szCs w:val="20"/>
        </w:rPr>
        <w:t>x $150/day x 2 days).</w:t>
      </w:r>
    </w:p>
    <w:p w14:paraId="4A80C470" w14:textId="77777777" w:rsidR="00A9023C" w:rsidRPr="00752BF3" w:rsidRDefault="00A9023C" w:rsidP="00CD5D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48FCDF4B" w14:textId="7A1AD2A1" w:rsidR="00CD5DF6" w:rsidRDefault="00CD5DF6" w:rsidP="00D36268">
      <w:pPr>
        <w:widowControl/>
        <w:autoSpaceDE w:val="0"/>
        <w:autoSpaceDN w:val="0"/>
        <w:adjustRightInd w:val="0"/>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t>G. Other</w:t>
      </w:r>
      <w:r>
        <w:rPr>
          <w:rFonts w:ascii="Times New Roman" w:eastAsia="Times New Roman" w:hAnsi="Times New Roman" w:cs="Times New Roman"/>
          <w:b/>
          <w:snapToGrid w:val="0"/>
          <w:color w:val="000000"/>
          <w:sz w:val="24"/>
          <w:szCs w:val="20"/>
        </w:rPr>
        <w:t xml:space="preserve"> Direct Costs</w:t>
      </w:r>
      <w:r w:rsidRPr="00752BF3">
        <w:rPr>
          <w:rFonts w:ascii="Times New Roman" w:eastAsia="Times New Roman" w:hAnsi="Times New Roman" w:cs="Times New Roman"/>
          <w:b/>
          <w:snapToGrid w:val="0"/>
          <w:color w:val="000000"/>
          <w:sz w:val="24"/>
          <w:szCs w:val="20"/>
        </w:rPr>
        <w:t xml:space="preserve"> </w:t>
      </w:r>
      <w:r>
        <w:rPr>
          <w:rFonts w:ascii="Times New Roman" w:eastAsia="Times New Roman" w:hAnsi="Times New Roman" w:cs="Times New Roman"/>
          <w:snapToGrid w:val="0"/>
          <w:color w:val="000000"/>
          <w:sz w:val="24"/>
          <w:szCs w:val="20"/>
        </w:rPr>
        <w:t>–</w:t>
      </w:r>
      <w:r w:rsidRPr="00752BF3">
        <w:rPr>
          <w:rFonts w:ascii="Times New Roman" w:eastAsia="Times New Roman" w:hAnsi="Times New Roman" w:cs="Times New Roman"/>
          <w:snapToGrid w:val="0"/>
          <w:color w:val="000000"/>
          <w:sz w:val="24"/>
          <w:szCs w:val="20"/>
        </w:rPr>
        <w:t xml:space="preserve"> </w:t>
      </w:r>
      <w:r w:rsidR="00D36268">
        <w:rPr>
          <w:rFonts w:ascii="Times New Roman" w:hAnsi="Times New Roman" w:cs="Times New Roman"/>
          <w:sz w:val="24"/>
          <w:szCs w:val="24"/>
        </w:rPr>
        <w:t xml:space="preserve">Other directs costs are any costs not included in the other categories. This </w:t>
      </w:r>
      <w:r w:rsidR="00D36268" w:rsidRPr="00D36268">
        <w:rPr>
          <w:rFonts w:ascii="Times New Roman" w:hAnsi="Times New Roman" w:cs="Times New Roman"/>
          <w:sz w:val="24"/>
          <w:szCs w:val="24"/>
        </w:rPr>
        <w:t>c</w:t>
      </w:r>
      <w:r w:rsidR="00D36268" w:rsidRPr="00D36268">
        <w:rPr>
          <w:rFonts w:ascii="Times New Roman" w:eastAsia="TimesNewRomanPSMT" w:hAnsi="Times New Roman" w:cs="Times New Roman"/>
          <w:sz w:val="24"/>
          <w:szCs w:val="24"/>
        </w:rPr>
        <w:t>ategory may include the entity’s operating expenses that are</w:t>
      </w:r>
      <w:r w:rsidR="00D36268">
        <w:rPr>
          <w:rFonts w:ascii="Times New Roman" w:eastAsia="TimesNewRomanPSMT" w:hAnsi="Times New Roman" w:cs="Times New Roman"/>
          <w:sz w:val="24"/>
          <w:szCs w:val="24"/>
        </w:rPr>
        <w:t xml:space="preserve"> </w:t>
      </w:r>
      <w:r w:rsidR="00D36268">
        <w:rPr>
          <w:rFonts w:ascii="Times New Roman" w:hAnsi="Times New Roman" w:cs="Times New Roman"/>
          <w:sz w:val="24"/>
          <w:szCs w:val="24"/>
        </w:rPr>
        <w:t>directly linked to the award but not included as an indirect cost.</w:t>
      </w:r>
      <w:r w:rsidR="00D36268">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 xml:space="preserve">The inclusion of each </w:t>
      </w:r>
      <w:r>
        <w:rPr>
          <w:rFonts w:ascii="Times New Roman" w:eastAsia="Times New Roman" w:hAnsi="Times New Roman" w:cs="Times New Roman"/>
          <w:snapToGrid w:val="0"/>
          <w:color w:val="000000"/>
          <w:sz w:val="24"/>
          <w:szCs w:val="20"/>
        </w:rPr>
        <w:t xml:space="preserve">line item </w:t>
      </w:r>
      <w:r w:rsidRPr="00752BF3">
        <w:rPr>
          <w:rFonts w:ascii="Times New Roman" w:eastAsia="Times New Roman" w:hAnsi="Times New Roman" w:cs="Times New Roman"/>
          <w:snapToGrid w:val="0"/>
          <w:color w:val="000000"/>
          <w:sz w:val="24"/>
          <w:szCs w:val="20"/>
        </w:rPr>
        <w:t xml:space="preserve">should be justified in the </w:t>
      </w:r>
      <w:r w:rsidRPr="00752BF3">
        <w:rPr>
          <w:rFonts w:ascii="Times New Roman" w:eastAsia="Times New Roman" w:hAnsi="Times New Roman" w:cs="Times New Roman"/>
          <w:snapToGrid w:val="0"/>
          <w:color w:val="000000"/>
          <w:sz w:val="24"/>
          <w:szCs w:val="20"/>
        </w:rPr>
        <w:lastRenderedPageBreak/>
        <w:t xml:space="preserve">budget narrative. </w:t>
      </w:r>
      <w:r>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All costs must be allowable, allocable, and reasonable.  Line items such as “Miscellaneous</w:t>
      </w:r>
      <w:r>
        <w:rPr>
          <w:rFonts w:ascii="Times New Roman" w:eastAsia="Times New Roman" w:hAnsi="Times New Roman" w:cs="Times New Roman"/>
          <w:snapToGrid w:val="0"/>
          <w:color w:val="000000"/>
          <w:sz w:val="24"/>
          <w:szCs w:val="20"/>
        </w:rPr>
        <w:t>,</w:t>
      </w:r>
      <w:r w:rsidRPr="00752BF3">
        <w:rPr>
          <w:rFonts w:ascii="Times New Roman" w:eastAsia="Times New Roman" w:hAnsi="Times New Roman" w:cs="Times New Roman"/>
          <w:snapToGrid w:val="0"/>
          <w:color w:val="000000"/>
          <w:sz w:val="24"/>
          <w:szCs w:val="20"/>
        </w:rPr>
        <w:t xml:space="preserve">” </w:t>
      </w:r>
      <w:r>
        <w:rPr>
          <w:rFonts w:ascii="Times New Roman" w:eastAsia="Times New Roman" w:hAnsi="Times New Roman" w:cs="Times New Roman"/>
          <w:snapToGrid w:val="0"/>
          <w:color w:val="000000"/>
          <w:sz w:val="24"/>
          <w:szCs w:val="20"/>
        </w:rPr>
        <w:t xml:space="preserve">“Contingency Fund,” </w:t>
      </w:r>
      <w:r w:rsidRPr="00752BF3">
        <w:rPr>
          <w:rFonts w:ascii="Times New Roman" w:eastAsia="Times New Roman" w:hAnsi="Times New Roman" w:cs="Times New Roman"/>
          <w:snapToGrid w:val="0"/>
          <w:color w:val="000000"/>
          <w:sz w:val="24"/>
          <w:szCs w:val="20"/>
        </w:rPr>
        <w:t xml:space="preserve">and “Reserve Fund” </w:t>
      </w:r>
      <w:r w:rsidRPr="00A20EDE">
        <w:rPr>
          <w:rFonts w:ascii="Times New Roman" w:eastAsia="Times New Roman" w:hAnsi="Times New Roman" w:cs="Times New Roman"/>
          <w:b/>
          <w:snapToGrid w:val="0"/>
          <w:color w:val="000000"/>
          <w:sz w:val="24"/>
          <w:szCs w:val="20"/>
        </w:rPr>
        <w:t xml:space="preserve">are not </w:t>
      </w:r>
      <w:r w:rsidR="00A20EDE">
        <w:rPr>
          <w:rFonts w:ascii="Times New Roman" w:eastAsia="Times New Roman" w:hAnsi="Times New Roman" w:cs="Times New Roman"/>
          <w:b/>
          <w:snapToGrid w:val="0"/>
          <w:color w:val="000000"/>
          <w:sz w:val="24"/>
          <w:szCs w:val="20"/>
        </w:rPr>
        <w:t>allowed</w:t>
      </w:r>
      <w:r w:rsidRPr="00752BF3">
        <w:rPr>
          <w:rFonts w:ascii="Times New Roman" w:eastAsia="Times New Roman" w:hAnsi="Times New Roman" w:cs="Times New Roman"/>
          <w:snapToGrid w:val="0"/>
          <w:color w:val="000000"/>
          <w:sz w:val="24"/>
          <w:szCs w:val="20"/>
        </w:rPr>
        <w:t>.</w:t>
      </w:r>
    </w:p>
    <w:p w14:paraId="280F1B96" w14:textId="77777777" w:rsidR="00CD5DF6" w:rsidRPr="00752BF3" w:rsidRDefault="00CD5DF6" w:rsidP="00CD5D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66A20D13" w14:textId="77777777" w:rsidR="003D4311" w:rsidRDefault="00CD5DF6" w:rsidP="003D4311">
      <w:pPr>
        <w:widowControl/>
        <w:autoSpaceDE w:val="0"/>
        <w:autoSpaceDN w:val="0"/>
        <w:adjustRightInd w:val="0"/>
        <w:spacing w:after="0" w:line="240" w:lineRule="auto"/>
        <w:rPr>
          <w:rFonts w:ascii="Times New Roman" w:hAnsi="Times New Roman" w:cs="Times New Roman"/>
          <w:sz w:val="24"/>
          <w:szCs w:val="24"/>
        </w:rPr>
      </w:pPr>
      <w:r w:rsidRPr="00752BF3">
        <w:rPr>
          <w:rFonts w:ascii="Times New Roman" w:eastAsia="Times New Roman" w:hAnsi="Times New Roman" w:cs="Times New Roman"/>
          <w:b/>
          <w:snapToGrid w:val="0"/>
          <w:color w:val="000000"/>
          <w:sz w:val="24"/>
          <w:szCs w:val="20"/>
        </w:rPr>
        <w:t>H. Indirect Charges</w:t>
      </w:r>
      <w:r w:rsidR="003D4311">
        <w:rPr>
          <w:rFonts w:ascii="Times New Roman" w:eastAsia="Times New Roman" w:hAnsi="Times New Roman" w:cs="Times New Roman"/>
          <w:snapToGrid w:val="0"/>
          <w:color w:val="000000"/>
          <w:sz w:val="24"/>
          <w:szCs w:val="20"/>
        </w:rPr>
        <w:t xml:space="preserve">: </w:t>
      </w:r>
      <w:r w:rsidR="003D4311">
        <w:rPr>
          <w:rFonts w:ascii="Times New Roman" w:hAnsi="Times New Roman" w:cs="Times New Roman"/>
          <w:sz w:val="24"/>
          <w:szCs w:val="24"/>
        </w:rPr>
        <w:t>Indirect costs are those that have been incurred for common or joint objectives and cannot be readily identified with a particular final cost objective. Indirect costs are not allowable costs for Federal financial assistance awarded directly to individuals. All allowable costs for awards to individuals must be direct costs only. Indirect costs do not generally include the costs of personnel who work for the recipient organization and are working directly on the project.</w:t>
      </w:r>
    </w:p>
    <w:p w14:paraId="71DC8BF5" w14:textId="77777777" w:rsidR="003D4311" w:rsidRDefault="003D4311" w:rsidP="003D4311">
      <w:pPr>
        <w:widowControl/>
        <w:autoSpaceDE w:val="0"/>
        <w:autoSpaceDN w:val="0"/>
        <w:adjustRightInd w:val="0"/>
        <w:spacing w:after="0" w:line="240" w:lineRule="auto"/>
        <w:rPr>
          <w:rFonts w:ascii="Times New Roman" w:hAnsi="Times New Roman" w:cs="Times New Roman"/>
          <w:sz w:val="24"/>
          <w:szCs w:val="24"/>
        </w:rPr>
      </w:pPr>
    </w:p>
    <w:p w14:paraId="34F23216" w14:textId="77777777" w:rsidR="003D4311" w:rsidRDefault="003D4311" w:rsidP="003D4311">
      <w:pPr>
        <w:widowControl/>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Indirect costs, often called overhead, or facilities and administrative costs, may only be charged to a Federal award that is subject to 2 CFR §200, Subpart E when:</w:t>
      </w:r>
    </w:p>
    <w:p w14:paraId="4A78480A" w14:textId="77777777" w:rsidR="003D4311" w:rsidRDefault="003D4311" w:rsidP="003D4311">
      <w:pPr>
        <w:widowControl/>
        <w:autoSpaceDE w:val="0"/>
        <w:autoSpaceDN w:val="0"/>
        <w:adjustRightInd w:val="0"/>
        <w:spacing w:after="0" w:line="240" w:lineRule="auto"/>
        <w:rPr>
          <w:rFonts w:ascii="Times New Roman" w:hAnsi="Times New Roman" w:cs="Times New Roman"/>
          <w:sz w:val="24"/>
          <w:szCs w:val="24"/>
        </w:rPr>
      </w:pPr>
      <w:r>
        <w:rPr>
          <w:rFonts w:ascii="SymbolMT" w:eastAsia="SymbolMT" w:hAnsi="Times New Roman" w:cs="SymbolMT" w:hint="eastAsia"/>
          <w:sz w:val="24"/>
          <w:szCs w:val="24"/>
        </w:rPr>
        <w:t></w:t>
      </w:r>
      <w:r>
        <w:rPr>
          <w:rFonts w:ascii="SymbolMT" w:eastAsia="SymbolMT" w:hAnsi="Times New Roman" w:cs="SymbolMT"/>
          <w:sz w:val="24"/>
          <w:szCs w:val="24"/>
        </w:rPr>
        <w:t xml:space="preserve"> </w:t>
      </w:r>
      <w:r w:rsidR="00594F55" w:rsidRPr="00594F55">
        <w:rPr>
          <w:rFonts w:ascii="Times New Roman" w:eastAsia="SymbolMT" w:hAnsi="Times New Roman" w:cs="Times New Roman"/>
          <w:sz w:val="24"/>
          <w:szCs w:val="24"/>
        </w:rPr>
        <w:t>T</w:t>
      </w:r>
      <w:r w:rsidRPr="00594F55">
        <w:rPr>
          <w:rFonts w:ascii="Times New Roman" w:hAnsi="Times New Roman" w:cs="Times New Roman"/>
          <w:sz w:val="24"/>
          <w:szCs w:val="24"/>
        </w:rPr>
        <w:t>h</w:t>
      </w:r>
      <w:r>
        <w:rPr>
          <w:rFonts w:ascii="Times New Roman" w:hAnsi="Times New Roman" w:cs="Times New Roman"/>
          <w:sz w:val="24"/>
          <w:szCs w:val="24"/>
        </w:rPr>
        <w:t>e applicant has a current Negotiated Indirect Cost Rate Agreement (NICRA). However,</w:t>
      </w:r>
      <w:r w:rsidR="00594F55">
        <w:rPr>
          <w:rFonts w:ascii="Times New Roman" w:hAnsi="Times New Roman" w:cs="Times New Roman"/>
          <w:sz w:val="24"/>
          <w:szCs w:val="24"/>
        </w:rPr>
        <w:t xml:space="preserve"> an </w:t>
      </w:r>
      <w:r>
        <w:rPr>
          <w:rFonts w:ascii="Times New Roman" w:hAnsi="Times New Roman" w:cs="Times New Roman"/>
          <w:sz w:val="24"/>
          <w:szCs w:val="24"/>
        </w:rPr>
        <w:t>organization may choose to voluntarily reduce the amount of NICRA charged to the award in order to be more cost-effective and competitive. Documentation of this voluntary reduction should be recorded by the GO and kept in the official Federal award file.</w:t>
      </w:r>
      <w:r w:rsidRPr="003D4311">
        <w:rPr>
          <w:rFonts w:ascii="Times New Roman" w:hAnsi="Times New Roman" w:cs="Times New Roman"/>
          <w:sz w:val="24"/>
          <w:szCs w:val="24"/>
        </w:rPr>
        <w:t xml:space="preserve"> </w:t>
      </w:r>
    </w:p>
    <w:p w14:paraId="03707D81" w14:textId="77777777" w:rsidR="003D4311" w:rsidRDefault="003D4311" w:rsidP="003D4311">
      <w:pPr>
        <w:widowControl/>
        <w:autoSpaceDE w:val="0"/>
        <w:autoSpaceDN w:val="0"/>
        <w:adjustRightInd w:val="0"/>
        <w:spacing w:after="0" w:line="240" w:lineRule="auto"/>
        <w:rPr>
          <w:rFonts w:ascii="Times New Roman" w:eastAsia="SymbolMT" w:hAnsi="Times New Roman" w:cs="Times New Roman"/>
          <w:sz w:val="24"/>
          <w:szCs w:val="24"/>
        </w:rPr>
      </w:pPr>
      <w:r>
        <w:rPr>
          <w:rFonts w:ascii="SymbolMT" w:eastAsia="SymbolMT" w:cs="SymbolMT" w:hint="eastAsia"/>
          <w:sz w:val="24"/>
          <w:szCs w:val="24"/>
        </w:rPr>
        <w:t></w:t>
      </w:r>
      <w:r>
        <w:rPr>
          <w:rFonts w:ascii="SymbolMT" w:eastAsia="SymbolMT" w:cs="SymbolMT"/>
          <w:sz w:val="24"/>
          <w:szCs w:val="24"/>
        </w:rPr>
        <w:t xml:space="preserve"> </w:t>
      </w:r>
      <w:r w:rsidR="00594F55" w:rsidRPr="00594F55">
        <w:rPr>
          <w:rFonts w:ascii="Times New Roman" w:eastAsia="SymbolMT" w:hAnsi="Times New Roman" w:cs="Times New Roman"/>
          <w:sz w:val="24"/>
          <w:szCs w:val="24"/>
        </w:rPr>
        <w:t>T</w:t>
      </w:r>
      <w:r w:rsidRPr="00594F55">
        <w:rPr>
          <w:rFonts w:ascii="Times New Roman" w:eastAsia="SymbolMT" w:hAnsi="Times New Roman" w:cs="Times New Roman"/>
          <w:sz w:val="24"/>
          <w:szCs w:val="24"/>
        </w:rPr>
        <w:t>he</w:t>
      </w:r>
      <w:r>
        <w:rPr>
          <w:rFonts w:ascii="Times New Roman" w:eastAsia="SymbolMT" w:hAnsi="Times New Roman" w:cs="Times New Roman"/>
          <w:sz w:val="24"/>
          <w:szCs w:val="24"/>
        </w:rPr>
        <w:t xml:space="preserve"> applicant elects to charge a de minimis rate of 10% of modified total direct</w:t>
      </w:r>
      <w:r w:rsidR="00594F55">
        <w:rPr>
          <w:rFonts w:ascii="Times New Roman" w:eastAsia="SymbolMT" w:hAnsi="Times New Roman" w:cs="Times New Roman"/>
          <w:sz w:val="24"/>
          <w:szCs w:val="24"/>
        </w:rPr>
        <w:t xml:space="preserve"> </w:t>
      </w:r>
      <w:r>
        <w:rPr>
          <w:rFonts w:ascii="Times New Roman" w:eastAsia="SymbolMT" w:hAnsi="Times New Roman" w:cs="Times New Roman"/>
          <w:sz w:val="24"/>
          <w:szCs w:val="24"/>
        </w:rPr>
        <w:t>costs (MTDC), which is allowable if the entity has never received a NICRA</w:t>
      </w:r>
      <w:r w:rsidR="00594F55">
        <w:rPr>
          <w:rFonts w:ascii="Times New Roman" w:eastAsia="SymbolMT" w:hAnsi="Times New Roman" w:cs="Times New Roman"/>
          <w:sz w:val="24"/>
          <w:szCs w:val="24"/>
        </w:rPr>
        <w:t>,</w:t>
      </w:r>
      <w:r>
        <w:rPr>
          <w:rFonts w:ascii="Times New Roman" w:eastAsia="SymbolMT" w:hAnsi="Times New Roman" w:cs="Times New Roman"/>
          <w:sz w:val="24"/>
          <w:szCs w:val="24"/>
        </w:rPr>
        <w:t xml:space="preserve"> </w:t>
      </w:r>
      <w:r w:rsidR="00594F55">
        <w:rPr>
          <w:rFonts w:ascii="Times New Roman" w:eastAsia="SymbolMT" w:hAnsi="Times New Roman" w:cs="Times New Roman"/>
          <w:sz w:val="24"/>
          <w:szCs w:val="24"/>
        </w:rPr>
        <w:t>t</w:t>
      </w:r>
      <w:r>
        <w:rPr>
          <w:rFonts w:ascii="Times New Roman" w:hAnsi="Times New Roman" w:cs="Times New Roman"/>
          <w:sz w:val="24"/>
          <w:szCs w:val="24"/>
        </w:rPr>
        <w:t>he MTDC base excludes</w:t>
      </w:r>
      <w:r w:rsidR="00594F55">
        <w:rPr>
          <w:rFonts w:ascii="Times New Roman" w:hAnsi="Times New Roman" w:cs="Times New Roman"/>
          <w:sz w:val="24"/>
          <w:szCs w:val="24"/>
        </w:rPr>
        <w:t>:</w:t>
      </w:r>
      <w:r>
        <w:rPr>
          <w:rFonts w:ascii="Times New Roman" w:hAnsi="Times New Roman" w:cs="Times New Roman"/>
          <w:sz w:val="24"/>
          <w:szCs w:val="24"/>
        </w:rPr>
        <w:t xml:space="preserve"> equipment, capital expenditures, charges for patient care, rental costs, tuition remission, scholarships and fellowships, participant support costs and the portion of each sub</w:t>
      </w:r>
      <w:r w:rsidR="00815997">
        <w:rPr>
          <w:rFonts w:ascii="Times New Roman" w:hAnsi="Times New Roman" w:cs="Times New Roman"/>
          <w:sz w:val="24"/>
          <w:szCs w:val="24"/>
        </w:rPr>
        <w:t>-</w:t>
      </w:r>
      <w:r>
        <w:rPr>
          <w:rFonts w:ascii="Times New Roman" w:hAnsi="Times New Roman" w:cs="Times New Roman"/>
          <w:sz w:val="24"/>
          <w:szCs w:val="24"/>
        </w:rPr>
        <w:t xml:space="preserve">award in excess of $25,000. </w:t>
      </w:r>
      <w:r w:rsidR="00815997">
        <w:rPr>
          <w:rFonts w:ascii="Times New Roman" w:hAnsi="Times New Roman" w:cs="Times New Roman"/>
          <w:sz w:val="24"/>
          <w:szCs w:val="24"/>
        </w:rPr>
        <w:t xml:space="preserve">The </w:t>
      </w:r>
      <w:r>
        <w:rPr>
          <w:rFonts w:ascii="Times New Roman" w:hAnsi="Times New Roman" w:cs="Times New Roman"/>
          <w:sz w:val="24"/>
          <w:szCs w:val="24"/>
        </w:rPr>
        <w:t>10% of MTDC is the maximum allowable, but anything below 10% is acceptable.</w:t>
      </w:r>
    </w:p>
    <w:p w14:paraId="0D8B777D" w14:textId="39003F47" w:rsidR="00CD5DF6" w:rsidRDefault="003D4311" w:rsidP="003D43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SymbolMT" w:hAnsi="Times New Roman" w:cs="Times New Roman"/>
          <w:sz w:val="24"/>
          <w:szCs w:val="24"/>
        </w:rPr>
      </w:pPr>
      <w:r>
        <w:rPr>
          <w:rFonts w:ascii="Times New Roman" w:eastAsia="SymbolMT" w:hAnsi="Times New Roman" w:cs="Times New Roman"/>
          <w:b/>
          <w:bCs/>
          <w:sz w:val="24"/>
          <w:szCs w:val="24"/>
        </w:rPr>
        <w:t xml:space="preserve">Note: </w:t>
      </w:r>
      <w:r>
        <w:rPr>
          <w:rFonts w:ascii="Times New Roman" w:eastAsia="SymbolMT" w:hAnsi="Times New Roman" w:cs="Times New Roman"/>
          <w:sz w:val="24"/>
          <w:szCs w:val="24"/>
        </w:rPr>
        <w:t xml:space="preserve">The de minimis rate </w:t>
      </w:r>
      <w:r w:rsidR="000679A5">
        <w:rPr>
          <w:rFonts w:ascii="Times New Roman" w:eastAsia="SymbolMT" w:hAnsi="Times New Roman" w:cs="Times New Roman"/>
          <w:sz w:val="24"/>
          <w:szCs w:val="24"/>
        </w:rPr>
        <w:t xml:space="preserve">is used through the </w:t>
      </w:r>
      <w:r w:rsidR="005A4B38">
        <w:rPr>
          <w:rFonts w:ascii="Times New Roman" w:eastAsia="SymbolMT" w:hAnsi="Times New Roman" w:cs="Times New Roman"/>
          <w:sz w:val="24"/>
          <w:szCs w:val="24"/>
        </w:rPr>
        <w:t>period of performance</w:t>
      </w:r>
      <w:r w:rsidR="000679A5">
        <w:rPr>
          <w:rFonts w:ascii="Times New Roman" w:eastAsia="SymbolMT" w:hAnsi="Times New Roman" w:cs="Times New Roman"/>
          <w:sz w:val="24"/>
          <w:szCs w:val="24"/>
        </w:rPr>
        <w:t xml:space="preserve"> of the grant</w:t>
      </w:r>
      <w:r>
        <w:rPr>
          <w:rFonts w:ascii="Times New Roman" w:eastAsia="SymbolMT" w:hAnsi="Times New Roman" w:cs="Times New Roman"/>
          <w:sz w:val="24"/>
          <w:szCs w:val="24"/>
        </w:rPr>
        <w:t>.</w:t>
      </w:r>
      <w:r w:rsidR="000679A5">
        <w:rPr>
          <w:rFonts w:ascii="Times New Roman" w:eastAsia="SymbolMT" w:hAnsi="Times New Roman" w:cs="Times New Roman"/>
          <w:sz w:val="24"/>
          <w:szCs w:val="24"/>
        </w:rPr>
        <w:t xml:space="preserve"> The screenshot at the bottom shows how to calculate the 10% of MTDC.</w:t>
      </w:r>
    </w:p>
    <w:p w14:paraId="5EA89A05" w14:textId="77777777" w:rsidR="005A4B38" w:rsidRDefault="005A4B38" w:rsidP="003D43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SymbolMT" w:hAnsi="Times New Roman" w:cs="Times New Roman"/>
          <w:sz w:val="24"/>
          <w:szCs w:val="24"/>
        </w:rPr>
      </w:pPr>
    </w:p>
    <w:p w14:paraId="7C4068A8" w14:textId="77777777" w:rsidR="005A4B38" w:rsidRDefault="005A4B38" w:rsidP="003D43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SymbolMT" w:hAnsi="Times New Roman" w:cs="Times New Roman"/>
          <w:sz w:val="24"/>
          <w:szCs w:val="24"/>
        </w:rPr>
      </w:pPr>
    </w:p>
    <w:p w14:paraId="2172382F" w14:textId="2FD7A9E5" w:rsidR="000679A5" w:rsidRDefault="005A4B38" w:rsidP="003D431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SymbolMT" w:hAnsi="Times New Roman" w:cs="Times New Roman"/>
          <w:sz w:val="24"/>
          <w:szCs w:val="24"/>
        </w:rPr>
      </w:pPr>
      <w:r w:rsidRPr="005A4B38">
        <w:rPr>
          <w:rFonts w:ascii="Times New Roman" w:eastAsia="SymbolMT" w:hAnsi="Times New Roman" w:cs="Times New Roman"/>
          <w:noProof/>
          <w:sz w:val="24"/>
          <w:szCs w:val="24"/>
          <w:bdr w:val="single" w:sz="4" w:space="0" w:color="auto"/>
        </w:rPr>
        <w:drawing>
          <wp:inline distT="0" distB="0" distL="0" distR="0" wp14:anchorId="7F9D7DBF" wp14:editId="57EDF422">
            <wp:extent cx="4572396" cy="342929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572396" cy="3429297"/>
                    </a:xfrm>
                    <a:prstGeom prst="rect">
                      <a:avLst/>
                    </a:prstGeom>
                  </pic:spPr>
                </pic:pic>
              </a:graphicData>
            </a:graphic>
          </wp:inline>
        </w:drawing>
      </w:r>
    </w:p>
    <w:p w14:paraId="0074B039" w14:textId="5BEE205C" w:rsidR="00E74BCA" w:rsidRDefault="00CD5DF6" w:rsidP="00CD5D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sidRPr="00752BF3">
        <w:rPr>
          <w:rFonts w:ascii="Times New Roman" w:eastAsia="Times New Roman" w:hAnsi="Times New Roman" w:cs="Times New Roman"/>
          <w:b/>
          <w:snapToGrid w:val="0"/>
          <w:color w:val="000000"/>
          <w:sz w:val="24"/>
          <w:szCs w:val="20"/>
        </w:rPr>
        <w:lastRenderedPageBreak/>
        <w:t xml:space="preserve">Cost Share/Cost-Effectiveness </w:t>
      </w:r>
      <w:r>
        <w:rPr>
          <w:rFonts w:ascii="Times New Roman" w:eastAsia="Times New Roman" w:hAnsi="Times New Roman" w:cs="Times New Roman"/>
          <w:b/>
          <w:snapToGrid w:val="0"/>
          <w:color w:val="000000"/>
          <w:sz w:val="24"/>
          <w:szCs w:val="20"/>
        </w:rPr>
        <w:t>–</w:t>
      </w:r>
      <w:r w:rsidRPr="00752BF3">
        <w:rPr>
          <w:rFonts w:ascii="Times New Roman" w:eastAsia="Times New Roman" w:hAnsi="Times New Roman" w:cs="Times New Roman"/>
          <w:snapToGrid w:val="0"/>
          <w:color w:val="000000"/>
          <w:sz w:val="24"/>
          <w:szCs w:val="20"/>
        </w:rPr>
        <w:t xml:space="preserve"> </w:t>
      </w:r>
      <w:r w:rsidRPr="001A622E">
        <w:rPr>
          <w:rFonts w:ascii="Times New Roman" w:eastAsia="Times New Roman" w:hAnsi="Times New Roman" w:cs="Times New Roman"/>
          <w:snapToGrid w:val="0"/>
          <w:color w:val="000000"/>
          <w:sz w:val="24"/>
          <w:szCs w:val="20"/>
        </w:rPr>
        <w:t xml:space="preserve">Cost sharing or matching refers to a portion of project or program cost that is not borne by the </w:t>
      </w:r>
      <w:r w:rsidR="00916869">
        <w:rPr>
          <w:rFonts w:ascii="Times New Roman" w:eastAsia="Times New Roman" w:hAnsi="Times New Roman" w:cs="Times New Roman"/>
          <w:snapToGrid w:val="0"/>
          <w:color w:val="000000"/>
          <w:sz w:val="24"/>
          <w:szCs w:val="20"/>
        </w:rPr>
        <w:t>F</w:t>
      </w:r>
      <w:r w:rsidRPr="001A622E">
        <w:rPr>
          <w:rFonts w:ascii="Times New Roman" w:eastAsia="Times New Roman" w:hAnsi="Times New Roman" w:cs="Times New Roman"/>
          <w:snapToGrid w:val="0"/>
          <w:color w:val="000000"/>
          <w:sz w:val="24"/>
          <w:szCs w:val="20"/>
        </w:rPr>
        <w:t xml:space="preserve">ederal Government.  </w:t>
      </w:r>
      <w:r>
        <w:rPr>
          <w:rFonts w:ascii="Times New Roman" w:eastAsia="Times New Roman" w:hAnsi="Times New Roman" w:cs="Times New Roman"/>
          <w:snapToGrid w:val="0"/>
          <w:color w:val="000000"/>
          <w:sz w:val="24"/>
          <w:szCs w:val="20"/>
        </w:rPr>
        <w:t>Cost sharing is not required and will not be used as a factor in proposal evaluation.  For any cost share included, please provide an e</w:t>
      </w:r>
      <w:r w:rsidRPr="00752BF3">
        <w:rPr>
          <w:rFonts w:ascii="Times New Roman" w:eastAsia="Times New Roman" w:hAnsi="Times New Roman" w:cs="Times New Roman"/>
          <w:snapToGrid w:val="0"/>
          <w:color w:val="000000"/>
          <w:sz w:val="24"/>
          <w:szCs w:val="20"/>
        </w:rPr>
        <w:t xml:space="preserve">xplanation of </w:t>
      </w:r>
      <w:r>
        <w:rPr>
          <w:rFonts w:ascii="Times New Roman" w:eastAsia="Times New Roman" w:hAnsi="Times New Roman" w:cs="Times New Roman"/>
          <w:snapToGrid w:val="0"/>
          <w:color w:val="000000"/>
          <w:sz w:val="24"/>
          <w:szCs w:val="20"/>
        </w:rPr>
        <w:t xml:space="preserve">the </w:t>
      </w:r>
      <w:r w:rsidRPr="00752BF3">
        <w:rPr>
          <w:rFonts w:ascii="Times New Roman" w:eastAsia="Times New Roman" w:hAnsi="Times New Roman" w:cs="Times New Roman"/>
          <w:snapToGrid w:val="0"/>
          <w:color w:val="000000"/>
          <w:sz w:val="24"/>
          <w:szCs w:val="20"/>
        </w:rPr>
        <w:t xml:space="preserve">contributions, whether cash or in-kind.  Assign a monetary value in U.S. dollars to each in-kind contribution.  If the proposed project is a component of a larger program, identify other funding sources for the proposal and indicate the specific funding amount to be provided by those sources. </w:t>
      </w:r>
      <w:r>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 xml:space="preserve">In addition, it is recommended that budget narratives address the overall cost-effectiveness of the proposal, including leveraging of institutional or other resources. </w:t>
      </w:r>
      <w:r>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 xml:space="preserve">Grantees must follow cost sharing or matching policy as stipulated in </w:t>
      </w:r>
      <w:r>
        <w:rPr>
          <w:rFonts w:ascii="Times New Roman" w:eastAsia="Times New Roman" w:hAnsi="Times New Roman" w:cs="Times New Roman"/>
          <w:snapToGrid w:val="0"/>
          <w:color w:val="000000"/>
          <w:sz w:val="24"/>
          <w:szCs w:val="20"/>
        </w:rPr>
        <w:t>2 CFR 200.306</w:t>
      </w:r>
      <w:r w:rsidRPr="00752BF3">
        <w:rPr>
          <w:rFonts w:ascii="Times New Roman" w:eastAsia="Times New Roman" w:hAnsi="Times New Roman" w:cs="Times New Roman"/>
          <w:snapToGrid w:val="0"/>
          <w:color w:val="000000"/>
          <w:sz w:val="24"/>
          <w:szCs w:val="20"/>
        </w:rPr>
        <w:t xml:space="preserve">. </w:t>
      </w:r>
      <w:r>
        <w:rPr>
          <w:rFonts w:ascii="Times New Roman" w:eastAsia="Times New Roman" w:hAnsi="Times New Roman" w:cs="Times New Roman"/>
          <w:snapToGrid w:val="0"/>
          <w:color w:val="000000"/>
          <w:sz w:val="24"/>
          <w:szCs w:val="20"/>
        </w:rPr>
        <w:t xml:space="preserve"> </w:t>
      </w:r>
      <w:r w:rsidRPr="00752BF3">
        <w:rPr>
          <w:rFonts w:ascii="Times New Roman" w:eastAsia="Times New Roman" w:hAnsi="Times New Roman" w:cs="Times New Roman"/>
          <w:snapToGrid w:val="0"/>
          <w:color w:val="000000"/>
          <w:sz w:val="24"/>
          <w:szCs w:val="20"/>
        </w:rPr>
        <w:t>Cost sharing amounts proposed will be incorporated as part of</w:t>
      </w:r>
      <w:r>
        <w:rPr>
          <w:rFonts w:ascii="Times New Roman" w:eastAsia="Times New Roman" w:hAnsi="Times New Roman" w:cs="Times New Roman"/>
          <w:snapToGrid w:val="0"/>
          <w:color w:val="000000"/>
          <w:sz w:val="24"/>
          <w:szCs w:val="20"/>
        </w:rPr>
        <w:t xml:space="preserve"> the allowable budget items.  </w:t>
      </w:r>
      <w:r w:rsidRPr="00E74BCA">
        <w:rPr>
          <w:rFonts w:ascii="Times New Roman" w:eastAsia="Times New Roman" w:hAnsi="Times New Roman" w:cs="Times New Roman"/>
          <w:snapToGrid w:val="0"/>
          <w:color w:val="000000"/>
          <w:sz w:val="24"/>
          <w:szCs w:val="20"/>
          <w:highlight w:val="yellow"/>
        </w:rPr>
        <w:t xml:space="preserve">If selected for an award, your organization will have to provide the minimum amount of cost sharing as stipulated in the budget approved by the Grants Officer.  If your organization does not meet its cost share amount stipulated in the approved budget by the end of the period of performance, </w:t>
      </w:r>
      <w:r w:rsidR="00AB0442" w:rsidRPr="00E74BCA">
        <w:rPr>
          <w:rFonts w:ascii="Times New Roman" w:eastAsia="Times New Roman" w:hAnsi="Times New Roman" w:cs="Times New Roman"/>
          <w:snapToGrid w:val="0"/>
          <w:color w:val="000000"/>
          <w:sz w:val="24"/>
          <w:szCs w:val="20"/>
          <w:highlight w:val="yellow"/>
        </w:rPr>
        <w:t>PAS</w:t>
      </w:r>
      <w:r w:rsidRPr="00E74BCA">
        <w:rPr>
          <w:rFonts w:ascii="Times New Roman" w:eastAsia="Times New Roman" w:hAnsi="Times New Roman" w:cs="Times New Roman"/>
          <w:snapToGrid w:val="0"/>
          <w:color w:val="000000"/>
          <w:sz w:val="24"/>
          <w:szCs w:val="20"/>
          <w:highlight w:val="yellow"/>
        </w:rPr>
        <w:t xml:space="preserve"> will have the option to (1) reduce its contribution in proportion to your organization’s contribution in the event that you do not provide the minimum amount of cost sharing stipulated in the budget or (2) hold your organization accountable for the amount specified in the approved budget.</w:t>
      </w:r>
    </w:p>
    <w:p w14:paraId="17991AEE" w14:textId="77777777" w:rsidR="00E74BCA" w:rsidRDefault="00E74BCA" w:rsidP="00CD5D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p>
    <w:p w14:paraId="67AAD3FB" w14:textId="77777777" w:rsidR="00CD5DF6" w:rsidRPr="00752BF3" w:rsidRDefault="00E74BCA" w:rsidP="00CD5DF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uto"/>
        <w:rPr>
          <w:rFonts w:ascii="Times New Roman" w:eastAsia="Times New Roman" w:hAnsi="Times New Roman" w:cs="Times New Roman"/>
          <w:snapToGrid w:val="0"/>
          <w:color w:val="000000"/>
          <w:sz w:val="24"/>
          <w:szCs w:val="20"/>
        </w:rPr>
      </w:pPr>
      <w:r>
        <w:rPr>
          <w:rFonts w:ascii="Times New Roman" w:eastAsia="Times New Roman" w:hAnsi="Times New Roman" w:cs="Times New Roman"/>
          <w:b/>
          <w:snapToGrid w:val="0"/>
          <w:color w:val="000000"/>
          <w:sz w:val="24"/>
          <w:szCs w:val="20"/>
        </w:rPr>
        <w:t>Miscellaneous Cost</w:t>
      </w:r>
      <w:r w:rsidR="007A7545">
        <w:rPr>
          <w:rFonts w:ascii="Times New Roman" w:eastAsia="Times New Roman" w:hAnsi="Times New Roman" w:cs="Times New Roman"/>
          <w:b/>
          <w:snapToGrid w:val="0"/>
          <w:color w:val="000000"/>
          <w:sz w:val="24"/>
          <w:szCs w:val="20"/>
        </w:rPr>
        <w:t>s</w:t>
      </w:r>
      <w:r>
        <w:rPr>
          <w:rFonts w:ascii="Times New Roman" w:eastAsia="Times New Roman" w:hAnsi="Times New Roman" w:cs="Times New Roman"/>
          <w:b/>
          <w:snapToGrid w:val="0"/>
          <w:color w:val="000000"/>
          <w:sz w:val="24"/>
          <w:szCs w:val="20"/>
        </w:rPr>
        <w:t>:</w:t>
      </w:r>
      <w:r w:rsidR="00CD5DF6" w:rsidRPr="00752BF3">
        <w:rPr>
          <w:rFonts w:ascii="Times New Roman" w:eastAsia="Times New Roman" w:hAnsi="Times New Roman" w:cs="Times New Roman"/>
          <w:snapToGrid w:val="0"/>
          <w:color w:val="000000"/>
          <w:sz w:val="24"/>
          <w:szCs w:val="20"/>
        </w:rPr>
        <w:t xml:space="preserve"> </w:t>
      </w:r>
      <w:r w:rsidR="007A7545">
        <w:rPr>
          <w:rFonts w:ascii="Times New Roman" w:eastAsia="Times New Roman" w:hAnsi="Times New Roman" w:cs="Times New Roman"/>
          <w:snapToGrid w:val="0"/>
          <w:color w:val="000000"/>
          <w:sz w:val="24"/>
          <w:szCs w:val="20"/>
        </w:rPr>
        <w:t xml:space="preserve">these costs </w:t>
      </w:r>
      <w:bookmarkStart w:id="0" w:name="_GoBack"/>
      <w:r w:rsidR="007A7545">
        <w:rPr>
          <w:rFonts w:ascii="Times New Roman" w:eastAsia="Times New Roman" w:hAnsi="Times New Roman" w:cs="Times New Roman"/>
          <w:snapToGrid w:val="0"/>
          <w:color w:val="000000"/>
          <w:sz w:val="24"/>
          <w:szCs w:val="20"/>
        </w:rPr>
        <w:t>will be no allowed</w:t>
      </w:r>
      <w:bookmarkEnd w:id="0"/>
      <w:r w:rsidR="007A7545">
        <w:rPr>
          <w:rFonts w:ascii="Times New Roman" w:eastAsia="Times New Roman" w:hAnsi="Times New Roman" w:cs="Times New Roman"/>
          <w:snapToGrid w:val="0"/>
          <w:color w:val="000000"/>
          <w:sz w:val="24"/>
          <w:szCs w:val="20"/>
        </w:rPr>
        <w:t xml:space="preserve"> for PD Small Grant</w:t>
      </w:r>
      <w:r w:rsidR="00594F55">
        <w:rPr>
          <w:rFonts w:ascii="Times New Roman" w:eastAsia="Times New Roman" w:hAnsi="Times New Roman" w:cs="Times New Roman"/>
          <w:snapToGrid w:val="0"/>
          <w:color w:val="000000"/>
          <w:sz w:val="24"/>
          <w:szCs w:val="20"/>
        </w:rPr>
        <w:t>s</w:t>
      </w:r>
      <w:r w:rsidR="007A7545">
        <w:rPr>
          <w:rFonts w:ascii="Times New Roman" w:eastAsia="Times New Roman" w:hAnsi="Times New Roman" w:cs="Times New Roman"/>
          <w:snapToGrid w:val="0"/>
          <w:color w:val="000000"/>
          <w:sz w:val="24"/>
          <w:szCs w:val="20"/>
        </w:rPr>
        <w:t xml:space="preserve"> Program.</w:t>
      </w:r>
      <w:r w:rsidR="0016707E">
        <w:rPr>
          <w:rFonts w:ascii="Times New Roman" w:eastAsia="Times New Roman" w:hAnsi="Times New Roman" w:cs="Times New Roman"/>
          <w:snapToGrid w:val="0"/>
          <w:color w:val="000000"/>
          <w:sz w:val="24"/>
          <w:szCs w:val="20"/>
        </w:rPr>
        <w:t xml:space="preserve"> Leave this field in blank.</w:t>
      </w:r>
    </w:p>
    <w:p w14:paraId="1F934061" w14:textId="77777777" w:rsidR="007E4E7E" w:rsidRDefault="00A20EDE"/>
    <w:sectPr w:rsidR="007E4E7E">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BD8DA4" w14:textId="77777777" w:rsidR="005A4B38" w:rsidRDefault="005A4B38" w:rsidP="005A4B38">
      <w:pPr>
        <w:spacing w:after="0" w:line="240" w:lineRule="auto"/>
      </w:pPr>
      <w:r>
        <w:separator/>
      </w:r>
    </w:p>
  </w:endnote>
  <w:endnote w:type="continuationSeparator" w:id="0">
    <w:p w14:paraId="015E44FF" w14:textId="77777777" w:rsidR="005A4B38" w:rsidRDefault="005A4B38" w:rsidP="005A4B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algun Gothic">
    <w:altName w:val="Arial Unicode MS"/>
    <w:panose1 w:val="020B0503020000020004"/>
    <w:charset w:val="81"/>
    <w:family w:val="swiss"/>
    <w:pitch w:val="variable"/>
    <w:sig w:usb0="9000002F" w:usb1="29D77CFB" w:usb2="00000012" w:usb3="00000000" w:csb0="00080001" w:csb1="00000000"/>
  </w:font>
  <w:font w:name="TimesNewRomanPSMT">
    <w:altName w:val="MS Mincho"/>
    <w:panose1 w:val="00000000000000000000"/>
    <w:charset w:val="80"/>
    <w:family w:val="auto"/>
    <w:notTrueType/>
    <w:pitch w:val="default"/>
    <w:sig w:usb0="00000001" w:usb1="08070000" w:usb2="00000010" w:usb3="00000000" w:csb0="00020000" w:csb1="00000000"/>
  </w:font>
  <w:font w:name="SymbolMT">
    <w:altName w:val="Arial Unicode MS"/>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38473" w14:textId="38949F43" w:rsidR="005A4B38" w:rsidRDefault="005A4B38">
    <w:pPr>
      <w:pStyle w:val="Footer"/>
    </w:pPr>
    <w:r>
      <w:rPr>
        <w:noProof/>
      </w:rPr>
      <mc:AlternateContent>
        <mc:Choice Requires="wps">
          <w:drawing>
            <wp:anchor distT="0" distB="0" distL="114300" distR="114300" simplePos="0" relativeHeight="251659264" behindDoc="0" locked="0" layoutInCell="0" allowOverlap="1" wp14:anchorId="38AEA1EF" wp14:editId="552ED71D">
              <wp:simplePos x="0" y="0"/>
              <wp:positionH relativeFrom="page">
                <wp:posOffset>0</wp:posOffset>
              </wp:positionH>
              <wp:positionV relativeFrom="page">
                <wp:posOffset>9601200</wp:posOffset>
              </wp:positionV>
              <wp:extent cx="7772400" cy="266700"/>
              <wp:effectExtent l="0" t="0" r="0" b="0"/>
              <wp:wrapNone/>
              <wp:docPr id="2" name="MSIPCM0380406682b13ae3daf2b218" descr="{&quot;HashCode&quot;:549228713,&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8F3696D" w14:textId="56688D18" w:rsidR="005A4B38" w:rsidRPr="005A4B38" w:rsidRDefault="005A4B38" w:rsidP="005A4B38">
                          <w:pPr>
                            <w:spacing w:after="0"/>
                            <w:jc w:val="center"/>
                            <w:rPr>
                              <w:rFonts w:ascii="Times New Roman" w:hAnsi="Times New Roman" w:cs="Times New Roman"/>
                              <w:color w:val="000000"/>
                              <w:sz w:val="2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8AEA1EF" id="_x0000_t202" coordsize="21600,21600" o:spt="202" path="m,l,21600r21600,l21600,xe">
              <v:stroke joinstyle="miter"/>
              <v:path gradientshapeok="t" o:connecttype="rect"/>
            </v:shapetype>
            <v:shape id="MSIPCM0380406682b13ae3daf2b218" o:spid="_x0000_s1026" type="#_x0000_t202" alt="{&quot;HashCode&quot;:549228713,&quot;Height&quot;:792.0,&quot;Width&quot;:612.0,&quot;Placement&quot;:&quot;Footer&quot;,&quot;Index&quot;:&quot;Primary&quot;,&quot;Section&quot;:1,&quot;Top&quot;:0.0,&quot;Left&quot;:0.0}" style="position:absolute;margin-left:0;margin-top:756pt;width:612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" o:allowincell="f" filled="f" stroked="f" strokeweight=".5pt">
              <v:textbox inset=",0,,0">
                <w:txbxContent>
                  <w:p w14:paraId="28F3696D" w14:textId="56688D18" w:rsidR="005A4B38" w:rsidRPr="005A4B38" w:rsidRDefault="005A4B38" w:rsidP="005A4B38">
                    <w:pPr>
                      <w:spacing w:after="0"/>
                      <w:jc w:val="center"/>
                      <w:rPr>
                        <w:rFonts w:ascii="Times New Roman" w:hAnsi="Times New Roman" w:cs="Times New Roman"/>
                        <w:color w:val="000000"/>
                        <w:sz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DE438D" w14:textId="77777777" w:rsidR="005A4B38" w:rsidRDefault="005A4B38" w:rsidP="005A4B38">
      <w:pPr>
        <w:spacing w:after="0" w:line="240" w:lineRule="auto"/>
      </w:pPr>
      <w:r>
        <w:separator/>
      </w:r>
    </w:p>
  </w:footnote>
  <w:footnote w:type="continuationSeparator" w:id="0">
    <w:p w14:paraId="33C24DD7" w14:textId="77777777" w:rsidR="005A4B38" w:rsidRDefault="005A4B38" w:rsidP="005A4B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02792"/>
    <w:multiLevelType w:val="hybridMultilevel"/>
    <w:tmpl w:val="859E9B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9A32275"/>
    <w:multiLevelType w:val="hybridMultilevel"/>
    <w:tmpl w:val="57C2065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DF6"/>
    <w:rsid w:val="000679A5"/>
    <w:rsid w:val="000D06A2"/>
    <w:rsid w:val="00117566"/>
    <w:rsid w:val="00130A51"/>
    <w:rsid w:val="0016707E"/>
    <w:rsid w:val="001A08FA"/>
    <w:rsid w:val="00294AEB"/>
    <w:rsid w:val="00315851"/>
    <w:rsid w:val="003D3233"/>
    <w:rsid w:val="003D4311"/>
    <w:rsid w:val="004E71F5"/>
    <w:rsid w:val="00594F55"/>
    <w:rsid w:val="005A4B38"/>
    <w:rsid w:val="007A7545"/>
    <w:rsid w:val="00815997"/>
    <w:rsid w:val="00916869"/>
    <w:rsid w:val="00982F7D"/>
    <w:rsid w:val="00A20EDE"/>
    <w:rsid w:val="00A9023C"/>
    <w:rsid w:val="00AB0442"/>
    <w:rsid w:val="00CD5DF6"/>
    <w:rsid w:val="00D36268"/>
    <w:rsid w:val="00D41FC3"/>
    <w:rsid w:val="00E10D76"/>
    <w:rsid w:val="00E74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316C485"/>
  <w15:docId w15:val="{F9549C07-8F64-4FE3-B388-498334FB9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5DF6"/>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CD5DF6"/>
    <w:rPr>
      <w:color w:val="0000FF" w:themeColor="hyperlink"/>
      <w:u w:val="single"/>
    </w:rPr>
  </w:style>
  <w:style w:type="paragraph" w:styleId="ListParagraph">
    <w:name w:val="List Paragraph"/>
    <w:aliases w:val="Dot pt,F5 List Paragraph,List Paragraph Char Char Char,Indicator Text,Numbered Para 1,Bullet 1,Bullet Points,List Paragraph2,MAIN CONTENT,Normal numbered,List Paragraph1,Issue Action POC,3,POCG Table Text,Colorful List - Accent 11,Bullet"/>
    <w:basedOn w:val="Normal"/>
    <w:link w:val="ListParagraphChar"/>
    <w:uiPriority w:val="34"/>
    <w:qFormat/>
    <w:rsid w:val="00CD5DF6"/>
    <w:pPr>
      <w:widowControl/>
      <w:ind w:left="720"/>
      <w:contextualSpacing/>
    </w:pPr>
    <w:rPr>
      <w:rFonts w:ascii="Calibri" w:eastAsia="Malgun Gothic" w:hAnsi="Calibri" w:cs="Times New Roman"/>
    </w:rPr>
  </w:style>
  <w:style w:type="character" w:customStyle="1" w:styleId="ListParagraphChar">
    <w:name w:val="List Paragraph Char"/>
    <w:aliases w:val="Dot pt Char,F5 List Paragraph Char,List Paragraph Char Char Char Char,Indicator Text Char,Numbered Para 1 Char,Bullet 1 Char,Bullet Points Char,List Paragraph2 Char,MAIN CONTENT Char,Normal numbered Char,List Paragraph1 Char,3 Char"/>
    <w:link w:val="ListParagraph"/>
    <w:uiPriority w:val="34"/>
    <w:locked/>
    <w:rsid w:val="00CD5DF6"/>
    <w:rPr>
      <w:rFonts w:ascii="Calibri" w:eastAsia="Malgun Gothic" w:hAnsi="Calibri" w:cs="Times New Roman"/>
    </w:rPr>
  </w:style>
  <w:style w:type="paragraph" w:styleId="Header">
    <w:name w:val="header"/>
    <w:basedOn w:val="Normal"/>
    <w:link w:val="HeaderChar"/>
    <w:uiPriority w:val="99"/>
    <w:unhideWhenUsed/>
    <w:rsid w:val="005A4B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4B38"/>
  </w:style>
  <w:style w:type="paragraph" w:styleId="Footer">
    <w:name w:val="footer"/>
    <w:basedOn w:val="Normal"/>
    <w:link w:val="FooterChar"/>
    <w:uiPriority w:val="99"/>
    <w:unhideWhenUsed/>
    <w:rsid w:val="005A4B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4B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3</Pages>
  <Words>981</Words>
  <Characters>5593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U S Department of State</Company>
  <LinksUpToDate>false</LinksUpToDate>
  <CharactersWithSpaces>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GCM</dc:creator>
  <cp:lastModifiedBy>Joyce Sterling</cp:lastModifiedBy>
  <cp:revision>16</cp:revision>
  <dcterms:created xsi:type="dcterms:W3CDTF">2016-03-02T21:21:00Z</dcterms:created>
  <dcterms:modified xsi:type="dcterms:W3CDTF">2020-10-07T22:52:00Z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iteId">
    <vt:lpwstr>66cf5074-5afe-48d1-a691-a12b2121f44b</vt:lpwstr>
  </property>
  <property fmtid="{D5CDD505-2E9C-101B-9397-08002B2CF9AE}" pid="4" name="MSIP_Label_1665d9ee-429a-4d5f-97cc-cfb56e044a6e_Owner">
    <vt:lpwstr>SterlingJB@state.gov</vt:lpwstr>
  </property>
  <property fmtid="{D5CDD505-2E9C-101B-9397-08002B2CF9AE}" pid="5" name="MSIP_Label_1665d9ee-429a-4d5f-97cc-cfb56e044a6e_SetDate">
    <vt:lpwstr>2019-10-16T19:51:24.7575359Z</vt:lpwstr>
  </property>
  <property fmtid="{D5CDD505-2E9C-101B-9397-08002B2CF9AE}" pid="6" name="MSIP_Label_1665d9ee-429a-4d5f-97cc-cfb56e044a6e_Name">
    <vt:lpwstr>Unclassified</vt:lpwstr>
  </property>
  <property fmtid="{D5CDD505-2E9C-101B-9397-08002B2CF9AE}" pid="7" name="MSIP_Label_1665d9ee-429a-4d5f-97cc-cfb56e044a6e_Application">
    <vt:lpwstr>Microsoft Azure Information Protection</vt:lpwstr>
  </property>
  <property fmtid="{D5CDD505-2E9C-101B-9397-08002B2CF9AE}" pid="8" name="MSIP_Label_1665d9ee-429a-4d5f-97cc-cfb56e044a6e_ActionId">
    <vt:lpwstr>6f7a17dc-7969-469f-8598-8825b4d60db8</vt:lpwstr>
  </property>
  <property fmtid="{D5CDD505-2E9C-101B-9397-08002B2CF9AE}" pid="9" name="MSIP_Label_1665d9ee-429a-4d5f-97cc-cfb56e044a6e_Extended_MSFT_Method">
    <vt:lpwstr>Manual</vt:lpwstr>
  </property>
  <property fmtid="{D5CDD505-2E9C-101B-9397-08002B2CF9AE}" pid="10" name="Sensitivity">
    <vt:lpwstr>Unclassified</vt:lpwstr>
  </property>
</Properties>
</file>