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354E76" w:rsidRPr="00354E76" w:rsidRDefault="00354E76" w:rsidP="00354E76">
      <w:r w:rsidRPr="00354E76">
        <w:t>DRAFT PROGRAM DESCRIPTION: Integrated Health Systems Strengthening and Service Delivery Activity (IHSS/SD Activity)</w:t>
      </w:r>
    </w:p>
    <w:p w:rsidR="00354E76" w:rsidRPr="00354E76" w:rsidRDefault="00354E76"/>
    <w:p w:rsidR="00CD626F" w:rsidRPr="00354E76" w:rsidRDefault="00705416">
      <w:r w:rsidRPr="00354E76">
        <w:t xml:space="preserve"> Table of Contents</w:t>
      </w:r>
    </w:p>
    <w:p w:rsidR="00CD626F" w:rsidRPr="00354E76" w:rsidRDefault="00CD626F"/>
    <w:p w:rsidR="00CD626F" w:rsidRPr="00354E76" w:rsidRDefault="00CD626F"/>
    <w:p w:rsidR="00CD626F" w:rsidRPr="00354E76" w:rsidRDefault="00705416">
      <w:pPr>
        <w:numPr>
          <w:ilvl w:val="0"/>
          <w:numId w:val="10"/>
        </w:numPr>
        <w:ind w:left="720" w:hanging="270"/>
        <w:contextualSpacing/>
      </w:pPr>
      <w:r w:rsidRPr="00354E76">
        <w:t>Introduction………………………………………………………………………………………..…….…….2</w:t>
      </w:r>
    </w:p>
    <w:p w:rsidR="00CD626F" w:rsidRPr="00354E76" w:rsidRDefault="00705416">
      <w:pPr>
        <w:numPr>
          <w:ilvl w:val="0"/>
          <w:numId w:val="10"/>
        </w:numPr>
        <w:ind w:left="720" w:hanging="270"/>
        <w:contextualSpacing/>
      </w:pPr>
      <w:r w:rsidRPr="00354E76">
        <w:t>Activity Result.…………………………………………………………………………………………..…….2</w:t>
      </w:r>
    </w:p>
    <w:p w:rsidR="00CD626F" w:rsidRPr="00354E76" w:rsidRDefault="00705416">
      <w:pPr>
        <w:numPr>
          <w:ilvl w:val="0"/>
          <w:numId w:val="10"/>
        </w:numPr>
        <w:ind w:left="720" w:hanging="270"/>
        <w:contextualSpacing/>
      </w:pPr>
      <w:r w:rsidRPr="00354E76">
        <w:t>Highest Level Goal.………………………………………………………………………………..………...2</w:t>
      </w:r>
    </w:p>
    <w:p w:rsidR="00CD626F" w:rsidRPr="00354E76" w:rsidRDefault="00705416">
      <w:pPr>
        <w:numPr>
          <w:ilvl w:val="0"/>
          <w:numId w:val="10"/>
        </w:numPr>
        <w:ind w:left="720" w:hanging="270"/>
        <w:contextualSpacing/>
      </w:pPr>
      <w:r w:rsidRPr="00354E76">
        <w:t>Vision.……………………………………………………………………………..…………….…………………2</w:t>
      </w:r>
    </w:p>
    <w:p w:rsidR="00CD626F" w:rsidRPr="00354E76" w:rsidRDefault="00705416">
      <w:pPr>
        <w:numPr>
          <w:ilvl w:val="0"/>
          <w:numId w:val="10"/>
        </w:numPr>
        <w:ind w:left="720" w:hanging="270"/>
        <w:contextualSpacing/>
      </w:pPr>
      <w:r w:rsidRPr="00354E76">
        <w:t>Development Problem to be Addressed and Critical Assumptions…………..….…….3</w:t>
      </w:r>
    </w:p>
    <w:p w:rsidR="00CD626F" w:rsidRPr="00354E76" w:rsidRDefault="00705416">
      <w:pPr>
        <w:numPr>
          <w:ilvl w:val="0"/>
          <w:numId w:val="10"/>
        </w:numPr>
        <w:ind w:left="720" w:hanging="270"/>
        <w:contextualSpacing/>
      </w:pPr>
      <w:r w:rsidRPr="00354E76">
        <w:t>Overview of Pakistan's Health Sector.……………………………………………………………....4</w:t>
      </w:r>
    </w:p>
    <w:p w:rsidR="00CD626F" w:rsidRPr="00354E76" w:rsidRDefault="00705416">
      <w:pPr>
        <w:numPr>
          <w:ilvl w:val="0"/>
          <w:numId w:val="10"/>
        </w:numPr>
        <w:ind w:left="720" w:hanging="270"/>
        <w:contextualSpacing/>
      </w:pPr>
      <w:r w:rsidRPr="00354E76">
        <w:t>Health System Overview……………………………………………………………………………………6</w:t>
      </w:r>
    </w:p>
    <w:p w:rsidR="00CD626F" w:rsidRPr="00354E76" w:rsidRDefault="00705416">
      <w:pPr>
        <w:numPr>
          <w:ilvl w:val="0"/>
          <w:numId w:val="10"/>
        </w:numPr>
        <w:ind w:left="720" w:hanging="270"/>
        <w:contextualSpacing/>
      </w:pPr>
      <w:r w:rsidRPr="00354E76">
        <w:t>Technical Areas………………………………………………………………………………………………….9</w:t>
      </w:r>
    </w:p>
    <w:p w:rsidR="00CD626F" w:rsidRPr="00354E76" w:rsidRDefault="00705416">
      <w:pPr>
        <w:numPr>
          <w:ilvl w:val="0"/>
          <w:numId w:val="10"/>
        </w:numPr>
        <w:ind w:left="720" w:hanging="270"/>
        <w:contextualSpacing/>
      </w:pPr>
      <w:r w:rsidRPr="00354E76">
        <w:t>Strategic Approach………</w:t>
      </w:r>
      <w:r w:rsidR="00354E76" w:rsidRPr="00354E76">
        <w:t>………………………………………………………………………………….</w:t>
      </w:r>
      <w:r w:rsidRPr="00354E76">
        <w:t>.10</w:t>
      </w:r>
    </w:p>
    <w:p w:rsidR="00CD626F" w:rsidRPr="00354E76" w:rsidRDefault="00705416">
      <w:pPr>
        <w:ind w:left="450"/>
      </w:pPr>
      <w:r w:rsidRPr="00354E76">
        <w:t xml:space="preserve">10. Description of Intermediary </w:t>
      </w:r>
      <w:r w:rsidR="00354E76" w:rsidRPr="00354E76">
        <w:t>Results……………………………………………………………….</w:t>
      </w:r>
      <w:r w:rsidRPr="00354E76">
        <w:t>.16</w:t>
      </w:r>
    </w:p>
    <w:p w:rsidR="00CD626F" w:rsidRPr="00354E76" w:rsidRDefault="00705416">
      <w:pPr>
        <w:ind w:left="450"/>
      </w:pPr>
      <w:r w:rsidRPr="00354E76">
        <w:t>11. Cross-Cutting Themes</w:t>
      </w:r>
      <w:r w:rsidR="00354E76" w:rsidRPr="00354E76">
        <w:t>………………………………………………………………………………….</w:t>
      </w:r>
      <w:r w:rsidRPr="00354E76">
        <w:t>…..27</w:t>
      </w:r>
    </w:p>
    <w:p w:rsidR="00CD626F" w:rsidRDefault="00CD626F"/>
    <w:p w:rsidR="00CD626F" w:rsidRDefault="00CD626F"/>
    <w:p w:rsidR="00CD626F" w:rsidRDefault="00CD626F"/>
    <w:p w:rsidR="00CD626F" w:rsidRDefault="00CD626F"/>
    <w:p w:rsidR="00CD626F" w:rsidRDefault="00CD626F"/>
    <w:p w:rsidR="00CD626F" w:rsidRDefault="00CD626F"/>
    <w:p w:rsidR="00CD626F" w:rsidRDefault="00CD626F"/>
    <w:p w:rsidR="00CD626F" w:rsidRDefault="00CD626F"/>
    <w:p w:rsidR="00CD626F" w:rsidRDefault="00CD626F"/>
    <w:p w:rsidR="00CD626F" w:rsidRDefault="00CD626F"/>
    <w:p w:rsidR="00CD626F" w:rsidRDefault="00CD626F"/>
    <w:p w:rsidR="00CD626F" w:rsidRDefault="00CD626F"/>
    <w:p w:rsidR="00CD626F" w:rsidRDefault="00CD626F"/>
    <w:p w:rsidR="00CD626F" w:rsidRDefault="00CD626F"/>
    <w:p w:rsidR="00CD626F" w:rsidRDefault="00CD626F"/>
    <w:p w:rsidR="00CD626F" w:rsidRDefault="00CD626F"/>
    <w:p w:rsidR="00CD626F" w:rsidRDefault="00CD626F"/>
    <w:p w:rsidR="00CD626F" w:rsidRDefault="00CD626F"/>
    <w:p w:rsidR="00705416" w:rsidRDefault="00705416">
      <w:pPr>
        <w:rPr>
          <w:b/>
        </w:rPr>
      </w:pPr>
    </w:p>
    <w:p w:rsidR="00705416" w:rsidRDefault="00705416">
      <w:pPr>
        <w:rPr>
          <w:b/>
        </w:rPr>
      </w:pPr>
    </w:p>
    <w:p w:rsidR="00705416" w:rsidRDefault="00705416">
      <w:pPr>
        <w:rPr>
          <w:b/>
        </w:rPr>
      </w:pPr>
    </w:p>
    <w:p w:rsidR="00705416" w:rsidRDefault="00705416">
      <w:pPr>
        <w:rPr>
          <w:b/>
        </w:rPr>
      </w:pPr>
    </w:p>
    <w:p w:rsidR="00705416" w:rsidRDefault="00705416">
      <w:pPr>
        <w:rPr>
          <w:b/>
        </w:rPr>
      </w:pPr>
    </w:p>
    <w:p w:rsidR="00354E76" w:rsidRDefault="00354E76">
      <w:pPr>
        <w:rPr>
          <w:b/>
        </w:rPr>
      </w:pPr>
    </w:p>
    <w:p w:rsidR="00CD626F" w:rsidRDefault="00CD626F">
      <w:pPr>
        <w:jc w:val="center"/>
      </w:pPr>
    </w:p>
    <w:p w:rsidR="00CD626F" w:rsidRDefault="00705416">
      <w:r>
        <w:rPr>
          <w:b/>
        </w:rPr>
        <w:lastRenderedPageBreak/>
        <w:t>INTRODUCTION</w:t>
      </w:r>
    </w:p>
    <w:p w:rsidR="00CD626F" w:rsidRDefault="00CD626F"/>
    <w:p w:rsidR="00CD626F" w:rsidRDefault="00705416">
      <w:r>
        <w:rPr>
          <w:b/>
        </w:rPr>
        <w:t>Summary</w:t>
      </w:r>
    </w:p>
    <w:p w:rsidR="00CD626F" w:rsidRDefault="00CD626F">
      <w:pPr>
        <w:jc w:val="center"/>
      </w:pPr>
    </w:p>
    <w:p w:rsidR="00CD626F" w:rsidRDefault="00705416">
      <w:r>
        <w:t xml:space="preserve">This Program Description for the Integrated Health Systems Strengthening and Service Delivery (IHSS/SD) </w:t>
      </w:r>
      <w:r w:rsidR="00264D67">
        <w:t xml:space="preserve">activity describes one </w:t>
      </w:r>
      <w:r>
        <w:t>result and four intermediate results that will be achieved by this activity</w:t>
      </w:r>
      <w:r w:rsidR="00264D67">
        <w:t>.</w:t>
      </w:r>
    </w:p>
    <w:p w:rsidR="00CD626F" w:rsidRDefault="00CD626F"/>
    <w:p w:rsidR="00CD626F" w:rsidRDefault="00705416">
      <w:r>
        <w:rPr>
          <w:b/>
        </w:rPr>
        <w:t xml:space="preserve">Highest Level Goal   </w:t>
      </w:r>
      <w:r>
        <w:t>The IHSS/SD activity will contribute to the achievement of the Government of Pakistan’s (GOP) National Health Vision 2025, the USAID goal of Ending Preventable Child and Maternal Deaths (EPCMD), and USAID/Pakistan’s health goal of ‘reduced maternal and child mortality in focus areas’, and the larger USAID/Pakistan goal of ‘increased stability, democracy, and prosperity for the men and women of Pakistan’.</w:t>
      </w:r>
    </w:p>
    <w:p w:rsidR="00CD626F" w:rsidRDefault="00CD626F"/>
    <w:p w:rsidR="00CD626F" w:rsidRDefault="00705416">
      <w:r>
        <w:rPr>
          <w:b/>
        </w:rPr>
        <w:t xml:space="preserve">Activity Result:  </w:t>
      </w:r>
      <w:r>
        <w:t>Strengthened health system at the federal and provincial level with improved, sustainable performance in the delivery of integrated, equitable, quality health services in</w:t>
      </w:r>
      <w:r w:rsidR="00264D67">
        <w:t xml:space="preserve"> one</w:t>
      </w:r>
      <w:r>
        <w:t xml:space="preserve"> targeted provin</w:t>
      </w:r>
      <w:r w:rsidR="00264D67">
        <w:t>ce</w:t>
      </w:r>
      <w:r>
        <w:t>, district(s) and communities.</w:t>
      </w:r>
      <w:r>
        <w:rPr>
          <w:vertAlign w:val="superscript"/>
        </w:rPr>
        <w:footnoteReference w:id="1"/>
      </w:r>
    </w:p>
    <w:p w:rsidR="00CD626F" w:rsidRDefault="00CD626F"/>
    <w:p w:rsidR="00CD626F" w:rsidRDefault="00705416">
      <w:pPr>
        <w:numPr>
          <w:ilvl w:val="0"/>
          <w:numId w:val="3"/>
        </w:numPr>
        <w:ind w:hanging="360"/>
        <w:contextualSpacing/>
      </w:pPr>
      <w:r>
        <w:rPr>
          <w:b/>
        </w:rPr>
        <w:t>Intermediate Result (IR) 1- Leadership and Governance</w:t>
      </w:r>
    </w:p>
    <w:p w:rsidR="00CD626F" w:rsidRDefault="00705416">
      <w:pPr>
        <w:ind w:left="720"/>
      </w:pPr>
      <w:r>
        <w:rPr>
          <w:b/>
        </w:rPr>
        <w:t>Improved health sector leadership and governance at the federal, provincial and district level</w:t>
      </w:r>
    </w:p>
    <w:p w:rsidR="00CD626F" w:rsidRDefault="00CD626F"/>
    <w:p w:rsidR="00CD626F" w:rsidRDefault="00705416">
      <w:pPr>
        <w:numPr>
          <w:ilvl w:val="0"/>
          <w:numId w:val="3"/>
        </w:numPr>
        <w:ind w:hanging="360"/>
        <w:contextualSpacing/>
      </w:pPr>
      <w:r>
        <w:rPr>
          <w:b/>
        </w:rPr>
        <w:t xml:space="preserve">Intermediate Result 2 – Financing </w:t>
      </w:r>
    </w:p>
    <w:p w:rsidR="00CD626F" w:rsidRDefault="00705416">
      <w:pPr>
        <w:ind w:left="720"/>
      </w:pPr>
      <w:r>
        <w:rPr>
          <w:b/>
        </w:rPr>
        <w:t>Improved health sector financing and spending efficiency</w:t>
      </w:r>
    </w:p>
    <w:p w:rsidR="00CD626F" w:rsidRDefault="00CD626F"/>
    <w:p w:rsidR="00CD626F" w:rsidRDefault="00705416">
      <w:pPr>
        <w:numPr>
          <w:ilvl w:val="0"/>
          <w:numId w:val="3"/>
        </w:numPr>
        <w:ind w:hanging="360"/>
        <w:contextualSpacing/>
      </w:pPr>
      <w:r>
        <w:rPr>
          <w:b/>
        </w:rPr>
        <w:t>Intermediate Result 3 – Integrated, Equitable, Quality Services</w:t>
      </w:r>
    </w:p>
    <w:p w:rsidR="00CD626F" w:rsidRDefault="00705416">
      <w:pPr>
        <w:ind w:left="720"/>
      </w:pPr>
      <w:r>
        <w:rPr>
          <w:b/>
        </w:rPr>
        <w:t>Improved availability of integrated, equitable, quality health services in targeted district(s)</w:t>
      </w:r>
    </w:p>
    <w:p w:rsidR="00CD626F" w:rsidRDefault="00CD626F"/>
    <w:p w:rsidR="00CD626F" w:rsidRDefault="00705416">
      <w:pPr>
        <w:numPr>
          <w:ilvl w:val="0"/>
          <w:numId w:val="3"/>
        </w:numPr>
        <w:ind w:hanging="360"/>
        <w:contextualSpacing/>
        <w:rPr>
          <w:b/>
        </w:rPr>
      </w:pPr>
      <w:r>
        <w:rPr>
          <w:b/>
        </w:rPr>
        <w:t xml:space="preserve">Intermediate Result 4 - Human Resources for Health </w:t>
      </w:r>
    </w:p>
    <w:p w:rsidR="00CD626F" w:rsidRDefault="00705416">
      <w:pPr>
        <w:ind w:left="720"/>
      </w:pPr>
      <w:r>
        <w:rPr>
          <w:b/>
        </w:rPr>
        <w:t>Improved performance of the health workforce at provincial and district level</w:t>
      </w:r>
    </w:p>
    <w:p w:rsidR="00CD626F" w:rsidRDefault="00CD626F"/>
    <w:p w:rsidR="00CD626F" w:rsidRDefault="00705416">
      <w:r>
        <w:rPr>
          <w:b/>
        </w:rPr>
        <w:t>Vision</w:t>
      </w:r>
    </w:p>
    <w:p w:rsidR="00CD626F" w:rsidRDefault="00705416">
      <w:r>
        <w:t>The IHSS/SD activity will support the Government of Pakistan in carrying out its National Health Vision, 2016-2025.  Through a strong program of technical</w:t>
      </w:r>
      <w:r w:rsidR="00264D67">
        <w:t xml:space="preserve"> assistance, the activity legacy </w:t>
      </w:r>
      <w:r>
        <w:t xml:space="preserve">will be twofold: 1) a better performing health system at the federal, provincial and district level that has demonstrated improved management, stewardship and decision-making practices and 2) </w:t>
      </w:r>
      <w:r>
        <w:lastRenderedPageBreak/>
        <w:t xml:space="preserve">district(s) that have a demonstrated capacity to deliver integrated, quality, </w:t>
      </w:r>
      <w:r w:rsidR="00264D67">
        <w:t xml:space="preserve">and </w:t>
      </w:r>
      <w:r>
        <w:t>equitable health services resulting in measureable improvements in health outcomes, especially of disadvantaged and marginalized populations.</w:t>
      </w:r>
      <w:r>
        <w:rPr>
          <w:vertAlign w:val="superscript"/>
        </w:rPr>
        <w:footnoteReference w:id="2"/>
      </w:r>
      <w:r>
        <w:t xml:space="preserve">  </w:t>
      </w:r>
    </w:p>
    <w:p w:rsidR="00CD626F" w:rsidRDefault="00CD626F"/>
    <w:p w:rsidR="00CD626F" w:rsidRDefault="00705416">
      <w:r>
        <w:t>The activity will strengthen the health system to improve access to quality health services in the public and private sector; expand population coverage to include marginalized and disadvantaged individuals; and improve financial protection to protect families from catastrophic health expenditures.  To achieve this goal, the activity will use targeted and evidence-based technical assistance to institutionalize sustainable standards and practices that optimize the performance of the health system at the federal, provincial, district</w:t>
      </w:r>
      <w:r w:rsidR="00264D67">
        <w:t>(s)</w:t>
      </w:r>
      <w:r>
        <w:t xml:space="preserve"> and community level. Feasible interventions will be implemented in </w:t>
      </w:r>
      <w:r w:rsidR="00264D67">
        <w:t>one selected province</w:t>
      </w:r>
      <w:r>
        <w:t xml:space="preserve"> to demonstrate results and produce scale-up beyond intervention areas. The Federal Ministry of National Health Services, Regulations, and Coordination (MNHSRC) will have a sustained capacity to operationalize its regulatory and coordination mandate.  Federal and provincial as well as inter-provincial collaboration will be streamlined and effective.  The use of data for policy making will increase at different levels of the system.  The health workforce will be optimized through improved leadership, governance and evidence-based policies and decision- making. </w:t>
      </w:r>
    </w:p>
    <w:p w:rsidR="00CD626F" w:rsidRDefault="00CD626F"/>
    <w:p w:rsidR="00CD626F" w:rsidRDefault="00705416">
      <w:r>
        <w:t>The intervention district(s) will have achieved a network of public and private providers, managers, and leaders who have improved and expanded the delivery of services, and are working within a supportive health system of improved advocacy, leadership, governance, social and behavior change communication, and organizational learning.  These model districts will demonstrate best practices in health systems strengthening and service delivery scale-up efforts that can be shared with other provinces in Pakistan. As the lead in coordination, the MNHSRC will partner with the intervention province and district(s) to disseminate these findings and encourage knowledge sharing across provinces</w:t>
      </w:r>
      <w:r w:rsidR="00681632">
        <w:t>.</w:t>
      </w:r>
      <w:r>
        <w:t xml:space="preserve"> The purpose of the technical assistance is to improve, sustain, and scale-up integrated health services, and accelerate the reduction of preventable child and maternal deaths according to the principles of Pakistan’s National Health Vision.</w:t>
      </w:r>
    </w:p>
    <w:p w:rsidR="00CD626F" w:rsidRDefault="00CD626F"/>
    <w:p w:rsidR="00CD626F" w:rsidRDefault="00705416">
      <w:r>
        <w:rPr>
          <w:b/>
        </w:rPr>
        <w:t>Development Problem to be Addressed and Critical Assumptions</w:t>
      </w:r>
    </w:p>
    <w:p w:rsidR="00CD626F" w:rsidRDefault="00705416">
      <w:r>
        <w:t xml:space="preserve">A robust health system is a vital part of any government’s response to avoid a vicious cycle of deteriorating health leading to deteriorating security. Pakistan’s high disease burden, significant dependency ratio, and relatively short life expectancy lead to low economic growth and prosperity by undermining individual and household well-being.  There are a number of health systems constraints at the federal and, in varying degrees, at the provincial and district level </w:t>
      </w:r>
      <w:r>
        <w:lastRenderedPageBreak/>
        <w:t>that contribute to slow reduction in mortality and morbidity, parti</w:t>
      </w:r>
      <w:r w:rsidR="00264D67">
        <w:t xml:space="preserve">cularly among marginalized and </w:t>
      </w:r>
      <w:r w:rsidR="00681632">
        <w:t>disadvantaged populations</w:t>
      </w:r>
      <w:r>
        <w:t xml:space="preserve">.  The constraints exist across the inter-related and internationally recognized health systems building blocks: health governance, health finance, human resources for health, health information, service delivery, and medical products, vaccines, and technologies. The IHSS/SD activity will use evidenced-based interventions to address those constraints and advocate for the scale-up of evidence-based, high-impact interventions in a sustainable manner to accelerate reduction of maternal, newborn and child deaths. </w:t>
      </w:r>
    </w:p>
    <w:p w:rsidR="00CD626F" w:rsidRDefault="00CD626F"/>
    <w:p w:rsidR="00CD626F" w:rsidRDefault="00705416">
      <w:r>
        <w:t>Critical assumptions governing this Program Description are:</w:t>
      </w:r>
    </w:p>
    <w:p w:rsidR="00CD626F" w:rsidRDefault="00CD626F"/>
    <w:p w:rsidR="00CD626F" w:rsidRDefault="00705416">
      <w:pPr>
        <w:numPr>
          <w:ilvl w:val="0"/>
          <w:numId w:val="5"/>
        </w:numPr>
        <w:ind w:hanging="360"/>
        <w:contextualSpacing/>
      </w:pPr>
      <w:r>
        <w:t>Sustained USAID funding and GOP and provincial political and financial</w:t>
      </w:r>
      <w:r>
        <w:rPr>
          <w:vertAlign w:val="superscript"/>
        </w:rPr>
        <w:footnoteReference w:id="3"/>
      </w:r>
      <w:r>
        <w:t xml:space="preserve"> commitment is available to support the IHSS/SD activity over the planned life of the activity, 2017-2020; and </w:t>
      </w:r>
    </w:p>
    <w:p w:rsidR="00CD626F" w:rsidRDefault="00705416">
      <w:pPr>
        <w:numPr>
          <w:ilvl w:val="0"/>
          <w:numId w:val="5"/>
        </w:numPr>
        <w:ind w:hanging="360"/>
        <w:contextualSpacing/>
      </w:pPr>
      <w:r>
        <w:t>The security situation does not deteriorate to a point at which the public and private sectors, and non-governmental and community-based organizations, cannot carry out IHSS/SD planned activities.</w:t>
      </w:r>
    </w:p>
    <w:p w:rsidR="00CD626F" w:rsidRDefault="00CD626F"/>
    <w:p w:rsidR="00CD626F" w:rsidRDefault="00705416">
      <w:r>
        <w:rPr>
          <w:b/>
        </w:rPr>
        <w:t xml:space="preserve">OVERVIEW OF PAKISTAN’S HEALTH SECTOR </w:t>
      </w:r>
    </w:p>
    <w:p w:rsidR="00CD626F" w:rsidRDefault="00705416">
      <w:r>
        <w:t>Pakistan is the sixth largest country in the world by population and ranks 147</w:t>
      </w:r>
      <w:r>
        <w:rPr>
          <w:vertAlign w:val="superscript"/>
        </w:rPr>
        <w:t>th</w:t>
      </w:r>
      <w:r>
        <w:t xml:space="preserve"> in the world in the Human Development index. It is also amongst the lowest Asian countries on the United Nations Quality of Life index. The continuing political instability and deteriorating security situation exacerbate the country’s significant economic challenges and contribute to widespread poverty, weak social services, and geographic, socioeconomic and gender inequalities. Key social and economic trends indicate the growing gap between the population’s expectations from its civilian government, and the government’s capacity to meet those expectations, which in turn, leads to further political instability.  At its current annual growth rate of two percent (approximately three million births per year), the population is expected to double by 2050.  This rapid population growth outpaces the country’s economic development and severely undermines efforts to achieve sustainable development goals and improve the quality of life of Pakistan’s people, taxes natural resources, unravels peace,</w:t>
      </w:r>
      <w:r w:rsidR="00354E76">
        <w:t xml:space="preserve"> and erodes economic prosperity</w:t>
      </w:r>
      <w:r>
        <w:t xml:space="preserve">. However, if Pakistan succeeds in reducing its birth rates and in providing its youth with proper education and employment opportunities, it is well positioned to reap a “demographic dividend” and accelerate economic growth rates similar to other countries in the region. </w:t>
      </w:r>
    </w:p>
    <w:p w:rsidR="00CD626F" w:rsidRDefault="00CD626F"/>
    <w:p w:rsidR="00CD626F" w:rsidRDefault="00705416">
      <w:r>
        <w:t xml:space="preserve">Pakistan failed to fully achieve its Millennium Development Goals (MDGs) in health and continues to have some of the poorest health indicators in the region.  One in ten (86 per </w:t>
      </w:r>
      <w:r>
        <w:lastRenderedPageBreak/>
        <w:t>1,000) Pakistani children do not survive to their fifth birthday</w:t>
      </w:r>
      <w:r>
        <w:rPr>
          <w:vertAlign w:val="superscript"/>
        </w:rPr>
        <w:footnoteReference w:id="4"/>
      </w:r>
      <w:r>
        <w:t xml:space="preserve"> and roughly one in 89 women die of maternal causes. Forty-five percent of children under age five are stunted.  </w:t>
      </w:r>
      <w:r>
        <w:rPr>
          <w:color w:val="1A1A1A"/>
        </w:rPr>
        <w:t>Pakistan is one of five countries that contribute to more than 50 percent of child deaths worldwide (the others are India, Nigeria, Democratic Republic of the Congo, and Ethiopia). Every day in Pakistan, over 1,100 children under age five die from largely preventable diseases; two-thirds of these deaths are within the first month of life. </w:t>
      </w:r>
      <w:r>
        <w:t xml:space="preserve">Access to quality health care represents a challenge, particularly for marginalized and disadvantaged populations  where 20 percent live more than ten kilometers from a basic health facility and 46 percent live more than ten kilometers from a rural health center.  Lack of access to essential quality health care services, quality nutrition and clean water are some of the major causes for otherwise preventable morbidity and mortality, particularly among </w:t>
      </w:r>
      <w:r w:rsidRPr="00264D67">
        <w:t>impoverished</w:t>
      </w:r>
      <w:r>
        <w:rPr>
          <w:u w:val="single"/>
        </w:rPr>
        <w:t xml:space="preserve"> </w:t>
      </w:r>
      <w:r>
        <w:t xml:space="preserve">women and children.  However, those causes are exacerbated by poor social determinants of health such as illiteracy, unemployment, and gender and socioeconomic inequalities.  </w:t>
      </w:r>
    </w:p>
    <w:p w:rsidR="00CD626F" w:rsidRDefault="00CD626F"/>
    <w:p w:rsidR="00CD626F" w:rsidRDefault="00705416">
      <w:r>
        <w:t>Pakistan’s health system suffers from significant challenges including weak leadership, poor governance, underfunding and fragmentation.  These challenges hinder efforts to improve the health of the population.  Low investment in the healthcare sector, limited regulation of the private sector, and limited or lack of financial protection schemes, leads to high out-of- pocket expenditure by the majority of the people with low average per capita income.  In 2014, about 87 percent of the population paid out of pocket for health care, particularly to the private sector.</w:t>
      </w:r>
      <w:r>
        <w:rPr>
          <w:vertAlign w:val="superscript"/>
        </w:rPr>
        <w:footnoteReference w:id="5"/>
      </w:r>
      <w:r>
        <w:t xml:space="preserve"> Employer insurance is provided to the government employees and some private sector organizations while social security provides some protection to industrial workers.  However, the rural population</w:t>
      </w:r>
      <w:r w:rsidRPr="00264D67">
        <w:rPr>
          <w:color w:val="auto"/>
        </w:rPr>
        <w:t xml:space="preserve"> (65 percent or more) </w:t>
      </w:r>
      <w:r>
        <w:t>and people in the informal sector remain without health insurance and are vulnerable to catastrophic health expenditure. </w:t>
      </w:r>
    </w:p>
    <w:p w:rsidR="00CD626F" w:rsidRDefault="00CD626F"/>
    <w:p w:rsidR="00CD626F" w:rsidRDefault="00705416">
      <w:r w:rsidRPr="00E34C39">
        <w:rPr>
          <w:highlight w:val="white"/>
        </w:rPr>
        <w:t>On average about 70 percent of the population goes to the private sector for health care. Under performance of the public sector has created room for private sector to grow and become popular in health service delivery, despite its questionable quality, high cost and ethics of medical practice.</w:t>
      </w:r>
      <w:r w:rsidR="009A3483">
        <w:rPr>
          <w:highlight w:val="white"/>
        </w:rPr>
        <w:t xml:space="preserve"> </w:t>
      </w:r>
      <w:r w:rsidRPr="00E34C39">
        <w:rPr>
          <w:highlight w:val="white"/>
        </w:rPr>
        <w:t>The private sector has demonstrated a great deal of responsiveness to the growing needs of the population but is largely unregulated. There is great potential to engage and involve private and non-state entities in the health system to not only increase access but to ensure quality services, recognizing that existing private healthcare regulatory practices are weak or non-existent.</w:t>
      </w:r>
    </w:p>
    <w:p w:rsidR="00CD626F" w:rsidRDefault="00CD626F"/>
    <w:p w:rsidR="00CD626F" w:rsidRDefault="00705416">
      <w:pPr>
        <w:widowControl w:val="0"/>
      </w:pPr>
      <w:r>
        <w:rPr>
          <w:color w:val="1A1A1A"/>
        </w:rPr>
        <w:t xml:space="preserve">The GOP’s </w:t>
      </w:r>
      <w:r>
        <w:rPr>
          <w:i/>
          <w:color w:val="1A1A1A"/>
        </w:rPr>
        <w:t>Vision 2025</w:t>
      </w:r>
      <w:r>
        <w:rPr>
          <w:color w:val="1A1A1A"/>
        </w:rPr>
        <w:t xml:space="preserve"> includes an increased focus on health investment, stating “Health is pivotal to economic and social development. Health along with education, defines the human capital of a nation. With compromised health it is hard to think of accelerated growth. For a country to reach high and inclusive economic growth, people must be healthy.” The GOP has committed to the following goals:</w:t>
      </w:r>
    </w:p>
    <w:p w:rsidR="00CD626F" w:rsidRDefault="00705416">
      <w:pPr>
        <w:widowControl w:val="0"/>
      </w:pPr>
      <w:r>
        <w:rPr>
          <w:color w:val="1A1A1A"/>
        </w:rPr>
        <w:lastRenderedPageBreak/>
        <w:t> </w:t>
      </w:r>
    </w:p>
    <w:p w:rsidR="00CD626F" w:rsidRDefault="00705416">
      <w:pPr>
        <w:widowControl w:val="0"/>
        <w:numPr>
          <w:ilvl w:val="0"/>
          <w:numId w:val="11"/>
        </w:numPr>
        <w:ind w:hanging="360"/>
        <w:contextualSpacing/>
        <w:rPr>
          <w:color w:val="1A1A1A"/>
        </w:rPr>
      </w:pPr>
      <w:r>
        <w:rPr>
          <w:color w:val="1A1A1A"/>
        </w:rPr>
        <w:t>Reduce the infant mortality rate from 74 to less than 40 (per 1000 births).</w:t>
      </w:r>
    </w:p>
    <w:p w:rsidR="00CD626F" w:rsidRDefault="00705416">
      <w:pPr>
        <w:widowControl w:val="0"/>
        <w:numPr>
          <w:ilvl w:val="0"/>
          <w:numId w:val="11"/>
        </w:numPr>
        <w:ind w:hanging="360"/>
        <w:contextualSpacing/>
        <w:rPr>
          <w:color w:val="1A1A1A"/>
        </w:rPr>
      </w:pPr>
      <w:r>
        <w:rPr>
          <w:color w:val="1A1A1A"/>
        </w:rPr>
        <w:t>Reduce the maternal mortality rate from 276 to less than 140 (per 100,000 live births).</w:t>
      </w:r>
    </w:p>
    <w:p w:rsidR="00CD626F" w:rsidRDefault="00705416">
      <w:pPr>
        <w:widowControl w:val="0"/>
      </w:pPr>
      <w:r>
        <w:rPr>
          <w:color w:val="1A1A1A"/>
        </w:rPr>
        <w:t> </w:t>
      </w:r>
    </w:p>
    <w:p w:rsidR="00CD626F" w:rsidRDefault="00705416">
      <w:pPr>
        <w:widowControl w:val="0"/>
      </w:pPr>
      <w:r>
        <w:rPr>
          <w:i/>
          <w:color w:val="1A1A1A"/>
        </w:rPr>
        <w:t xml:space="preserve">Vision 2025 </w:t>
      </w:r>
      <w:r>
        <w:rPr>
          <w:color w:val="1A1A1A"/>
        </w:rPr>
        <w:t>commits to increasing the contribution for health from 0.86 percent to 3 percent of the country’s GDP. The GOP has also made commitment under the following global initiatives:</w:t>
      </w:r>
    </w:p>
    <w:p w:rsidR="00CD626F" w:rsidRDefault="00705416">
      <w:pPr>
        <w:widowControl w:val="0"/>
      </w:pPr>
      <w:r>
        <w:rPr>
          <w:color w:val="1A1A1A"/>
        </w:rPr>
        <w:t> </w:t>
      </w:r>
    </w:p>
    <w:p w:rsidR="00CD626F" w:rsidRDefault="00705416">
      <w:pPr>
        <w:widowControl w:val="0"/>
        <w:numPr>
          <w:ilvl w:val="0"/>
          <w:numId w:val="1"/>
        </w:numPr>
        <w:ind w:hanging="360"/>
        <w:contextualSpacing/>
        <w:rPr>
          <w:color w:val="1A1A1A"/>
        </w:rPr>
      </w:pPr>
      <w:r>
        <w:rPr>
          <w:color w:val="1A1A1A"/>
        </w:rPr>
        <w:t>FP2020: achieve universal access to reproductive health and raise contraceptive prevalence to 55 percent.</w:t>
      </w:r>
    </w:p>
    <w:p w:rsidR="00CD626F" w:rsidRDefault="00705416">
      <w:pPr>
        <w:widowControl w:val="0"/>
        <w:numPr>
          <w:ilvl w:val="0"/>
          <w:numId w:val="1"/>
        </w:numPr>
        <w:ind w:hanging="360"/>
        <w:contextualSpacing/>
        <w:rPr>
          <w:color w:val="1A1A1A"/>
        </w:rPr>
      </w:pPr>
      <w:r>
        <w:rPr>
          <w:color w:val="1A1A1A"/>
        </w:rPr>
        <w:t>Scaling Up Nutrition: carry out collective effort to improve nutrition. </w:t>
      </w:r>
    </w:p>
    <w:p w:rsidR="00CD626F" w:rsidRDefault="00705416">
      <w:pPr>
        <w:numPr>
          <w:ilvl w:val="0"/>
          <w:numId w:val="1"/>
        </w:numPr>
        <w:ind w:hanging="360"/>
        <w:contextualSpacing/>
      </w:pPr>
      <w:r>
        <w:rPr>
          <w:color w:val="1A1A1A"/>
        </w:rPr>
        <w:t>Global Health Security Agenda: undertake a multilateral and multi-sectoral approach to strengthen both global and national capacity to prevent, detect, and respond to human and animal infectious diseases threats whether nationally occurring or accidentally or deliberately spread.  </w:t>
      </w:r>
    </w:p>
    <w:p w:rsidR="00CD626F" w:rsidRDefault="00CD626F"/>
    <w:p w:rsidR="00CD626F" w:rsidRDefault="00705416">
      <w:r>
        <w:t xml:space="preserve">The GOP’s National Health Vision (NHV) statement is “to improve the health of all Pakistanis, particularly women and children, through universal access to affordable quality essential health services delivered through resilient and responsive health system, ready to attain Sustainable Development Goals (SDGs) and fulfill its other global health responsibilities”. The NHV lists a number of challenges in six “thematic pillars” that correspond with the six health system building blocks and lays out “strategic vision” goals to address those challenges.  The NHV also includes two additional thematic pillars, cross-sectoral linkages and global health responsibilities. </w:t>
      </w:r>
    </w:p>
    <w:p w:rsidR="00CD626F" w:rsidRDefault="00CD626F"/>
    <w:p w:rsidR="00CD626F" w:rsidRDefault="00705416">
      <w:pPr>
        <w:widowControl w:val="0"/>
      </w:pPr>
      <w:r>
        <w:rPr>
          <w:color w:val="1A1A1A"/>
        </w:rPr>
        <w:t>The GOP has been taking progressive steps at both the federal and provincial levels to introduce reform and initiate activities to maximize its own resource allocations within the health sector. Recent examples include:</w:t>
      </w:r>
    </w:p>
    <w:p w:rsidR="00CD626F" w:rsidRDefault="00CD626F">
      <w:pPr>
        <w:widowControl w:val="0"/>
      </w:pPr>
    </w:p>
    <w:p w:rsidR="00CD626F" w:rsidRDefault="00705416">
      <w:pPr>
        <w:widowControl w:val="0"/>
        <w:numPr>
          <w:ilvl w:val="0"/>
          <w:numId w:val="2"/>
        </w:numPr>
        <w:ind w:hanging="360"/>
        <w:contextualSpacing/>
        <w:rPr>
          <w:color w:val="1A1A1A"/>
        </w:rPr>
      </w:pPr>
      <w:r>
        <w:rPr>
          <w:color w:val="1A1A1A"/>
        </w:rPr>
        <w:t>Approval of a $0.52 million Federal program Planning Commission Proforma for Development Activities (PC-1). This PC-1 is for strengthening the technical wing of the MNHSRC through the establishment of a Health Planning, System Strengthening, and Information Analysis Unit to oversee federal functions and coordinate with provincial policy and planning units to align with the national health vision.  </w:t>
      </w:r>
    </w:p>
    <w:p w:rsidR="00CD626F" w:rsidRDefault="00705416">
      <w:pPr>
        <w:widowControl w:val="0"/>
        <w:numPr>
          <w:ilvl w:val="0"/>
          <w:numId w:val="2"/>
        </w:numPr>
        <w:ind w:hanging="360"/>
        <w:contextualSpacing/>
        <w:rPr>
          <w:color w:val="1A1A1A"/>
        </w:rPr>
      </w:pPr>
      <w:r>
        <w:rPr>
          <w:color w:val="1A1A1A"/>
        </w:rPr>
        <w:t>Launch of the Prime Minister’s National Health Insurance Program. The program focuses on targeting the poorest wealth quintile identified through the Benazir Income Support Program database and provides two-tiered financing for major illnesses that contribute to catastrophic health expenditures. </w:t>
      </w:r>
    </w:p>
    <w:p w:rsidR="00CD626F" w:rsidRDefault="00705416">
      <w:pPr>
        <w:widowControl w:val="0"/>
        <w:numPr>
          <w:ilvl w:val="0"/>
          <w:numId w:val="2"/>
        </w:numPr>
        <w:ind w:hanging="360"/>
        <w:contextualSpacing/>
        <w:rPr>
          <w:color w:val="1A1A1A"/>
        </w:rPr>
      </w:pPr>
      <w:r w:rsidRPr="00E34C39">
        <w:rPr>
          <w:color w:val="333333"/>
          <w:highlight w:val="white"/>
        </w:rPr>
        <w:t>Development of a Five Year Road Map (2017-2021) based on weaknesses outlined in a joint external evaluation to strengthen core capacities to prevent, detect, and respond to health threats that jeopardize Pakistan's travel and trade.</w:t>
      </w:r>
      <w:r>
        <w:rPr>
          <w:color w:val="1A1A1A"/>
        </w:rPr>
        <w:t xml:space="preserve"> </w:t>
      </w:r>
    </w:p>
    <w:p w:rsidR="00CD626F" w:rsidRDefault="00705416">
      <w:pPr>
        <w:numPr>
          <w:ilvl w:val="0"/>
          <w:numId w:val="2"/>
        </w:numPr>
        <w:ind w:hanging="360"/>
        <w:contextualSpacing/>
      </w:pPr>
      <w:r>
        <w:rPr>
          <w:color w:val="1A1A1A"/>
        </w:rPr>
        <w:t xml:space="preserve">National Immunization Support Program (NISP).  The World Bank-financed NISP will provide a single financing platform to finance implementation of a comprehensive </w:t>
      </w:r>
      <w:r>
        <w:rPr>
          <w:color w:val="1A1A1A"/>
        </w:rPr>
        <w:lastRenderedPageBreak/>
        <w:t>multi-year plan – aligning support for routine immunization from the World Bank, Gates Foundation (through a partial buy-down), USAID, GAVI and other donors through the proposed multi-donor trust fund.</w:t>
      </w:r>
    </w:p>
    <w:p w:rsidR="00CD626F" w:rsidRDefault="00CD626F"/>
    <w:p w:rsidR="00CD626F" w:rsidRDefault="00705416">
      <w:r>
        <w:rPr>
          <w:b/>
        </w:rPr>
        <w:t>HEALTH SYSTEMS OVERVIEW</w:t>
      </w:r>
    </w:p>
    <w:p w:rsidR="00CD626F" w:rsidRDefault="00705416">
      <w:r>
        <w:rPr>
          <w:i/>
        </w:rPr>
        <w:t>Leadership and Health Governance</w:t>
      </w:r>
    </w:p>
    <w:p w:rsidR="00CD626F" w:rsidRDefault="00705416">
      <w:r>
        <w:t>The 2010 enactment of the 18</w:t>
      </w:r>
      <w:r>
        <w:rPr>
          <w:vertAlign w:val="superscript"/>
        </w:rPr>
        <w:t>th</w:t>
      </w:r>
      <w:r>
        <w:t xml:space="preserve"> Amendment of the Constitution resulted in a major overhaul of the health system in Pakistan. Under the Amendment, all major health and population responsibilities were devolved to the provincial level.  The devolution represented an opportunity to address existing challenges that impact the health system performance such as poor governance, inadequate resource management and overall weak leadership and oversight.  However, there was no strategic dialogue or clear transition plan to ensure smooth transition of roles and responsibilities from federal to provincial level.  As a result, many provinces struggled to take on important functions such as management of financial and human resources.  In addition, the provinces faced challenges in assuming management of existing vertical federal programs, e.g. Maternal, Newborn, Child Health (MNCH), Lady Health Worker Program (LHW), and Population Welfare Program.  </w:t>
      </w:r>
    </w:p>
    <w:p w:rsidR="00CD626F" w:rsidRDefault="00CD626F"/>
    <w:p w:rsidR="00CD626F" w:rsidRDefault="00705416">
      <w:r>
        <w:t>In 2013, the GOP re-established the Ministry of National Health Services, Regulation and Coordination (MNHSRC). The mandate of the MNHSRC includes formulation of a national health vision, setting service delivery standards, regulation of quality and performance of health services, inter-provincial coordination, compilation</w:t>
      </w:r>
      <w:r w:rsidR="009A3483">
        <w:t>,</w:t>
      </w:r>
      <w:r>
        <w:t xml:space="preserve"> and sharing of information on the status of health services, programs and outcomes. While MNHSRC seems to be making slow progress in upholding its new mandate, it does not have adequate capacity to operationalize its new roles and responsibilities. As a result, a couple of areas have not been fulfilled such as the regulatory function in relation to licensing and accreditation of human resources and service delivery and orienting premier federal health institutions</w:t>
      </w:r>
      <w:r>
        <w:rPr>
          <w:vertAlign w:val="superscript"/>
        </w:rPr>
        <w:footnoteReference w:id="6"/>
      </w:r>
      <w:r>
        <w:t xml:space="preserve"> to proactively engage with provinces to realize their mandates.</w:t>
      </w:r>
    </w:p>
    <w:p w:rsidR="00CD626F" w:rsidRDefault="00CD626F"/>
    <w:p w:rsidR="00CD626F" w:rsidRDefault="00705416">
      <w:r>
        <w:t>According to the World Health Organization (WHO), there are huge disparities among the provinces in terms of capacity, infrastructure and level of governance.  It is also important to point out that different provinces have different perspectives on their autonomy in the post-devolution context, which seems to hinder coordination and complicate an already fragmented and complex system. However, provinces do concur on the important role that MNHSRC plays in setting service delivery standards and identifying criteria by which to measure the quality and performance of health services and interventions.</w:t>
      </w:r>
    </w:p>
    <w:p w:rsidR="00CD626F" w:rsidRDefault="00CD626F"/>
    <w:p w:rsidR="00CD626F" w:rsidRDefault="00705416">
      <w:r>
        <w:t xml:space="preserve">The National Health Vision reports weak capacity to regulate the private sector and lack of uniform approach to govern institutions as some of the governance challenges facing GOP’s </w:t>
      </w:r>
      <w:r>
        <w:lastRenderedPageBreak/>
        <w:t xml:space="preserve">health system. The vision calls for rebuilding stewardship at national and provincial level and for accountability mechanisms at all levels. </w:t>
      </w:r>
    </w:p>
    <w:p w:rsidR="00CD626F" w:rsidRDefault="00CD626F"/>
    <w:p w:rsidR="00CD626F" w:rsidRDefault="00705416">
      <w:r>
        <w:rPr>
          <w:i/>
        </w:rPr>
        <w:t>Health Finance</w:t>
      </w:r>
    </w:p>
    <w:p w:rsidR="00CD626F" w:rsidRDefault="00705416">
      <w:r>
        <w:t>According to the National Health Accounts (NHA) 2013-2014, the annual per capita health expenditure for Pakistan is $39.5. In comparison, the respective figures for year 2013-14 reported to the WHO by Sri Lanka, India and Bangladesh are $127,  $,75, and $31, respectively</w:t>
      </w:r>
      <w:r>
        <w:rPr>
          <w:vertAlign w:val="superscript"/>
        </w:rPr>
        <w:footnoteReference w:id="7"/>
      </w:r>
      <w:r>
        <w:t>. Out-of-pocket health expenditure was 60 percent in 2013-2014, compared to 55 percent in 2011-2012.  Catastrophic health expenditure causes 70 percent of economic shocks to poor households (Yogesh 2014).</w:t>
      </w:r>
    </w:p>
    <w:p w:rsidR="00CD626F" w:rsidRDefault="00CD626F"/>
    <w:p w:rsidR="00CD626F" w:rsidRDefault="00705416">
      <w:r>
        <w:t>Overall, preventive and outreach services, information systems, communication and governance remain chronically underfunded. In all provinces, the trends seem to be an imbalance of the expenditures towards tertiary care and medical colleges. Currently, it is unclear whether planning and budgeting processes take into account strategic health priorities, evidence and information from the provinces as well as service delivery and programmatic standards or whether they are based on ad-hoc requests through the PC-1 process. It’s critical that MNHSRC have a role in defining health sector priorities and needs and contribute to the formulation of health plans.</w:t>
      </w:r>
    </w:p>
    <w:p w:rsidR="00CD626F" w:rsidRDefault="00CD626F"/>
    <w:p w:rsidR="00CD626F" w:rsidRDefault="00705416">
      <w:r>
        <w:t xml:space="preserve">The NHV mentions a number of challenges in the health financing area such as low government spending for health (0.86 percent of GDP); weak and inefficient budgeting capacity; overspending in secondary and tertiary care; and lack of financial protection for population sub-groups.  The NHV calls for increasing investment in health to 3 percent of GDP, prioritizing preventive programs, and adopting pro-poor social protection initiatives.  </w:t>
      </w:r>
    </w:p>
    <w:p w:rsidR="00CD626F" w:rsidRDefault="00CD626F"/>
    <w:p w:rsidR="00CD626F" w:rsidRDefault="00705416">
      <w:r>
        <w:t xml:space="preserve">The strategic priorities for provinces include setting benchmarks for a progressive increase in financing for the health sector, securing a higher proportion of the provincial budget, establishing social health insurance programs and levying provincial taxes earmarked for health. </w:t>
      </w:r>
    </w:p>
    <w:p w:rsidR="00CD626F" w:rsidRDefault="00CD626F"/>
    <w:p w:rsidR="00CD626F" w:rsidRDefault="00705416">
      <w:r>
        <w:rPr>
          <w:i/>
        </w:rPr>
        <w:t>Health Information</w:t>
      </w:r>
    </w:p>
    <w:p w:rsidR="009A3483" w:rsidRDefault="00705416">
      <w:r>
        <w:t xml:space="preserve">Health information systems in Pakistan remain fragmented with minimal interoperability between vertical systems. The quality of data collection, input and analysis is also a challenge.  The use of data for policy-making, planning, management and accountability is suboptimal.  The National Health Vision also reports the lack of ongoing data for monitoring as a significant challenge and calls for addressing this gap through innovative technologies to provide timely and reliable evidence for decision-making.  The Vision also calls for building coherence across existing health information systems and for overall strengthening of information systems at national, provincial and district levels. New systems also need to be established for hospitals, human resource management, insurance, and regulation of providers.  </w:t>
      </w:r>
    </w:p>
    <w:p w:rsidR="00CD626F" w:rsidRDefault="00705416">
      <w:r>
        <w:rPr>
          <w:i/>
        </w:rPr>
        <w:lastRenderedPageBreak/>
        <w:t>Human Resources for Health (HRH)</w:t>
      </w:r>
    </w:p>
    <w:p w:rsidR="00CD626F" w:rsidRDefault="00705416">
      <w:r>
        <w:t xml:space="preserve">Challenges related to human resources availability, distribution and motivation affect both access and quality of health care services, particularly primary care services. The absence of a doctor or a medical officer is often cited as the main reason for a non-functional basic health unit.  Such absence in addition to non-availability of female care provider is also the main reason that prevents women from accessing essential maternal health care.  </w:t>
      </w:r>
    </w:p>
    <w:p w:rsidR="00CD626F" w:rsidRDefault="00CD626F"/>
    <w:p w:rsidR="00CD626F" w:rsidRDefault="00705416">
      <w:r>
        <w:t xml:space="preserve">According to 2025 Vision, the public health sector is inadequately staffed and suffers from low quality work environment and low job satisfaction. The Vision acknowledges imbalances in the number, skill mix and deployment of the health workforce, and calls for improving quality of medical education in public and private sectors to improve the quality of the workforce. The latest human resources for health comprehensive assessment in Pakistan were conducted in 2009.  The report concluded that, “equipping health facilities with adequate, well-trained and motivated health workers is the first step in improving utilization and quality of care.” This conclusion remains valid in the post-devolution era.  </w:t>
      </w:r>
    </w:p>
    <w:p w:rsidR="00CD626F" w:rsidRDefault="00CD626F"/>
    <w:p w:rsidR="00CD626F" w:rsidRDefault="00705416">
      <w:r>
        <w:t xml:space="preserve">According to the WHO, the imbalance in the human workforce is indicated by more doctors than nurses and by a significant shortage of midwives.  Based on numbers from Pakistan Physician and Dental Council, by July 31st, 2016, the total number of registered physicians with basic medical degree was 157,206 (83,159 males and 74,047 females.)  </w:t>
      </w:r>
    </w:p>
    <w:p w:rsidR="00CD626F" w:rsidRDefault="00CD626F"/>
    <w:tbl>
      <w:tblPr>
        <w:tblStyle w:val="a"/>
        <w:tblW w:w="7656" w:type="dxa"/>
        <w:tblInd w:w="232" w:type="dxa"/>
        <w:tblLayout w:type="fixed"/>
        <w:tblLook w:val="0400" w:firstRow="0" w:lastRow="0" w:firstColumn="0" w:lastColumn="0" w:noHBand="0" w:noVBand="1"/>
      </w:tblPr>
      <w:tblGrid>
        <w:gridCol w:w="1247"/>
        <w:gridCol w:w="1318"/>
        <w:gridCol w:w="1221"/>
        <w:gridCol w:w="1260"/>
        <w:gridCol w:w="1260"/>
        <w:gridCol w:w="1350"/>
      </w:tblGrid>
      <w:tr w:rsidR="00CD626F">
        <w:trPr>
          <w:trHeight w:val="900"/>
        </w:trPr>
        <w:tc>
          <w:tcPr>
            <w:tcW w:w="124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CD626F" w:rsidRDefault="00705416">
            <w:r>
              <w:rPr>
                <w:sz w:val="22"/>
                <w:szCs w:val="22"/>
              </w:rPr>
              <w:t> </w:t>
            </w:r>
          </w:p>
        </w:tc>
        <w:tc>
          <w:tcPr>
            <w:tcW w:w="1318" w:type="dxa"/>
            <w:tcBorders>
              <w:top w:val="single" w:sz="4" w:space="0" w:color="000000"/>
              <w:left w:val="nil"/>
              <w:bottom w:val="single" w:sz="4" w:space="0" w:color="000000"/>
              <w:right w:val="single" w:sz="4" w:space="0" w:color="000000"/>
            </w:tcBorders>
            <w:shd w:val="clear" w:color="auto" w:fill="FFFFFF"/>
            <w:vAlign w:val="center"/>
          </w:tcPr>
          <w:p w:rsidR="00CD626F" w:rsidRDefault="00705416">
            <w:pPr>
              <w:jc w:val="center"/>
            </w:pPr>
            <w:r>
              <w:rPr>
                <w:sz w:val="22"/>
                <w:szCs w:val="22"/>
              </w:rPr>
              <w:t>Population (as of 2012)</w:t>
            </w:r>
          </w:p>
        </w:tc>
        <w:tc>
          <w:tcPr>
            <w:tcW w:w="1221" w:type="dxa"/>
            <w:tcBorders>
              <w:top w:val="single" w:sz="4" w:space="0" w:color="000000"/>
              <w:left w:val="nil"/>
              <w:bottom w:val="single" w:sz="4" w:space="0" w:color="000000"/>
              <w:right w:val="single" w:sz="4" w:space="0" w:color="000000"/>
            </w:tcBorders>
            <w:shd w:val="clear" w:color="auto" w:fill="FFFFFF"/>
            <w:vAlign w:val="center"/>
          </w:tcPr>
          <w:p w:rsidR="00CD626F" w:rsidRDefault="00705416">
            <w:pPr>
              <w:jc w:val="center"/>
            </w:pPr>
            <w:r>
              <w:rPr>
                <w:sz w:val="22"/>
                <w:szCs w:val="22"/>
              </w:rPr>
              <w:t>Number of Male Physicians</w:t>
            </w:r>
          </w:p>
        </w:tc>
        <w:tc>
          <w:tcPr>
            <w:tcW w:w="1260" w:type="dxa"/>
            <w:tcBorders>
              <w:top w:val="single" w:sz="4" w:space="0" w:color="000000"/>
              <w:left w:val="nil"/>
              <w:bottom w:val="single" w:sz="4" w:space="0" w:color="000000"/>
              <w:right w:val="single" w:sz="4" w:space="0" w:color="000000"/>
            </w:tcBorders>
            <w:shd w:val="clear" w:color="auto" w:fill="FFFFFF"/>
            <w:vAlign w:val="center"/>
          </w:tcPr>
          <w:p w:rsidR="00CD626F" w:rsidRDefault="00705416">
            <w:pPr>
              <w:jc w:val="center"/>
            </w:pPr>
            <w:r>
              <w:rPr>
                <w:sz w:val="22"/>
                <w:szCs w:val="22"/>
              </w:rPr>
              <w:t>Number of Female Physicians</w:t>
            </w:r>
          </w:p>
        </w:tc>
        <w:tc>
          <w:tcPr>
            <w:tcW w:w="1260" w:type="dxa"/>
            <w:tcBorders>
              <w:top w:val="single" w:sz="4" w:space="0" w:color="000000"/>
              <w:left w:val="nil"/>
              <w:bottom w:val="single" w:sz="4" w:space="0" w:color="000000"/>
              <w:right w:val="single" w:sz="4" w:space="0" w:color="000000"/>
            </w:tcBorders>
            <w:shd w:val="clear" w:color="auto" w:fill="FFFFFF"/>
            <w:vAlign w:val="center"/>
          </w:tcPr>
          <w:p w:rsidR="00CD626F" w:rsidRDefault="00705416">
            <w:pPr>
              <w:jc w:val="center"/>
            </w:pPr>
            <w:r>
              <w:rPr>
                <w:sz w:val="22"/>
                <w:szCs w:val="22"/>
              </w:rPr>
              <w:t>Total number of Physicians</w:t>
            </w:r>
          </w:p>
        </w:tc>
        <w:tc>
          <w:tcPr>
            <w:tcW w:w="1350" w:type="dxa"/>
            <w:tcBorders>
              <w:top w:val="single" w:sz="4" w:space="0" w:color="000000"/>
              <w:left w:val="nil"/>
              <w:bottom w:val="single" w:sz="4" w:space="0" w:color="000000"/>
              <w:right w:val="single" w:sz="4" w:space="0" w:color="000000"/>
            </w:tcBorders>
            <w:shd w:val="clear" w:color="auto" w:fill="FFFFFF"/>
            <w:vAlign w:val="center"/>
          </w:tcPr>
          <w:p w:rsidR="00CD626F" w:rsidRDefault="00705416">
            <w:pPr>
              <w:jc w:val="center"/>
            </w:pPr>
            <w:r>
              <w:rPr>
                <w:sz w:val="22"/>
                <w:szCs w:val="22"/>
              </w:rPr>
              <w:t>Physician Density</w:t>
            </w:r>
          </w:p>
        </w:tc>
      </w:tr>
      <w:tr w:rsidR="00CD626F">
        <w:trPr>
          <w:trHeight w:val="300"/>
        </w:trPr>
        <w:tc>
          <w:tcPr>
            <w:tcW w:w="1247" w:type="dxa"/>
            <w:tcBorders>
              <w:top w:val="nil"/>
              <w:left w:val="single" w:sz="4" w:space="0" w:color="000000"/>
              <w:bottom w:val="single" w:sz="4" w:space="0" w:color="000000"/>
              <w:right w:val="single" w:sz="4" w:space="0" w:color="000000"/>
            </w:tcBorders>
            <w:shd w:val="clear" w:color="auto" w:fill="FFFFFF"/>
            <w:vAlign w:val="bottom"/>
          </w:tcPr>
          <w:p w:rsidR="00CD626F" w:rsidRDefault="00705416">
            <w:r>
              <w:rPr>
                <w:sz w:val="22"/>
                <w:szCs w:val="22"/>
              </w:rPr>
              <w:t xml:space="preserve">Punjab </w:t>
            </w:r>
          </w:p>
        </w:tc>
        <w:tc>
          <w:tcPr>
            <w:tcW w:w="1318" w:type="dxa"/>
            <w:tcBorders>
              <w:top w:val="nil"/>
              <w:left w:val="nil"/>
              <w:bottom w:val="single" w:sz="4" w:space="0" w:color="000000"/>
              <w:right w:val="single" w:sz="4" w:space="0" w:color="000000"/>
            </w:tcBorders>
            <w:shd w:val="clear" w:color="auto" w:fill="FFFFFF"/>
            <w:vAlign w:val="bottom"/>
          </w:tcPr>
          <w:p w:rsidR="00CD626F" w:rsidRDefault="00705416">
            <w:pPr>
              <w:jc w:val="right"/>
            </w:pPr>
            <w:r>
              <w:rPr>
                <w:rFonts w:ascii="Arial" w:eastAsia="Arial" w:hAnsi="Arial" w:cs="Arial"/>
                <w:sz w:val="22"/>
                <w:szCs w:val="22"/>
              </w:rPr>
              <w:t>91,379,615</w:t>
            </w:r>
          </w:p>
        </w:tc>
        <w:tc>
          <w:tcPr>
            <w:tcW w:w="1221" w:type="dxa"/>
            <w:tcBorders>
              <w:top w:val="nil"/>
              <w:left w:val="nil"/>
              <w:bottom w:val="single" w:sz="4" w:space="0" w:color="000000"/>
              <w:right w:val="single" w:sz="4" w:space="0" w:color="000000"/>
            </w:tcBorders>
            <w:shd w:val="clear" w:color="auto" w:fill="FFFFFF"/>
            <w:vAlign w:val="bottom"/>
          </w:tcPr>
          <w:p w:rsidR="00CD626F" w:rsidRDefault="00705416">
            <w:pPr>
              <w:jc w:val="right"/>
            </w:pPr>
            <w:r>
              <w:rPr>
                <w:rFonts w:ascii="Arial" w:eastAsia="Arial" w:hAnsi="Arial" w:cs="Arial"/>
                <w:sz w:val="22"/>
                <w:szCs w:val="22"/>
              </w:rPr>
              <w:t>33,563</w:t>
            </w:r>
          </w:p>
        </w:tc>
        <w:tc>
          <w:tcPr>
            <w:tcW w:w="1260" w:type="dxa"/>
            <w:tcBorders>
              <w:top w:val="nil"/>
              <w:left w:val="nil"/>
              <w:bottom w:val="single" w:sz="4" w:space="0" w:color="000000"/>
              <w:right w:val="single" w:sz="4" w:space="0" w:color="000000"/>
            </w:tcBorders>
            <w:shd w:val="clear" w:color="auto" w:fill="FFFFFF"/>
            <w:vAlign w:val="bottom"/>
          </w:tcPr>
          <w:p w:rsidR="00CD626F" w:rsidRDefault="00705416">
            <w:pPr>
              <w:jc w:val="right"/>
            </w:pPr>
            <w:r>
              <w:rPr>
                <w:rFonts w:ascii="Arial" w:eastAsia="Arial" w:hAnsi="Arial" w:cs="Arial"/>
                <w:sz w:val="22"/>
                <w:szCs w:val="22"/>
              </w:rPr>
              <w:t>33,288</w:t>
            </w:r>
          </w:p>
        </w:tc>
        <w:tc>
          <w:tcPr>
            <w:tcW w:w="1260" w:type="dxa"/>
            <w:tcBorders>
              <w:top w:val="nil"/>
              <w:left w:val="nil"/>
              <w:bottom w:val="single" w:sz="4" w:space="0" w:color="000000"/>
              <w:right w:val="single" w:sz="4" w:space="0" w:color="000000"/>
            </w:tcBorders>
            <w:shd w:val="clear" w:color="auto" w:fill="FFFFFF"/>
            <w:vAlign w:val="bottom"/>
          </w:tcPr>
          <w:p w:rsidR="00CD626F" w:rsidRDefault="00705416">
            <w:pPr>
              <w:jc w:val="right"/>
            </w:pPr>
            <w:r>
              <w:rPr>
                <w:sz w:val="22"/>
                <w:szCs w:val="22"/>
              </w:rPr>
              <w:t>66,851</w:t>
            </w:r>
          </w:p>
        </w:tc>
        <w:tc>
          <w:tcPr>
            <w:tcW w:w="1350" w:type="dxa"/>
            <w:tcBorders>
              <w:top w:val="nil"/>
              <w:left w:val="nil"/>
              <w:bottom w:val="single" w:sz="4" w:space="0" w:color="000000"/>
              <w:right w:val="single" w:sz="4" w:space="0" w:color="000000"/>
            </w:tcBorders>
            <w:shd w:val="clear" w:color="auto" w:fill="FFFFFF"/>
            <w:vAlign w:val="bottom"/>
          </w:tcPr>
          <w:p w:rsidR="00CD626F" w:rsidRDefault="00705416">
            <w:pPr>
              <w:jc w:val="right"/>
            </w:pPr>
            <w:r>
              <w:rPr>
                <w:sz w:val="22"/>
                <w:szCs w:val="22"/>
              </w:rPr>
              <w:t>0.73</w:t>
            </w:r>
          </w:p>
        </w:tc>
      </w:tr>
      <w:tr w:rsidR="00CD626F">
        <w:trPr>
          <w:trHeight w:val="300"/>
        </w:trPr>
        <w:tc>
          <w:tcPr>
            <w:tcW w:w="1247" w:type="dxa"/>
            <w:tcBorders>
              <w:top w:val="nil"/>
              <w:left w:val="single" w:sz="4" w:space="0" w:color="000000"/>
              <w:bottom w:val="single" w:sz="4" w:space="0" w:color="000000"/>
              <w:right w:val="single" w:sz="4" w:space="0" w:color="000000"/>
            </w:tcBorders>
            <w:shd w:val="clear" w:color="auto" w:fill="FFFFFF"/>
            <w:vAlign w:val="bottom"/>
          </w:tcPr>
          <w:p w:rsidR="00CD626F" w:rsidRDefault="00705416">
            <w:r>
              <w:rPr>
                <w:sz w:val="22"/>
                <w:szCs w:val="22"/>
              </w:rPr>
              <w:t>Sindh</w:t>
            </w:r>
          </w:p>
        </w:tc>
        <w:tc>
          <w:tcPr>
            <w:tcW w:w="1318" w:type="dxa"/>
            <w:tcBorders>
              <w:top w:val="nil"/>
              <w:left w:val="nil"/>
              <w:bottom w:val="single" w:sz="4" w:space="0" w:color="000000"/>
              <w:right w:val="single" w:sz="4" w:space="0" w:color="000000"/>
            </w:tcBorders>
            <w:shd w:val="clear" w:color="auto" w:fill="FFFFFF"/>
            <w:vAlign w:val="bottom"/>
          </w:tcPr>
          <w:p w:rsidR="00CD626F" w:rsidRDefault="00705416">
            <w:pPr>
              <w:jc w:val="right"/>
            </w:pPr>
            <w:r>
              <w:rPr>
                <w:rFonts w:ascii="Arial" w:eastAsia="Arial" w:hAnsi="Arial" w:cs="Arial"/>
                <w:sz w:val="22"/>
                <w:szCs w:val="22"/>
              </w:rPr>
              <w:t>55,245,497</w:t>
            </w:r>
          </w:p>
        </w:tc>
        <w:tc>
          <w:tcPr>
            <w:tcW w:w="1221" w:type="dxa"/>
            <w:tcBorders>
              <w:top w:val="nil"/>
              <w:left w:val="nil"/>
              <w:bottom w:val="single" w:sz="4" w:space="0" w:color="000000"/>
              <w:right w:val="single" w:sz="4" w:space="0" w:color="000000"/>
            </w:tcBorders>
            <w:shd w:val="clear" w:color="auto" w:fill="FFFFFF"/>
            <w:vAlign w:val="bottom"/>
          </w:tcPr>
          <w:p w:rsidR="00CD626F" w:rsidRDefault="00705416">
            <w:pPr>
              <w:jc w:val="right"/>
            </w:pPr>
            <w:r>
              <w:rPr>
                <w:rFonts w:ascii="Arial" w:eastAsia="Arial" w:hAnsi="Arial" w:cs="Arial"/>
                <w:sz w:val="22"/>
                <w:szCs w:val="22"/>
              </w:rPr>
              <w:t>29,763</w:t>
            </w:r>
          </w:p>
        </w:tc>
        <w:tc>
          <w:tcPr>
            <w:tcW w:w="1260" w:type="dxa"/>
            <w:tcBorders>
              <w:top w:val="nil"/>
              <w:left w:val="nil"/>
              <w:bottom w:val="single" w:sz="4" w:space="0" w:color="000000"/>
              <w:right w:val="single" w:sz="4" w:space="0" w:color="000000"/>
            </w:tcBorders>
            <w:shd w:val="clear" w:color="auto" w:fill="FFFFFF"/>
            <w:vAlign w:val="bottom"/>
          </w:tcPr>
          <w:p w:rsidR="00CD626F" w:rsidRDefault="00705416">
            <w:pPr>
              <w:jc w:val="right"/>
            </w:pPr>
            <w:r>
              <w:rPr>
                <w:rFonts w:ascii="Arial" w:eastAsia="Arial" w:hAnsi="Arial" w:cs="Arial"/>
                <w:sz w:val="22"/>
                <w:szCs w:val="22"/>
              </w:rPr>
              <w:t>30,078</w:t>
            </w:r>
          </w:p>
        </w:tc>
        <w:tc>
          <w:tcPr>
            <w:tcW w:w="1260" w:type="dxa"/>
            <w:tcBorders>
              <w:top w:val="nil"/>
              <w:left w:val="nil"/>
              <w:bottom w:val="single" w:sz="4" w:space="0" w:color="000000"/>
              <w:right w:val="single" w:sz="4" w:space="0" w:color="000000"/>
            </w:tcBorders>
            <w:shd w:val="clear" w:color="auto" w:fill="FFFFFF"/>
            <w:vAlign w:val="bottom"/>
          </w:tcPr>
          <w:p w:rsidR="00CD626F" w:rsidRDefault="00705416">
            <w:pPr>
              <w:jc w:val="right"/>
            </w:pPr>
            <w:r>
              <w:rPr>
                <w:sz w:val="22"/>
                <w:szCs w:val="22"/>
              </w:rPr>
              <w:t>59,841</w:t>
            </w:r>
          </w:p>
        </w:tc>
        <w:tc>
          <w:tcPr>
            <w:tcW w:w="1350" w:type="dxa"/>
            <w:tcBorders>
              <w:top w:val="nil"/>
              <w:left w:val="nil"/>
              <w:bottom w:val="single" w:sz="4" w:space="0" w:color="000000"/>
              <w:right w:val="single" w:sz="4" w:space="0" w:color="000000"/>
            </w:tcBorders>
            <w:shd w:val="clear" w:color="auto" w:fill="FFFFFF"/>
            <w:vAlign w:val="bottom"/>
          </w:tcPr>
          <w:p w:rsidR="00CD626F" w:rsidRDefault="00705416">
            <w:pPr>
              <w:jc w:val="right"/>
            </w:pPr>
            <w:r>
              <w:rPr>
                <w:sz w:val="22"/>
                <w:szCs w:val="22"/>
              </w:rPr>
              <w:t>1.08</w:t>
            </w:r>
          </w:p>
        </w:tc>
      </w:tr>
      <w:tr w:rsidR="00CD626F">
        <w:trPr>
          <w:trHeight w:val="300"/>
        </w:trPr>
        <w:tc>
          <w:tcPr>
            <w:tcW w:w="1247" w:type="dxa"/>
            <w:tcBorders>
              <w:top w:val="nil"/>
              <w:left w:val="single" w:sz="4" w:space="0" w:color="000000"/>
              <w:bottom w:val="single" w:sz="4" w:space="0" w:color="000000"/>
              <w:right w:val="single" w:sz="4" w:space="0" w:color="000000"/>
            </w:tcBorders>
            <w:shd w:val="clear" w:color="auto" w:fill="FFFFFF"/>
            <w:vAlign w:val="bottom"/>
          </w:tcPr>
          <w:p w:rsidR="00CD626F" w:rsidRDefault="00705416">
            <w:r>
              <w:rPr>
                <w:sz w:val="22"/>
                <w:szCs w:val="22"/>
              </w:rPr>
              <w:t>KPK</w:t>
            </w:r>
          </w:p>
        </w:tc>
        <w:tc>
          <w:tcPr>
            <w:tcW w:w="1318" w:type="dxa"/>
            <w:tcBorders>
              <w:top w:val="nil"/>
              <w:left w:val="nil"/>
              <w:bottom w:val="single" w:sz="4" w:space="0" w:color="000000"/>
              <w:right w:val="single" w:sz="4" w:space="0" w:color="000000"/>
            </w:tcBorders>
            <w:shd w:val="clear" w:color="auto" w:fill="FFFFFF"/>
            <w:vAlign w:val="bottom"/>
          </w:tcPr>
          <w:p w:rsidR="00CD626F" w:rsidRDefault="00705416">
            <w:pPr>
              <w:jc w:val="right"/>
            </w:pPr>
            <w:r>
              <w:rPr>
                <w:rFonts w:ascii="Arial" w:eastAsia="Arial" w:hAnsi="Arial" w:cs="Arial"/>
                <w:sz w:val="22"/>
                <w:szCs w:val="22"/>
              </w:rPr>
              <w:t>26,896,829</w:t>
            </w:r>
          </w:p>
        </w:tc>
        <w:tc>
          <w:tcPr>
            <w:tcW w:w="1221" w:type="dxa"/>
            <w:tcBorders>
              <w:top w:val="nil"/>
              <w:left w:val="nil"/>
              <w:bottom w:val="single" w:sz="4" w:space="0" w:color="000000"/>
              <w:right w:val="single" w:sz="4" w:space="0" w:color="000000"/>
            </w:tcBorders>
            <w:shd w:val="clear" w:color="auto" w:fill="FFFFFF"/>
            <w:vAlign w:val="bottom"/>
          </w:tcPr>
          <w:p w:rsidR="00CD626F" w:rsidRDefault="00705416">
            <w:pPr>
              <w:jc w:val="right"/>
            </w:pPr>
            <w:r>
              <w:rPr>
                <w:rFonts w:ascii="Arial" w:eastAsia="Arial" w:hAnsi="Arial" w:cs="Arial"/>
                <w:sz w:val="22"/>
                <w:szCs w:val="22"/>
              </w:rPr>
              <w:t>12,697</w:t>
            </w:r>
          </w:p>
        </w:tc>
        <w:tc>
          <w:tcPr>
            <w:tcW w:w="1260" w:type="dxa"/>
            <w:tcBorders>
              <w:top w:val="nil"/>
              <w:left w:val="nil"/>
              <w:bottom w:val="single" w:sz="4" w:space="0" w:color="000000"/>
              <w:right w:val="single" w:sz="4" w:space="0" w:color="000000"/>
            </w:tcBorders>
            <w:shd w:val="clear" w:color="auto" w:fill="FFFFFF"/>
            <w:vAlign w:val="bottom"/>
          </w:tcPr>
          <w:p w:rsidR="00CD626F" w:rsidRDefault="00705416">
            <w:pPr>
              <w:jc w:val="right"/>
            </w:pPr>
            <w:r>
              <w:rPr>
                <w:rFonts w:ascii="Arial" w:eastAsia="Arial" w:hAnsi="Arial" w:cs="Arial"/>
                <w:sz w:val="22"/>
                <w:szCs w:val="22"/>
              </w:rPr>
              <w:t>6,516</w:t>
            </w:r>
          </w:p>
        </w:tc>
        <w:tc>
          <w:tcPr>
            <w:tcW w:w="1260" w:type="dxa"/>
            <w:tcBorders>
              <w:top w:val="nil"/>
              <w:left w:val="nil"/>
              <w:bottom w:val="single" w:sz="4" w:space="0" w:color="000000"/>
              <w:right w:val="single" w:sz="4" w:space="0" w:color="000000"/>
            </w:tcBorders>
            <w:shd w:val="clear" w:color="auto" w:fill="FFFFFF"/>
            <w:vAlign w:val="bottom"/>
          </w:tcPr>
          <w:p w:rsidR="00CD626F" w:rsidRDefault="00705416">
            <w:pPr>
              <w:jc w:val="right"/>
            </w:pPr>
            <w:r>
              <w:rPr>
                <w:sz w:val="22"/>
                <w:szCs w:val="22"/>
              </w:rPr>
              <w:t>19,213</w:t>
            </w:r>
          </w:p>
        </w:tc>
        <w:tc>
          <w:tcPr>
            <w:tcW w:w="1350" w:type="dxa"/>
            <w:tcBorders>
              <w:top w:val="nil"/>
              <w:left w:val="nil"/>
              <w:bottom w:val="single" w:sz="4" w:space="0" w:color="000000"/>
              <w:right w:val="single" w:sz="4" w:space="0" w:color="000000"/>
            </w:tcBorders>
            <w:shd w:val="clear" w:color="auto" w:fill="FFFFFF"/>
            <w:vAlign w:val="bottom"/>
          </w:tcPr>
          <w:p w:rsidR="00CD626F" w:rsidRDefault="00705416">
            <w:pPr>
              <w:jc w:val="right"/>
            </w:pPr>
            <w:r>
              <w:rPr>
                <w:sz w:val="22"/>
                <w:szCs w:val="22"/>
              </w:rPr>
              <w:t>0.71</w:t>
            </w:r>
          </w:p>
        </w:tc>
      </w:tr>
      <w:tr w:rsidR="00CD626F">
        <w:trPr>
          <w:trHeight w:val="300"/>
        </w:trPr>
        <w:tc>
          <w:tcPr>
            <w:tcW w:w="1247" w:type="dxa"/>
            <w:tcBorders>
              <w:top w:val="nil"/>
              <w:left w:val="single" w:sz="4" w:space="0" w:color="000000"/>
              <w:bottom w:val="single" w:sz="4" w:space="0" w:color="000000"/>
              <w:right w:val="single" w:sz="4" w:space="0" w:color="000000"/>
            </w:tcBorders>
            <w:shd w:val="clear" w:color="auto" w:fill="FFFFFF"/>
            <w:vAlign w:val="bottom"/>
          </w:tcPr>
          <w:p w:rsidR="00CD626F" w:rsidRDefault="00705416">
            <w:r>
              <w:rPr>
                <w:sz w:val="22"/>
                <w:szCs w:val="22"/>
              </w:rPr>
              <w:t xml:space="preserve">Baluchistan </w:t>
            </w:r>
          </w:p>
        </w:tc>
        <w:tc>
          <w:tcPr>
            <w:tcW w:w="1318" w:type="dxa"/>
            <w:tcBorders>
              <w:top w:val="nil"/>
              <w:left w:val="nil"/>
              <w:bottom w:val="single" w:sz="4" w:space="0" w:color="000000"/>
              <w:right w:val="single" w:sz="4" w:space="0" w:color="000000"/>
            </w:tcBorders>
            <w:shd w:val="clear" w:color="auto" w:fill="FFFFFF"/>
            <w:vAlign w:val="bottom"/>
          </w:tcPr>
          <w:p w:rsidR="00CD626F" w:rsidRDefault="00705416">
            <w:pPr>
              <w:jc w:val="right"/>
            </w:pPr>
            <w:r>
              <w:rPr>
                <w:rFonts w:ascii="Arial" w:eastAsia="Arial" w:hAnsi="Arial" w:cs="Arial"/>
                <w:sz w:val="22"/>
                <w:szCs w:val="22"/>
              </w:rPr>
              <w:t>13,162,222</w:t>
            </w:r>
          </w:p>
        </w:tc>
        <w:tc>
          <w:tcPr>
            <w:tcW w:w="1221" w:type="dxa"/>
            <w:tcBorders>
              <w:top w:val="nil"/>
              <w:left w:val="nil"/>
              <w:bottom w:val="single" w:sz="4" w:space="0" w:color="000000"/>
              <w:right w:val="single" w:sz="4" w:space="0" w:color="000000"/>
            </w:tcBorders>
            <w:shd w:val="clear" w:color="auto" w:fill="FFFFFF"/>
            <w:vAlign w:val="bottom"/>
          </w:tcPr>
          <w:p w:rsidR="00CD626F" w:rsidRDefault="00705416">
            <w:pPr>
              <w:jc w:val="right"/>
            </w:pPr>
            <w:r>
              <w:rPr>
                <w:rFonts w:ascii="Arial" w:eastAsia="Arial" w:hAnsi="Arial" w:cs="Arial"/>
                <w:sz w:val="22"/>
                <w:szCs w:val="22"/>
              </w:rPr>
              <w:t>2,631</w:t>
            </w:r>
          </w:p>
        </w:tc>
        <w:tc>
          <w:tcPr>
            <w:tcW w:w="1260" w:type="dxa"/>
            <w:tcBorders>
              <w:top w:val="nil"/>
              <w:left w:val="nil"/>
              <w:bottom w:val="single" w:sz="4" w:space="0" w:color="000000"/>
              <w:right w:val="single" w:sz="4" w:space="0" w:color="000000"/>
            </w:tcBorders>
            <w:shd w:val="clear" w:color="auto" w:fill="FFFFFF"/>
            <w:vAlign w:val="bottom"/>
          </w:tcPr>
          <w:p w:rsidR="00CD626F" w:rsidRDefault="00705416">
            <w:pPr>
              <w:jc w:val="right"/>
            </w:pPr>
            <w:r>
              <w:rPr>
                <w:rFonts w:ascii="Arial" w:eastAsia="Arial" w:hAnsi="Arial" w:cs="Arial"/>
                <w:sz w:val="22"/>
                <w:szCs w:val="22"/>
              </w:rPr>
              <w:t>1,768</w:t>
            </w:r>
          </w:p>
        </w:tc>
        <w:tc>
          <w:tcPr>
            <w:tcW w:w="1260" w:type="dxa"/>
            <w:tcBorders>
              <w:top w:val="nil"/>
              <w:left w:val="nil"/>
              <w:bottom w:val="single" w:sz="4" w:space="0" w:color="000000"/>
              <w:right w:val="single" w:sz="4" w:space="0" w:color="000000"/>
            </w:tcBorders>
            <w:shd w:val="clear" w:color="auto" w:fill="FFFFFF"/>
            <w:vAlign w:val="bottom"/>
          </w:tcPr>
          <w:p w:rsidR="00CD626F" w:rsidRDefault="00705416">
            <w:pPr>
              <w:jc w:val="right"/>
            </w:pPr>
            <w:r>
              <w:rPr>
                <w:sz w:val="22"/>
                <w:szCs w:val="22"/>
              </w:rPr>
              <w:t>4,399</w:t>
            </w:r>
          </w:p>
        </w:tc>
        <w:tc>
          <w:tcPr>
            <w:tcW w:w="1350" w:type="dxa"/>
            <w:tcBorders>
              <w:top w:val="nil"/>
              <w:left w:val="nil"/>
              <w:bottom w:val="single" w:sz="4" w:space="0" w:color="000000"/>
              <w:right w:val="single" w:sz="4" w:space="0" w:color="000000"/>
            </w:tcBorders>
            <w:shd w:val="clear" w:color="auto" w:fill="FFFFFF"/>
            <w:vAlign w:val="bottom"/>
          </w:tcPr>
          <w:p w:rsidR="00CD626F" w:rsidRDefault="00705416">
            <w:pPr>
              <w:jc w:val="right"/>
            </w:pPr>
            <w:r>
              <w:rPr>
                <w:sz w:val="22"/>
                <w:szCs w:val="22"/>
              </w:rPr>
              <w:t>0.33</w:t>
            </w:r>
          </w:p>
        </w:tc>
      </w:tr>
    </w:tbl>
    <w:p w:rsidR="00CD626F" w:rsidRDefault="00705416">
      <w:pPr>
        <w:jc w:val="center"/>
      </w:pPr>
      <w:r>
        <w:rPr>
          <w:sz w:val="20"/>
          <w:szCs w:val="20"/>
        </w:rPr>
        <w:t xml:space="preserve">Physician Density in four Pakistan provinces </w:t>
      </w:r>
    </w:p>
    <w:p w:rsidR="00CD626F" w:rsidRDefault="00CD626F">
      <w:pPr>
        <w:ind w:right="300"/>
      </w:pPr>
    </w:p>
    <w:p w:rsidR="00CD626F" w:rsidRDefault="00705416">
      <w:pPr>
        <w:ind w:right="300"/>
      </w:pPr>
      <w:r>
        <w:t xml:space="preserve">Below is a summary of Pakistan’s challenges in the HRH as identified by the WHO: </w:t>
      </w:r>
    </w:p>
    <w:p w:rsidR="00CD626F" w:rsidRDefault="00705416">
      <w:pPr>
        <w:numPr>
          <w:ilvl w:val="0"/>
          <w:numId w:val="12"/>
        </w:numPr>
        <w:ind w:right="300" w:hanging="263"/>
        <w:contextualSpacing/>
      </w:pPr>
      <w:r>
        <w:t>Rural/ urban maldistribution of health workers</w:t>
      </w:r>
    </w:p>
    <w:p w:rsidR="00CD626F" w:rsidRDefault="00705416">
      <w:pPr>
        <w:numPr>
          <w:ilvl w:val="0"/>
          <w:numId w:val="12"/>
        </w:numPr>
        <w:ind w:right="300" w:hanging="263"/>
        <w:contextualSpacing/>
      </w:pPr>
      <w:r>
        <w:t>Weak HRH management system</w:t>
      </w:r>
    </w:p>
    <w:p w:rsidR="00CD626F" w:rsidRDefault="00705416">
      <w:pPr>
        <w:numPr>
          <w:ilvl w:val="0"/>
          <w:numId w:val="12"/>
        </w:numPr>
        <w:ind w:right="300" w:hanging="263"/>
        <w:contextualSpacing/>
      </w:pPr>
      <w:r>
        <w:t>Shortage of HRH, mostly in rural areas</w:t>
      </w:r>
    </w:p>
    <w:p w:rsidR="00CD626F" w:rsidRDefault="00705416">
      <w:pPr>
        <w:numPr>
          <w:ilvl w:val="0"/>
          <w:numId w:val="12"/>
        </w:numPr>
        <w:ind w:right="300" w:hanging="263"/>
        <w:contextualSpacing/>
      </w:pPr>
      <w:r>
        <w:t>“Brain drain” of skilled health workers to other countries</w:t>
      </w:r>
    </w:p>
    <w:p w:rsidR="00CD626F" w:rsidRDefault="00705416">
      <w:pPr>
        <w:numPr>
          <w:ilvl w:val="0"/>
          <w:numId w:val="12"/>
        </w:numPr>
        <w:ind w:right="300" w:hanging="263"/>
        <w:contextualSpacing/>
      </w:pPr>
      <w:r>
        <w:t>A non-regulated private sector that operates primarily in urban areas</w:t>
      </w:r>
    </w:p>
    <w:p w:rsidR="00CD626F" w:rsidRDefault="00705416">
      <w:pPr>
        <w:numPr>
          <w:ilvl w:val="0"/>
          <w:numId w:val="12"/>
        </w:numPr>
        <w:ind w:right="300" w:hanging="263"/>
        <w:contextualSpacing/>
      </w:pPr>
      <w:r>
        <w:t>Tenuous quality control and standardization of care</w:t>
      </w:r>
    </w:p>
    <w:p w:rsidR="00CD626F" w:rsidRDefault="00705416">
      <w:pPr>
        <w:numPr>
          <w:ilvl w:val="0"/>
          <w:numId w:val="12"/>
        </w:numPr>
        <w:ind w:right="300" w:hanging="263"/>
        <w:contextualSpacing/>
      </w:pPr>
      <w:r>
        <w:t>Health information systems not inclusive of HRH</w:t>
      </w:r>
    </w:p>
    <w:p w:rsidR="00CD626F" w:rsidRDefault="00705416">
      <w:pPr>
        <w:numPr>
          <w:ilvl w:val="0"/>
          <w:numId w:val="12"/>
        </w:numPr>
        <w:ind w:right="300" w:hanging="263"/>
        <w:contextualSpacing/>
      </w:pPr>
      <w:r>
        <w:t>Lack of a coordination mechanism for HRH stakeholders</w:t>
      </w:r>
    </w:p>
    <w:p w:rsidR="00CD626F" w:rsidRDefault="00CD626F"/>
    <w:p w:rsidR="00CD626F" w:rsidRDefault="00705416">
      <w:r>
        <w:rPr>
          <w:b/>
        </w:rPr>
        <w:t>TECHNICAL AREAS</w:t>
      </w:r>
    </w:p>
    <w:p w:rsidR="00CD626F" w:rsidRDefault="00705416">
      <w:r>
        <w:rPr>
          <w:i/>
        </w:rPr>
        <w:t>Maternal Health</w:t>
      </w:r>
    </w:p>
    <w:p w:rsidR="00CD626F" w:rsidRDefault="00705416">
      <w:r>
        <w:t xml:space="preserve">When measured in 2007, the Maternal Mortality ratio (MMR) in Pakistan was 276 maternal deaths per 100,000 live births, with higher MMRs in Baluchistan and Sindh (785 and 314 per 100,000 live births, respectively). The country has witnessed progress in maternal health. For example, over half of births today are assisted by a skilled provider.  However, 38 percent of women have no postnatal checkup.  Equally important, postnatal care varies widely between urban and rural areas. For example, the widest gap is in Khyber Pakhtunkhwa where 64 percent of women from urban areas received postnatal care compared to 33 percent from rural areas).  </w:t>
      </w:r>
    </w:p>
    <w:p w:rsidR="00CD626F" w:rsidRDefault="00CD626F"/>
    <w:p w:rsidR="00CD626F" w:rsidRDefault="00705416">
      <w:r>
        <w:t>A Pakistani researcher noted that there are “stark differences between women in the first quintile and women in the second to fifth quintiles terms of human capital, earlier initiation of childbearing, higher child mortality, and lower utilization of maternal health services.”  The study observed that “the needs of the most geographically, economically, and socially vulnerable women go beyond simply expanding health services provision… and an approach that focuses on increasing the availability and quality of maternal health services may be effective in reaching a majority of the population but may not succeed in reaching the poorest women.”  The study concluded “If the lowest income segment of the population does indeed contribute disproportionately to maternal deaths in Pakistan, it is important to have elements in the service provision approach which differentially reach out to the poorest women with high-quality maternal health services.”</w:t>
      </w:r>
      <w:r>
        <w:rPr>
          <w:vertAlign w:val="superscript"/>
        </w:rPr>
        <w:footnoteReference w:id="8"/>
      </w:r>
      <w:r>
        <w:t xml:space="preserve"> The study recommended “greater emphasis is needed on implementing activities that target the poorest women and their families in rural areas, as well as low-income urban areas.  </w:t>
      </w:r>
    </w:p>
    <w:p w:rsidR="00CD626F" w:rsidRDefault="00CD626F"/>
    <w:p w:rsidR="00CD626F" w:rsidRDefault="00705416">
      <w:r>
        <w:rPr>
          <w:i/>
        </w:rPr>
        <w:t xml:space="preserve">Newborn and Child Health   </w:t>
      </w:r>
    </w:p>
    <w:p w:rsidR="00CD626F" w:rsidRDefault="00705416">
      <w:r>
        <w:t>Neonatal mortality has remained unchanged for 20 years, while under-five mortality has declined by 24 percent in the same period.</w:t>
      </w:r>
      <w:r>
        <w:rPr>
          <w:vertAlign w:val="superscript"/>
        </w:rPr>
        <w:footnoteReference w:id="9"/>
      </w:r>
      <w:r>
        <w:t xml:space="preserve"> Fifty-four percent of newborns do not receive a postnatal or neonatal checkup and, of those who do, only 43 percent received a postnatal checkup in the first two days after birth. Pakistan has a very high neonatal mortality rate of 55 deaths per 1,000 live births – with the vast majority being attributed to easily preventable causes: birth asphyxia, sepsis, and prematurity. In Pakistan, the perinatal mortality rate (stillbirths and neonatal deaths) in the lowest income quintile is double that in the highest income quintile (101 vs 46)</w:t>
      </w:r>
      <w:r>
        <w:rPr>
          <w:vertAlign w:val="superscript"/>
        </w:rPr>
        <w:footnoteReference w:id="10"/>
      </w:r>
      <w:r>
        <w:t xml:space="preserve">.  </w:t>
      </w:r>
    </w:p>
    <w:p w:rsidR="00CD626F" w:rsidRDefault="00CD626F"/>
    <w:p w:rsidR="00CD626F" w:rsidRDefault="00705416">
      <w:r>
        <w:t xml:space="preserve">Under-five mortality is also high in Pakistan at 89 deaths per 1,000 live births. Acute respiratory infections, malaria and dehydration caused by severe diarrhea are major causes of childhood mortality in Pakistan. Treatment practices are still well behind standard protocols, as only 42 </w:t>
      </w:r>
      <w:r>
        <w:lastRenderedPageBreak/>
        <w:t xml:space="preserve">percent of children diagnosed with an Acute Respiratory Infection (ARI) were prescribed antibiotics and the use of Oral Rehydration Solution (ORS) remains low at 38 percent. </w:t>
      </w:r>
    </w:p>
    <w:p w:rsidR="00CD626F" w:rsidRDefault="00705416">
      <w:r>
        <w:t>Under-five mortality is 151 when birth intervals are less than two years apart, and falls to 52 when births are spaced 4 years.</w:t>
      </w:r>
      <w:r>
        <w:rPr>
          <w:vertAlign w:val="superscript"/>
        </w:rPr>
        <w:footnoteReference w:id="11"/>
      </w:r>
      <w:r>
        <w:t xml:space="preserve">  Pakistan is one of only two countries in the world still battling endemic wild polio virus. </w:t>
      </w:r>
    </w:p>
    <w:p w:rsidR="00CD626F" w:rsidRDefault="00CD626F"/>
    <w:p w:rsidR="00CD626F" w:rsidRDefault="00705416">
      <w:r>
        <w:t>Despite these conditions, researchers in Pakistan have shown how integrated services, delivered through Lady Health Workers (LHWs) in remote areas, can achieve, in as little as 18 months, significant improvements in antenatal care, vaccinations, institutional delivery, cord application, delayed bathing, colostrum administration and initiation of breastfeeding within one hour after birth, with significant reductions in perinatal and neonatal mortality.</w:t>
      </w:r>
      <w:r>
        <w:rPr>
          <w:vertAlign w:val="superscript"/>
        </w:rPr>
        <w:footnoteReference w:id="12"/>
      </w:r>
    </w:p>
    <w:p w:rsidR="00CD626F" w:rsidRDefault="00705416">
      <w:pPr>
        <w:tabs>
          <w:tab w:val="left" w:pos="2979"/>
        </w:tabs>
      </w:pPr>
      <w:r>
        <w:tab/>
      </w:r>
    </w:p>
    <w:p w:rsidR="00CD626F" w:rsidRDefault="00705416">
      <w:r>
        <w:rPr>
          <w:i/>
        </w:rPr>
        <w:t>Water, Sanitation, and Hygiene (WASH)</w:t>
      </w:r>
    </w:p>
    <w:p w:rsidR="00CD626F" w:rsidRDefault="00705416">
      <w:r>
        <w:t>WASH is a critical element for maternal, newborn and child survival and health. Lack of access to a safe water source and sanitation facilities, and poor hygiene behaviors, can lead to severe risk of infection and death for both mothers and babies, even in facilities with qualified medical professionals. Sepsis, one of the top five causes of maternal death and disability, can occur when clean water and adequate sanitation are not available to women during labor and childbirth. WHO estimates that up to fifteen percent of all maternal deaths in developing countries are caused by infections in the 6 weeks after childbirth, mainly due to unhygienic conditions during delivery, both at home and in health facilities.</w:t>
      </w:r>
      <w:r>
        <w:rPr>
          <w:vertAlign w:val="superscript"/>
        </w:rPr>
        <w:footnoteReference w:id="13"/>
      </w:r>
      <w:r>
        <w:t xml:space="preserve">  Anemia, a major cause of maternal death and disability, can be caused by intestinal worms,</w:t>
      </w:r>
      <w:r>
        <w:rPr>
          <w:vertAlign w:val="superscript"/>
        </w:rPr>
        <w:footnoteReference w:id="14"/>
      </w:r>
      <w:r>
        <w:t xml:space="preserve"> which are transmitted through contaminated water and through poor sanitation and hygiene.  A systematic review found that new mothers who live in households with poor sanitation were found to have three times the risk of mortality than mothers with access to sanitation, and lack of water increased the risk 1.5 times.</w:t>
      </w:r>
      <w:r>
        <w:rPr>
          <w:vertAlign w:val="superscript"/>
        </w:rPr>
        <w:footnoteReference w:id="15"/>
      </w:r>
    </w:p>
    <w:p w:rsidR="00CD626F" w:rsidRDefault="00CD626F"/>
    <w:p w:rsidR="00CD626F" w:rsidRDefault="00705416">
      <w:r>
        <w:t>In Pakistan, one in eleven children does not survive to his or her fifth birthday, with acute respiratory illnesses and diarrhea as the top two causes of death in children aged 1-59 months.</w:t>
      </w:r>
      <w:r>
        <w:rPr>
          <w:vertAlign w:val="superscript"/>
        </w:rPr>
        <w:footnoteReference w:id="16"/>
      </w:r>
      <w:r>
        <w:t xml:space="preserve"> </w:t>
      </w:r>
      <w:r>
        <w:rPr>
          <w:vertAlign w:val="superscript"/>
        </w:rPr>
        <w:footnoteReference w:id="17"/>
      </w:r>
      <w:r>
        <w:t xml:space="preserve"> Poor sanitation and hygiene are significant causes of both diarrhea and stunting, </w:t>
      </w:r>
      <w:r>
        <w:lastRenderedPageBreak/>
        <w:t>and the poor sanitation practices of a single individual can affect the entire community. One study conducted in Northern Pakistan found that children not living in intervention villages had a 33 percent higher adjusted odds of diarrhea. Intervention villages implemented an integrated water, sanitation, hygiene education, and engineering approach.</w:t>
      </w:r>
      <w:r>
        <w:rPr>
          <w:vertAlign w:val="superscript"/>
        </w:rPr>
        <w:footnoteReference w:id="18"/>
      </w:r>
    </w:p>
    <w:p w:rsidR="00CD626F" w:rsidRDefault="00CD626F"/>
    <w:p w:rsidR="00CD626F" w:rsidRDefault="00705416">
      <w:r>
        <w:rPr>
          <w:i/>
        </w:rPr>
        <w:t>Nutrition</w:t>
      </w:r>
    </w:p>
    <w:p w:rsidR="00CD626F" w:rsidRDefault="00705416">
      <w:r>
        <w:t>Of the children in Pakistan who do survive to their fifth birthday, 44 percent are stunted (more than 10 million children), which results in irreversible brain damage, weakened immune systems, and physical impairments after age two.  The intergenerational consequences of undernutrition trap families and communities in a vicious cycle of poor nutrition, poor health, reduced human capital and poverty. Undernutrition costs individuals more than 10% of lifetime earnings and “GDP lost to malnutrition runs as high as 2-3 percent.”</w:t>
      </w:r>
      <w:r>
        <w:rPr>
          <w:vertAlign w:val="superscript"/>
        </w:rPr>
        <w:footnoteReference w:id="19"/>
      </w:r>
      <w:r>
        <w:t xml:space="preserve"> Exclusive breastfeeding (EBF) for six months is considered the safest and most cost-effective nutrition intervention to reduce mortality globally.  In Pakistan, the median duration of breastfeeding is 3 months, while for the two lowest income quintiles it is 0.7 months.</w:t>
      </w:r>
      <w:r>
        <w:rPr>
          <w:vertAlign w:val="superscript"/>
        </w:rPr>
        <w:t xml:space="preserve"> </w:t>
      </w:r>
      <w:r>
        <w:rPr>
          <w:vertAlign w:val="superscript"/>
        </w:rPr>
        <w:footnoteReference w:id="20"/>
      </w:r>
      <w:r>
        <w:t xml:space="preserve">  </w:t>
      </w:r>
    </w:p>
    <w:p w:rsidR="009A3483" w:rsidRDefault="009A3483">
      <w:pPr>
        <w:rPr>
          <w:i/>
        </w:rPr>
      </w:pPr>
    </w:p>
    <w:p w:rsidR="00CD626F" w:rsidRDefault="00705416">
      <w:r>
        <w:rPr>
          <w:i/>
        </w:rPr>
        <w:t>Family Planning</w:t>
      </w:r>
    </w:p>
    <w:p w:rsidR="00CD626F" w:rsidRDefault="00705416">
      <w:r>
        <w:t xml:space="preserve">Family planning has the potential to make significant contributions to the goal of Ending Preventable Child and Maternal Death.  To contribute to the goal, the family planning program must be designed to help increase access to family planning services, and reduce unintended pregnancies and high-risk pregnancies.  High-risk pregnancies are those that occur too early (&lt;age 18) or too late in a woman’s life (&gt; age 35); are too close together (births occurring &lt; three years apart, or pregnancies occurring &lt; 24 months after a live birth); or occur at too high a birth order (when a woman already has 4 or more children -- high parity). Children born in these groups are 2 to 2.5 times more likely to die than who are not born in a risk category. </w:t>
      </w:r>
      <w:r>
        <w:rPr>
          <w:vertAlign w:val="superscript"/>
        </w:rPr>
        <w:footnoteReference w:id="21"/>
      </w:r>
      <w:r>
        <w:t xml:space="preserve">  High parity and advanced maternal age are significantly associated with increased risk of maternal death.</w:t>
      </w:r>
      <w:r>
        <w:rPr>
          <w:vertAlign w:val="superscript"/>
        </w:rPr>
        <w:footnoteReference w:id="22"/>
      </w:r>
    </w:p>
    <w:p w:rsidR="00CD626F" w:rsidRDefault="00CD626F"/>
    <w:p w:rsidR="00CD626F" w:rsidRDefault="00705416">
      <w:r>
        <w:t xml:space="preserve">In Pakistan, 26 percent of married women of reproductive age use a modern method, while among the lowest and highest income quintiles these indicators shift to 18 and 33 percent, respectively.  In Pakistan, a total of 58 percent of births are in one of the avoidable high-risk categories noted above, with the largest groups of children at risk because of high birth order </w:t>
      </w:r>
      <w:r>
        <w:lastRenderedPageBreak/>
        <w:t>(20 percent) and short birth interval.</w:t>
      </w:r>
      <w:r>
        <w:rPr>
          <w:vertAlign w:val="superscript"/>
        </w:rPr>
        <w:footnoteReference w:id="23"/>
      </w:r>
      <w:r>
        <w:t xml:space="preserve">  Sixty-nine percent of births occur within three years of a previous birth, representing an increase of 3 percentage points since 2006-07.</w:t>
      </w:r>
      <w:r>
        <w:rPr>
          <w:vertAlign w:val="superscript"/>
        </w:rPr>
        <w:footnoteReference w:id="24"/>
      </w:r>
      <w:r>
        <w:t xml:space="preserve">  Four million Pakistani women have unintended pregnancies each year, and more than half -- 2.25 million -- have an induced abortion to avoid giving birth.  One study found that the abortion rate had likely “increased substantially between 2002 and 2012” and placed considerable burden on the health system.</w:t>
      </w:r>
      <w:r>
        <w:rPr>
          <w:vertAlign w:val="superscript"/>
        </w:rPr>
        <w:footnoteReference w:id="25"/>
      </w:r>
      <w:r>
        <w:t xml:space="preserve"> All of the programmatic gaps noted above, as well as post abortion care, </w:t>
      </w:r>
      <w:r>
        <w:rPr>
          <w:vertAlign w:val="superscript"/>
        </w:rPr>
        <w:footnoteReference w:id="26"/>
      </w:r>
      <w:r>
        <w:t xml:space="preserve"> represent important opportunities to strengthen the family planning program and save lives.</w:t>
      </w:r>
    </w:p>
    <w:p w:rsidR="00CD626F" w:rsidRDefault="00CD626F"/>
    <w:p w:rsidR="00CD626F" w:rsidRDefault="00705416">
      <w:r>
        <w:t>Research conducted in Pakistan revealed that greater attention to quality of care and to discussions of birth spacing in the community could result in “powerful gains” in contraceptive use.</w:t>
      </w:r>
      <w:r>
        <w:rPr>
          <w:vertAlign w:val="superscript"/>
        </w:rPr>
        <w:footnoteReference w:id="27"/>
      </w:r>
      <w:r>
        <w:t xml:space="preserve">  This study of 6,200 postpartum mothers in 503  poor communities in Sindh, Pakistan found that women who received information about birth spacing from a doctor or from friends/relatives in the community had, respectively, a 1.81 and 1.38 times higher odds of contraceptive use than those who did not receive information about birth spacing.  The study suggests that interaction with maternal health services, receiving quality antenatal care, and community discussions about birth spacing increase the likelihood of contraceptive use.</w:t>
      </w:r>
    </w:p>
    <w:p w:rsidR="00CD626F" w:rsidRDefault="00CD626F"/>
    <w:p w:rsidR="00CD626F" w:rsidRDefault="00705416">
      <w:r>
        <w:rPr>
          <w:b/>
        </w:rPr>
        <w:t xml:space="preserve">STRATEGIC APPROACH  </w:t>
      </w:r>
    </w:p>
    <w:p w:rsidR="00CD626F" w:rsidRDefault="00CD626F"/>
    <w:p w:rsidR="00CD626F" w:rsidRDefault="00705416">
      <w:r>
        <w:rPr>
          <w:i/>
        </w:rPr>
        <w:t>Political Will and Commitment</w:t>
      </w:r>
      <w:r>
        <w:rPr>
          <w:b/>
        </w:rPr>
        <w:t xml:space="preserve">   </w:t>
      </w:r>
      <w:r>
        <w:t>The IHSS/SD activity will provide technical assistance to the MNHSRC, 1</w:t>
      </w:r>
      <w:r w:rsidR="009A3483">
        <w:t xml:space="preserve"> province</w:t>
      </w:r>
      <w:r>
        <w:t>, and district</w:t>
      </w:r>
      <w:r w:rsidR="009A3483">
        <w:t>(</w:t>
      </w:r>
      <w:r>
        <w:t>s</w:t>
      </w:r>
      <w:r w:rsidR="009A3483">
        <w:t>)</w:t>
      </w:r>
      <w:r>
        <w:t xml:space="preserve"> and facilities/communities that demonstrate clear political will and measurable commitment to improve the delivery of integrated services to poor and disadvantaged populations.  Political will and commitment can be demonstrated by  increased provincial GOP budget allocations to the health sector; establishment and implementation of incentives for improved health sector performance; willingness to scale-up successful pilots and/or test promising interventions and bring them to scale if proven successful; continued support to institutions with the mandate to regulate the private sector (e.g. healthcare commissions); establishment of a new public-private partnership to strengthen integrated service delivery; policy statements/changes that strengthen the health system and increase access to services, among other approaches; and appetite to work across sectors to address some of the social determinants that impact health outcomes such as the low literacy rates of women. </w:t>
      </w:r>
    </w:p>
    <w:p w:rsidR="00CD626F" w:rsidRDefault="00CD626F"/>
    <w:p w:rsidR="00CD626F" w:rsidRDefault="00705416">
      <w:r>
        <w:lastRenderedPageBreak/>
        <w:t xml:space="preserve">The selected province and corresponding district(s) and communities will serve as learning hubs for HSS and SD integrated programming. The province will need to demonstrate a willingness to scale-up successful approaches and take ownership of existing activities during the last year of the activity, if not sooner. </w:t>
      </w:r>
    </w:p>
    <w:p w:rsidR="00CD626F" w:rsidRDefault="00CD626F"/>
    <w:p w:rsidR="00CD626F" w:rsidRDefault="00705416">
      <w:r>
        <w:t>In order for this activity to succeed, it is imperative that all interventions solicit host country leadership and foster key stakeholder ownership. No intervention will be implemented in a way that does not consider future institutionalization and sustainability and ultimately lead to a more resilient national and provincial health sector.</w:t>
      </w:r>
    </w:p>
    <w:p w:rsidR="00CD626F" w:rsidRDefault="00CD626F"/>
    <w:p w:rsidR="00CD626F" w:rsidRDefault="00705416">
      <w:r>
        <w:rPr>
          <w:i/>
        </w:rPr>
        <w:t xml:space="preserve">Government to Government (G2G) Support </w:t>
      </w:r>
      <w:r>
        <w:t xml:space="preserve">  During the 2017-20 timeframe, USAID will also support the MNHSRC and Health Services Academy</w:t>
      </w:r>
      <w:r w:rsidR="009A3483">
        <w:t xml:space="preserve"> </w:t>
      </w:r>
      <w:r>
        <w:t>through Government to Government (G2G) agreements. G2G activities will focus on improving the GOP's capacity to strengthen health systems which is necessary for the efficient and effective delivery of evidence-based interventions through high-quality, equitable health services. The IHSS/SD activity will work with both MNHSRC and HSA to harmonize activities and optimize use of USAID funding.</w:t>
      </w:r>
    </w:p>
    <w:p w:rsidR="00CD626F" w:rsidRDefault="00CD626F"/>
    <w:p w:rsidR="00CD626F" w:rsidRDefault="00705416">
      <w:r>
        <w:rPr>
          <w:i/>
        </w:rPr>
        <w:t>Focus on Vulnerable, Underserved Populations</w:t>
      </w:r>
      <w:r>
        <w:t xml:space="preserve">   The IHSS/SD activity will focus on reaching underserved, vulnerable populations.  These include, but are not limited to,  rural  and urban slum residents, the lowest two income quintiles</w:t>
      </w:r>
      <w:r>
        <w:rPr>
          <w:vertAlign w:val="superscript"/>
        </w:rPr>
        <w:footnoteReference w:id="28"/>
      </w:r>
      <w:r>
        <w:t>, those having little or no education, and those less served by service delivery programs – postpartum women, high parity women, first time parents, especially adolescent first time parents.  In addition to reasons of social justice, the strategic rationale is that underserved populations, for the most part, shoulder a disproportionate burden of adverse health outcomes.  To end preventable child and maternal death, programs must reach the groups associated with the highest burden of disease.  As seen in Table 1, in Pakistan, the poorest and least educated populations experience health outcomes that are significantly worse than better off groups in society.</w:t>
      </w:r>
    </w:p>
    <w:p w:rsidR="00CD626F" w:rsidRDefault="00CD626F"/>
    <w:p w:rsidR="00CD626F" w:rsidRDefault="00705416">
      <w:r>
        <w:rPr>
          <w:b/>
        </w:rPr>
        <w:t>Table 1-- Health Outcomes of Women in Lowest vs Women in Highest Income Quintiles (or Least vs Best Educated)</w:t>
      </w:r>
      <w:r>
        <w:rPr>
          <w:b/>
          <w:vertAlign w:val="superscript"/>
        </w:rPr>
        <w:footnoteReference w:id="29"/>
      </w:r>
    </w:p>
    <w:tbl>
      <w:tblPr>
        <w:tblStyle w:val="a0"/>
        <w:tblW w:w="9576"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2"/>
        <w:gridCol w:w="3192"/>
        <w:gridCol w:w="3192"/>
      </w:tblGrid>
      <w:tr w:rsidR="00CD626F">
        <w:tc>
          <w:tcPr>
            <w:tcW w:w="3192" w:type="dxa"/>
          </w:tcPr>
          <w:p w:rsidR="00CD626F" w:rsidRDefault="00705416">
            <w:r>
              <w:rPr>
                <w:b/>
                <w:sz w:val="16"/>
                <w:szCs w:val="16"/>
              </w:rPr>
              <w:t>Outcome</w:t>
            </w:r>
          </w:p>
        </w:tc>
        <w:tc>
          <w:tcPr>
            <w:tcW w:w="3192" w:type="dxa"/>
          </w:tcPr>
          <w:p w:rsidR="00CD626F" w:rsidRDefault="00705416">
            <w:r>
              <w:rPr>
                <w:b/>
                <w:sz w:val="16"/>
                <w:szCs w:val="16"/>
              </w:rPr>
              <w:t>Highest Income Quintile</w:t>
            </w:r>
          </w:p>
        </w:tc>
        <w:tc>
          <w:tcPr>
            <w:tcW w:w="3192" w:type="dxa"/>
          </w:tcPr>
          <w:p w:rsidR="00CD626F" w:rsidRDefault="00705416">
            <w:r>
              <w:rPr>
                <w:sz w:val="16"/>
                <w:szCs w:val="16"/>
              </w:rPr>
              <w:t xml:space="preserve"> </w:t>
            </w:r>
            <w:r>
              <w:rPr>
                <w:b/>
                <w:sz w:val="16"/>
                <w:szCs w:val="16"/>
              </w:rPr>
              <w:t>Lowest Income Quintile</w:t>
            </w:r>
          </w:p>
        </w:tc>
      </w:tr>
      <w:tr w:rsidR="00CD626F">
        <w:tc>
          <w:tcPr>
            <w:tcW w:w="3192" w:type="dxa"/>
          </w:tcPr>
          <w:p w:rsidR="00CD626F" w:rsidRDefault="00705416">
            <w:r>
              <w:rPr>
                <w:sz w:val="16"/>
                <w:szCs w:val="16"/>
              </w:rPr>
              <w:t>Perinatal mortality rate</w:t>
            </w:r>
          </w:p>
        </w:tc>
        <w:tc>
          <w:tcPr>
            <w:tcW w:w="3192" w:type="dxa"/>
          </w:tcPr>
          <w:p w:rsidR="00CD626F" w:rsidRDefault="00705416">
            <w:r>
              <w:rPr>
                <w:sz w:val="16"/>
                <w:szCs w:val="16"/>
              </w:rPr>
              <w:t>46</w:t>
            </w:r>
          </w:p>
        </w:tc>
        <w:tc>
          <w:tcPr>
            <w:tcW w:w="3192" w:type="dxa"/>
          </w:tcPr>
          <w:p w:rsidR="00CD626F" w:rsidRDefault="00705416">
            <w:r>
              <w:rPr>
                <w:sz w:val="16"/>
                <w:szCs w:val="16"/>
              </w:rPr>
              <w:t>101</w:t>
            </w:r>
          </w:p>
        </w:tc>
      </w:tr>
      <w:tr w:rsidR="00CD626F">
        <w:tc>
          <w:tcPr>
            <w:tcW w:w="3192" w:type="dxa"/>
          </w:tcPr>
          <w:p w:rsidR="00CD626F" w:rsidRDefault="00705416">
            <w:r>
              <w:rPr>
                <w:sz w:val="16"/>
                <w:szCs w:val="16"/>
              </w:rPr>
              <w:t>Neonatal mortality rate</w:t>
            </w:r>
          </w:p>
        </w:tc>
        <w:tc>
          <w:tcPr>
            <w:tcW w:w="3192" w:type="dxa"/>
          </w:tcPr>
          <w:p w:rsidR="00CD626F" w:rsidRDefault="00705416">
            <w:r>
              <w:rPr>
                <w:sz w:val="16"/>
                <w:szCs w:val="16"/>
              </w:rPr>
              <w:t>34</w:t>
            </w:r>
          </w:p>
        </w:tc>
        <w:tc>
          <w:tcPr>
            <w:tcW w:w="3192" w:type="dxa"/>
          </w:tcPr>
          <w:p w:rsidR="00CD626F" w:rsidRDefault="00705416">
            <w:r>
              <w:rPr>
                <w:sz w:val="16"/>
                <w:szCs w:val="16"/>
              </w:rPr>
              <w:t>62</w:t>
            </w:r>
          </w:p>
        </w:tc>
      </w:tr>
      <w:tr w:rsidR="00CD626F">
        <w:tc>
          <w:tcPr>
            <w:tcW w:w="3192" w:type="dxa"/>
          </w:tcPr>
          <w:p w:rsidR="00CD626F" w:rsidRDefault="00705416">
            <w:r>
              <w:rPr>
                <w:sz w:val="16"/>
                <w:szCs w:val="16"/>
              </w:rPr>
              <w:t xml:space="preserve">Infant mortality rate </w:t>
            </w:r>
          </w:p>
        </w:tc>
        <w:tc>
          <w:tcPr>
            <w:tcW w:w="3192" w:type="dxa"/>
          </w:tcPr>
          <w:p w:rsidR="00CD626F" w:rsidRDefault="00705416">
            <w:r>
              <w:rPr>
                <w:sz w:val="16"/>
                <w:szCs w:val="16"/>
              </w:rPr>
              <w:t>30 (women with higher education)</w:t>
            </w:r>
          </w:p>
        </w:tc>
        <w:tc>
          <w:tcPr>
            <w:tcW w:w="3192" w:type="dxa"/>
          </w:tcPr>
          <w:p w:rsidR="00CD626F" w:rsidRDefault="00705416">
            <w:r>
              <w:rPr>
                <w:sz w:val="16"/>
                <w:szCs w:val="16"/>
              </w:rPr>
              <w:t>92 ( women with no education)</w:t>
            </w:r>
          </w:p>
        </w:tc>
      </w:tr>
      <w:tr w:rsidR="00CD626F">
        <w:tc>
          <w:tcPr>
            <w:tcW w:w="3192" w:type="dxa"/>
          </w:tcPr>
          <w:p w:rsidR="00CD626F" w:rsidRDefault="00705416">
            <w:r>
              <w:rPr>
                <w:sz w:val="16"/>
                <w:szCs w:val="16"/>
              </w:rPr>
              <w:t>Use of modern contraceptive methods by married women, aged 15-49</w:t>
            </w:r>
          </w:p>
        </w:tc>
        <w:tc>
          <w:tcPr>
            <w:tcW w:w="3192" w:type="dxa"/>
          </w:tcPr>
          <w:p w:rsidR="00CD626F" w:rsidRDefault="00705416">
            <w:r>
              <w:rPr>
                <w:sz w:val="16"/>
                <w:szCs w:val="16"/>
              </w:rPr>
              <w:t>32%</w:t>
            </w:r>
          </w:p>
        </w:tc>
        <w:tc>
          <w:tcPr>
            <w:tcW w:w="3192" w:type="dxa"/>
          </w:tcPr>
          <w:p w:rsidR="00CD626F" w:rsidRDefault="00705416">
            <w:r>
              <w:rPr>
                <w:sz w:val="16"/>
                <w:szCs w:val="16"/>
              </w:rPr>
              <w:t>18%</w:t>
            </w:r>
          </w:p>
        </w:tc>
      </w:tr>
      <w:tr w:rsidR="00CD626F">
        <w:tc>
          <w:tcPr>
            <w:tcW w:w="3192" w:type="dxa"/>
          </w:tcPr>
          <w:p w:rsidR="00CD626F" w:rsidRDefault="00705416">
            <w:r>
              <w:rPr>
                <w:sz w:val="16"/>
                <w:szCs w:val="16"/>
              </w:rPr>
              <w:t>Vaccination - % of children aged 12-23 who received all basic vaccines by time of the survey</w:t>
            </w:r>
          </w:p>
        </w:tc>
        <w:tc>
          <w:tcPr>
            <w:tcW w:w="3192" w:type="dxa"/>
          </w:tcPr>
          <w:p w:rsidR="00CD626F" w:rsidRDefault="00705416">
            <w:r>
              <w:rPr>
                <w:sz w:val="16"/>
                <w:szCs w:val="16"/>
              </w:rPr>
              <w:t>75%</w:t>
            </w:r>
          </w:p>
        </w:tc>
        <w:tc>
          <w:tcPr>
            <w:tcW w:w="3192" w:type="dxa"/>
          </w:tcPr>
          <w:p w:rsidR="00CD626F" w:rsidRDefault="00705416">
            <w:r>
              <w:rPr>
                <w:sz w:val="16"/>
                <w:szCs w:val="16"/>
              </w:rPr>
              <w:t>23%</w:t>
            </w:r>
          </w:p>
        </w:tc>
      </w:tr>
      <w:tr w:rsidR="00CD626F">
        <w:tc>
          <w:tcPr>
            <w:tcW w:w="3192" w:type="dxa"/>
          </w:tcPr>
          <w:p w:rsidR="00CD626F" w:rsidRDefault="00705416">
            <w:r>
              <w:rPr>
                <w:sz w:val="16"/>
                <w:szCs w:val="16"/>
              </w:rPr>
              <w:t>Experience of physical violence - % of ever married women who have experienced physical violence since age 15</w:t>
            </w:r>
          </w:p>
        </w:tc>
        <w:tc>
          <w:tcPr>
            <w:tcW w:w="3192" w:type="dxa"/>
          </w:tcPr>
          <w:p w:rsidR="00CD626F" w:rsidRDefault="00705416">
            <w:r>
              <w:rPr>
                <w:sz w:val="16"/>
                <w:szCs w:val="16"/>
              </w:rPr>
              <w:t>13 % ( higher education)</w:t>
            </w:r>
          </w:p>
        </w:tc>
        <w:tc>
          <w:tcPr>
            <w:tcW w:w="3192" w:type="dxa"/>
          </w:tcPr>
          <w:p w:rsidR="00CD626F" w:rsidRDefault="00705416">
            <w:r>
              <w:rPr>
                <w:sz w:val="16"/>
                <w:szCs w:val="16"/>
              </w:rPr>
              <w:t>37%  (no education)</w:t>
            </w:r>
          </w:p>
        </w:tc>
      </w:tr>
      <w:tr w:rsidR="00CD626F">
        <w:tc>
          <w:tcPr>
            <w:tcW w:w="3192" w:type="dxa"/>
          </w:tcPr>
          <w:p w:rsidR="00CD626F" w:rsidRDefault="00705416">
            <w:r>
              <w:rPr>
                <w:sz w:val="16"/>
                <w:szCs w:val="16"/>
              </w:rPr>
              <w:t xml:space="preserve">Women’s nutritional status – women aged </w:t>
            </w:r>
            <w:r>
              <w:rPr>
                <w:sz w:val="16"/>
                <w:szCs w:val="16"/>
              </w:rPr>
              <w:lastRenderedPageBreak/>
              <w:t>15-49 with specific Body Mass Index levels- % considered “thin”</w:t>
            </w:r>
          </w:p>
        </w:tc>
        <w:tc>
          <w:tcPr>
            <w:tcW w:w="3192" w:type="dxa"/>
          </w:tcPr>
          <w:p w:rsidR="00CD626F" w:rsidRDefault="00705416">
            <w:r>
              <w:rPr>
                <w:sz w:val="16"/>
                <w:szCs w:val="16"/>
              </w:rPr>
              <w:lastRenderedPageBreak/>
              <w:t>4%</w:t>
            </w:r>
          </w:p>
        </w:tc>
        <w:tc>
          <w:tcPr>
            <w:tcW w:w="3192" w:type="dxa"/>
          </w:tcPr>
          <w:p w:rsidR="00CD626F" w:rsidRDefault="00705416">
            <w:r>
              <w:rPr>
                <w:sz w:val="16"/>
                <w:szCs w:val="16"/>
              </w:rPr>
              <w:t>27%</w:t>
            </w:r>
          </w:p>
        </w:tc>
      </w:tr>
      <w:tr w:rsidR="00CD626F">
        <w:tc>
          <w:tcPr>
            <w:tcW w:w="3192" w:type="dxa"/>
          </w:tcPr>
          <w:p w:rsidR="00CD626F" w:rsidRDefault="00705416">
            <w:r>
              <w:rPr>
                <w:sz w:val="16"/>
                <w:szCs w:val="16"/>
              </w:rPr>
              <w:lastRenderedPageBreak/>
              <w:t>Assistance during delivery -- % of live births assisted by skilled provider</w:t>
            </w:r>
          </w:p>
        </w:tc>
        <w:tc>
          <w:tcPr>
            <w:tcW w:w="3192" w:type="dxa"/>
          </w:tcPr>
          <w:p w:rsidR="00CD626F" w:rsidRDefault="00705416">
            <w:r>
              <w:rPr>
                <w:sz w:val="16"/>
                <w:szCs w:val="16"/>
              </w:rPr>
              <w:t>85%</w:t>
            </w:r>
          </w:p>
        </w:tc>
        <w:tc>
          <w:tcPr>
            <w:tcW w:w="3192" w:type="dxa"/>
          </w:tcPr>
          <w:p w:rsidR="00CD626F" w:rsidRDefault="00705416">
            <w:r>
              <w:rPr>
                <w:sz w:val="16"/>
                <w:szCs w:val="16"/>
              </w:rPr>
              <w:t>30%</w:t>
            </w:r>
          </w:p>
        </w:tc>
      </w:tr>
    </w:tbl>
    <w:p w:rsidR="00CD626F" w:rsidRDefault="00CD626F"/>
    <w:p w:rsidR="00CD626F" w:rsidRDefault="00705416">
      <w:r>
        <w:t>One of the important vulnerable populations for the IHSS/SD activity includes women who have less power in the household.  This activity will focus on reaching these women both for reasons of social justice and because, as shown in Table 2, women in these groups have poorer health outcomes and are less likely to seek services or practice healthy behaviors.  If EPCMD goals are to be achieved, it is important that programs recognize the strategic importance of reaching vulnerable groups.</w:t>
      </w:r>
    </w:p>
    <w:p w:rsidR="00CD626F" w:rsidRDefault="00CD626F"/>
    <w:p w:rsidR="00CD626F" w:rsidRDefault="00705416">
      <w:r>
        <w:t>Table 2 -- Health Outcomes of More and Less Empowered Women</w:t>
      </w:r>
      <w:r>
        <w:rPr>
          <w:vertAlign w:val="superscript"/>
        </w:rPr>
        <w:footnoteReference w:id="30"/>
      </w:r>
    </w:p>
    <w:tbl>
      <w:tblPr>
        <w:tblStyle w:val="a1"/>
        <w:tblW w:w="9576"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2"/>
        <w:gridCol w:w="3192"/>
        <w:gridCol w:w="3192"/>
      </w:tblGrid>
      <w:tr w:rsidR="00CD626F">
        <w:tc>
          <w:tcPr>
            <w:tcW w:w="3192" w:type="dxa"/>
          </w:tcPr>
          <w:p w:rsidR="00CD626F" w:rsidRDefault="00705416">
            <w:r>
              <w:rPr>
                <w:b/>
                <w:sz w:val="16"/>
                <w:szCs w:val="16"/>
              </w:rPr>
              <w:t>Outcome</w:t>
            </w:r>
          </w:p>
        </w:tc>
        <w:tc>
          <w:tcPr>
            <w:tcW w:w="3192" w:type="dxa"/>
          </w:tcPr>
          <w:p w:rsidR="00CD626F" w:rsidRDefault="00705416">
            <w:r>
              <w:rPr>
                <w:b/>
                <w:sz w:val="16"/>
                <w:szCs w:val="16"/>
              </w:rPr>
              <w:t xml:space="preserve">Women who have more household decision-making power </w:t>
            </w:r>
          </w:p>
        </w:tc>
        <w:tc>
          <w:tcPr>
            <w:tcW w:w="3192" w:type="dxa"/>
          </w:tcPr>
          <w:p w:rsidR="00CD626F" w:rsidRDefault="00705416">
            <w:r>
              <w:rPr>
                <w:b/>
                <w:sz w:val="16"/>
                <w:szCs w:val="16"/>
              </w:rPr>
              <w:t xml:space="preserve">Women who have less household decision-making power or </w:t>
            </w:r>
          </w:p>
        </w:tc>
      </w:tr>
      <w:tr w:rsidR="00CD626F">
        <w:tc>
          <w:tcPr>
            <w:tcW w:w="3192" w:type="dxa"/>
          </w:tcPr>
          <w:p w:rsidR="00CD626F" w:rsidRDefault="00705416">
            <w:r>
              <w:rPr>
                <w:sz w:val="16"/>
                <w:szCs w:val="16"/>
              </w:rPr>
              <w:t>Under-five mortality</w:t>
            </w:r>
          </w:p>
        </w:tc>
        <w:tc>
          <w:tcPr>
            <w:tcW w:w="3192" w:type="dxa"/>
          </w:tcPr>
          <w:p w:rsidR="00CD626F" w:rsidRDefault="00705416">
            <w:r>
              <w:rPr>
                <w:sz w:val="16"/>
                <w:szCs w:val="16"/>
              </w:rPr>
              <w:t>90</w:t>
            </w:r>
          </w:p>
        </w:tc>
        <w:tc>
          <w:tcPr>
            <w:tcW w:w="3192" w:type="dxa"/>
          </w:tcPr>
          <w:p w:rsidR="00CD626F" w:rsidRDefault="00705416">
            <w:r>
              <w:rPr>
                <w:sz w:val="16"/>
                <w:szCs w:val="16"/>
              </w:rPr>
              <w:t>103</w:t>
            </w:r>
          </w:p>
        </w:tc>
      </w:tr>
      <w:tr w:rsidR="00CD626F">
        <w:tc>
          <w:tcPr>
            <w:tcW w:w="3192" w:type="dxa"/>
          </w:tcPr>
          <w:p w:rsidR="00CD626F" w:rsidRDefault="00705416">
            <w:r>
              <w:rPr>
                <w:sz w:val="16"/>
                <w:szCs w:val="16"/>
              </w:rPr>
              <w:t>Use of modern family planning method</w:t>
            </w:r>
          </w:p>
        </w:tc>
        <w:tc>
          <w:tcPr>
            <w:tcW w:w="3192" w:type="dxa"/>
          </w:tcPr>
          <w:p w:rsidR="00CD626F" w:rsidRDefault="00705416">
            <w:r>
              <w:rPr>
                <w:sz w:val="16"/>
                <w:szCs w:val="16"/>
              </w:rPr>
              <w:t>33%</w:t>
            </w:r>
          </w:p>
        </w:tc>
        <w:tc>
          <w:tcPr>
            <w:tcW w:w="3192" w:type="dxa"/>
          </w:tcPr>
          <w:p w:rsidR="00CD626F" w:rsidRDefault="00705416">
            <w:r>
              <w:rPr>
                <w:sz w:val="16"/>
                <w:szCs w:val="16"/>
              </w:rPr>
              <w:t>19%</w:t>
            </w:r>
          </w:p>
        </w:tc>
      </w:tr>
      <w:tr w:rsidR="00CD626F">
        <w:tc>
          <w:tcPr>
            <w:tcW w:w="3192" w:type="dxa"/>
          </w:tcPr>
          <w:p w:rsidR="00CD626F" w:rsidRDefault="00CD626F"/>
        </w:tc>
        <w:tc>
          <w:tcPr>
            <w:tcW w:w="3192" w:type="dxa"/>
          </w:tcPr>
          <w:p w:rsidR="00CD626F" w:rsidRDefault="00705416">
            <w:r>
              <w:rPr>
                <w:b/>
                <w:sz w:val="16"/>
                <w:szCs w:val="16"/>
              </w:rPr>
              <w:t>Women who do not believe wife beating is justified</w:t>
            </w:r>
          </w:p>
        </w:tc>
        <w:tc>
          <w:tcPr>
            <w:tcW w:w="3192" w:type="dxa"/>
          </w:tcPr>
          <w:p w:rsidR="00CD626F" w:rsidRDefault="00705416">
            <w:r>
              <w:rPr>
                <w:b/>
                <w:sz w:val="16"/>
                <w:szCs w:val="16"/>
              </w:rPr>
              <w:t>Women who believe wife beating is justified</w:t>
            </w:r>
          </w:p>
        </w:tc>
      </w:tr>
      <w:tr w:rsidR="00CD626F">
        <w:tc>
          <w:tcPr>
            <w:tcW w:w="3192" w:type="dxa"/>
          </w:tcPr>
          <w:p w:rsidR="00CD626F" w:rsidRDefault="00705416">
            <w:r>
              <w:rPr>
                <w:sz w:val="16"/>
                <w:szCs w:val="16"/>
              </w:rPr>
              <w:t>% received delivery care from skilled provider</w:t>
            </w:r>
          </w:p>
        </w:tc>
        <w:tc>
          <w:tcPr>
            <w:tcW w:w="3192" w:type="dxa"/>
          </w:tcPr>
          <w:p w:rsidR="00CD626F" w:rsidRDefault="00705416">
            <w:r>
              <w:rPr>
                <w:sz w:val="16"/>
                <w:szCs w:val="16"/>
              </w:rPr>
              <w:t>63%</w:t>
            </w:r>
          </w:p>
        </w:tc>
        <w:tc>
          <w:tcPr>
            <w:tcW w:w="3192" w:type="dxa"/>
          </w:tcPr>
          <w:p w:rsidR="00CD626F" w:rsidRDefault="00705416">
            <w:r>
              <w:rPr>
                <w:sz w:val="16"/>
                <w:szCs w:val="16"/>
              </w:rPr>
              <w:t>42%</w:t>
            </w:r>
          </w:p>
        </w:tc>
      </w:tr>
      <w:tr w:rsidR="00CD626F">
        <w:tc>
          <w:tcPr>
            <w:tcW w:w="3192" w:type="dxa"/>
          </w:tcPr>
          <w:p w:rsidR="00CD626F" w:rsidRDefault="00705416">
            <w:r>
              <w:rPr>
                <w:sz w:val="16"/>
                <w:szCs w:val="16"/>
              </w:rPr>
              <w:t>% received postnatal care within two days of delivery</w:t>
            </w:r>
          </w:p>
        </w:tc>
        <w:tc>
          <w:tcPr>
            <w:tcW w:w="3192" w:type="dxa"/>
          </w:tcPr>
          <w:p w:rsidR="00CD626F" w:rsidRDefault="00705416">
            <w:r>
              <w:rPr>
                <w:sz w:val="16"/>
                <w:szCs w:val="16"/>
              </w:rPr>
              <w:t>65%</w:t>
            </w:r>
          </w:p>
        </w:tc>
        <w:tc>
          <w:tcPr>
            <w:tcW w:w="3192" w:type="dxa"/>
          </w:tcPr>
          <w:p w:rsidR="00CD626F" w:rsidRDefault="00705416">
            <w:r>
              <w:rPr>
                <w:sz w:val="16"/>
                <w:szCs w:val="16"/>
              </w:rPr>
              <w:t>46%</w:t>
            </w:r>
          </w:p>
        </w:tc>
      </w:tr>
    </w:tbl>
    <w:p w:rsidR="00CD626F" w:rsidRDefault="00CD626F"/>
    <w:p w:rsidR="00CD626F" w:rsidRDefault="00705416">
      <w:r>
        <w:rPr>
          <w:i/>
        </w:rPr>
        <w:t xml:space="preserve">Consistent and Continuous Feedback Loop Approach </w:t>
      </w:r>
      <w:r>
        <w:t xml:space="preserve">    </w:t>
      </w:r>
    </w:p>
    <w:p w:rsidR="00CD626F" w:rsidRDefault="00705416">
      <w:r>
        <w:t xml:space="preserve">All results below are focused (unless otherwise noted) on a feedback loop to ensure optimal integrated programming between HSS and SD interventions. The applicant and GOP participants are expected to implement activities from both a ‘bottom-up’ and ‘top-down’ approach to ensure challenges are addressed systematically and that all stakeholder perspectives are included in the original design and implementation of activities. All activities will need to consider both the public and private sector to ensure optimal efficiency and integration where feasible. The activity aims to advance gender equality, and mobilize male engagement at all levels, to accelerate the ending of preventable maternal and child deaths. </w:t>
      </w:r>
    </w:p>
    <w:p w:rsidR="00CD626F" w:rsidRDefault="00CD626F"/>
    <w:p w:rsidR="00CD626F" w:rsidRDefault="00705416">
      <w:r>
        <w:t>The applicant is also expected to rely heavily on the monitoring, evaluation and learning (MEL) platform to ensure collaborative learning takes place during the life of the project. The expectation is that the applicant will design a MEL strategy to ensure that interventions are assessed at critical points in the activity’s timelines, results discussed between key stakeholders (USAID, applicant, GOP), and consensus reached as to whether any modifications are necessary to ensure a sustainable approach and successful activity.</w:t>
      </w:r>
    </w:p>
    <w:p w:rsidR="009A3483" w:rsidRDefault="009A3483">
      <w:pPr>
        <w:rPr>
          <w:i/>
        </w:rPr>
      </w:pPr>
    </w:p>
    <w:p w:rsidR="00CD626F" w:rsidRDefault="00705416">
      <w:r>
        <w:rPr>
          <w:i/>
        </w:rPr>
        <w:t>Coordination with other USAID Health Activities</w:t>
      </w:r>
      <w:r>
        <w:t xml:space="preserve">  </w:t>
      </w:r>
    </w:p>
    <w:p w:rsidR="00CD626F" w:rsidRDefault="00705416">
      <w:r>
        <w:t xml:space="preserve">This activity will coordinate closely with other USAID activities including Procurement Supply Management, and Promoting Quality Medicines to ensure complementarity and to leverage </w:t>
      </w:r>
      <w:r>
        <w:lastRenderedPageBreak/>
        <w:t>resources towards common goals, whenever possible.  Applicants are encouraged to outline effective coordination approaches that enhance the effectiveness and coordination of USAID activities.  Such approaches might include co-location, joint monitoring and evaluation, and coordinated work plans, among other approaches.</w:t>
      </w:r>
    </w:p>
    <w:p w:rsidR="00CD626F" w:rsidRDefault="00CD626F"/>
    <w:p w:rsidR="00CD626F" w:rsidRDefault="00705416">
      <w:r>
        <w:rPr>
          <w:b/>
          <w:i/>
        </w:rPr>
        <w:t>Intermediate Result (IR) 1- Leadership and Governance</w:t>
      </w:r>
      <w:r>
        <w:rPr>
          <w:b/>
          <w:i/>
          <w:vertAlign w:val="superscript"/>
        </w:rPr>
        <w:footnoteReference w:id="31"/>
      </w:r>
    </w:p>
    <w:p w:rsidR="00CD626F" w:rsidRDefault="00705416">
      <w:r>
        <w:rPr>
          <w:b/>
          <w:i/>
        </w:rPr>
        <w:t xml:space="preserve">Improved health sector leadership and governance at the federal, provincial and district level  </w:t>
      </w:r>
    </w:p>
    <w:p w:rsidR="00CD626F" w:rsidRDefault="00CD626F"/>
    <w:p w:rsidR="00CD626F" w:rsidRDefault="00705416">
      <w:r>
        <w:t>Leadership and governance involves ensuring strategic policy frameworks exist and are combined with effective oversight, coalition building, regulation, attention to system-design and accountability to integrate all HSS building blocks to achieve results. Over the years, the health community has witnessed the critical importance of leadership and governance in improving health outcomes.  Notable strides have been made globally, especially in maternal health.</w:t>
      </w:r>
      <w:r>
        <w:rPr>
          <w:vertAlign w:val="superscript"/>
        </w:rPr>
        <w:footnoteReference w:id="32"/>
      </w:r>
      <w:r>
        <w:t xml:space="preserve">  Yet calls for health action, made many years ago, are still highly relevant.  Such calls have emphasized the need for scale-up of cost-effective interventions, revitalization of political commitment, and mobilization of financial resources, rationally allocated, and more effectively used.  Such calls have rightly emphasized the need for sustained leadership and governance efforts by governments and key stakeholders in the health sector.</w:t>
      </w:r>
    </w:p>
    <w:p w:rsidR="00CD626F" w:rsidRDefault="00CD626F"/>
    <w:p w:rsidR="00CD626F" w:rsidRDefault="00705416">
      <w:r>
        <w:t>In particular, health governance has been defined as “a collective process of making decisions for organizations or health systems.”</w:t>
      </w:r>
      <w:r>
        <w:rPr>
          <w:color w:val="212121"/>
          <w:vertAlign w:val="superscript"/>
        </w:rPr>
        <w:t xml:space="preserve"> </w:t>
      </w:r>
      <w:r>
        <w:rPr>
          <w:color w:val="212121"/>
          <w:vertAlign w:val="superscript"/>
        </w:rPr>
        <w:footnoteReference w:id="33"/>
      </w:r>
      <w:r>
        <w:rPr>
          <w:color w:val="212121"/>
        </w:rPr>
        <w:t xml:space="preserve"> Governance includes: (1) setting strategic direction and objectives; (2) making policies, laws, rules, regulations, or decisions</w:t>
      </w:r>
      <w:r>
        <w:rPr>
          <w:i/>
          <w:color w:val="212121"/>
        </w:rPr>
        <w:t xml:space="preserve">, </w:t>
      </w:r>
      <w:r>
        <w:rPr>
          <w:color w:val="212121"/>
        </w:rPr>
        <w:t>and raising and deploying resources</w:t>
      </w:r>
      <w:r>
        <w:rPr>
          <w:i/>
          <w:color w:val="212121"/>
        </w:rPr>
        <w:t xml:space="preserve"> </w:t>
      </w:r>
      <w:r>
        <w:rPr>
          <w:color w:val="212121"/>
        </w:rPr>
        <w:t xml:space="preserve">to accomplish the strategic goals and objectives; (3) overseeing and making sure that the strategic goals and objectives are accomplished; and (4) improving organizational performance and accountability to deliver more appropriate, efficient and effective public service (is the hallmark of good governance).   </w:t>
      </w:r>
    </w:p>
    <w:p w:rsidR="00CD626F" w:rsidRDefault="00CD626F"/>
    <w:p w:rsidR="00CD626F" w:rsidRDefault="00705416">
      <w:r>
        <w:t xml:space="preserve">In Pakistan, devolution offers leaders and health sector managers with new opportunities to address weaknesses in the health system. The devolved health management functions calls for highly skilled leaders, particularly human resource managers, at the provincial and district level to lead this effort. This is exemplified by increasing health sector allocations, of up to 10 percent of some provincial budgets, and budget allocations by four provinces for the procurement of contraceptive commodities.  As economic growth advances in Pakistan, and incomes increase, informed leadership and good governance coupled with accountability will be critical to ensure that resources are mobilized to support health strategies, particularly an essential package of services that is targeted toward underserved populations; reflects </w:t>
      </w:r>
      <w:r>
        <w:lastRenderedPageBreak/>
        <w:t xml:space="preserve">evidence-based interventions for health priorities; and encompasses prevention as well as treatment options. </w:t>
      </w:r>
    </w:p>
    <w:p w:rsidR="00CD626F" w:rsidRDefault="00CD626F"/>
    <w:p w:rsidR="00CD626F" w:rsidRDefault="00705416">
      <w:r>
        <w:t>Under IR 1, the activity will develop sustainable, tested, and documented approaches for improving health sector leadership and governance at the federal, provincial and district level to further support devolution. The following sub-intermediary results will contribute to IR1:</w:t>
      </w:r>
    </w:p>
    <w:p w:rsidR="00CD626F" w:rsidRDefault="00CD626F"/>
    <w:p w:rsidR="00CD626F" w:rsidRDefault="00705416">
      <w:r>
        <w:rPr>
          <w:b/>
          <w:i/>
        </w:rPr>
        <w:t>Sub-IR 1.1</w:t>
      </w:r>
      <w:r>
        <w:rPr>
          <w:i/>
        </w:rPr>
        <w:t xml:space="preserve">: </w:t>
      </w:r>
      <w:r>
        <w:rPr>
          <w:b/>
          <w:i/>
        </w:rPr>
        <w:t xml:space="preserve">A sustainable health leadership </w:t>
      </w:r>
      <w:r>
        <w:rPr>
          <w:b/>
          <w:i/>
          <w:vertAlign w:val="superscript"/>
        </w:rPr>
        <w:footnoteReference w:id="34"/>
      </w:r>
      <w:r>
        <w:rPr>
          <w:b/>
          <w:i/>
        </w:rPr>
        <w:t xml:space="preserve">approach is successfully implemented </w:t>
      </w:r>
    </w:p>
    <w:p w:rsidR="00CD626F" w:rsidRDefault="00705416">
      <w:r>
        <w:t>Because leadership capacity underpins all health investments, the Applicant will design and implement targeted interventions to strengthen professional administration, strategic and operational planning, financial management and monitoring and evaluation in a devolved state. At the federal level the Applicant will help to further define the functions of the MNHSRC and respective regulatory bodies vis-à-vis the provinces. The Applicant will also support the use of high-quality, transparently available data for management decision-making through improved training, studies and research in the field of health policy and implementation. The Applicant will help to define the decision-making authority of middle managers at the provincial and district level, particularly with regards to executing regulations and standard operating procedures set by the MNHSRC. Based on the findings, the Applicant will identify ways to empower these managers and strengthen their overall management capacity.  Applicants should describe how the proposed leadership approach could be used to advocate for increased public and private sector resources for health, including emphasis of the role of health in economic development.</w:t>
      </w:r>
    </w:p>
    <w:p w:rsidR="00CD626F" w:rsidRDefault="00CD626F"/>
    <w:p w:rsidR="00CD626F" w:rsidRDefault="00705416">
      <w:r>
        <w:t>The Applicant will propose interventions based on evidence outlining critical gaps in health sector leadership and an analysis of which interventions will result in the most impact. Proposed interventions should strengthen multi-sectoral planning, interprovincial coordination and federal-provincial coordination.  The Applicant will also be expected to link sub-IR 1.1 to the G2G activities implemented by Health Services Academy and the MNHSRC</w:t>
      </w:r>
      <w:r w:rsidR="00681632">
        <w:t>.</w:t>
      </w:r>
      <w:r>
        <w:t xml:space="preserve"> All G2G activities are currently under design but will be operationalized in September 2017. This will ensure sustainability of approaches beyond the life of the project.</w:t>
      </w:r>
    </w:p>
    <w:p w:rsidR="00CD626F" w:rsidRDefault="00CD626F"/>
    <w:p w:rsidR="00CD626F" w:rsidRDefault="00705416">
      <w:r>
        <w:rPr>
          <w:b/>
          <w:i/>
        </w:rPr>
        <w:t xml:space="preserve">Sub-IR 1.2: Performance of public sector institutions increased </w:t>
      </w:r>
    </w:p>
    <w:p w:rsidR="00CD626F" w:rsidRDefault="00705416">
      <w:r>
        <w:t xml:space="preserve">Poorly functioning public sector institutions, weak governance and lack of accountability are major constraints to optimal performance of a health system. Post-devolution there is still a need to further strengthen the role and the capacity of provincial and district level institutions such as District Health Management Teams (DHMT’s), provincial reform units, training institutions, health care commissions, and health care facilities as a means to improving the </w:t>
      </w:r>
      <w:r>
        <w:lastRenderedPageBreak/>
        <w:t xml:space="preserve">quality of service delivery in both the public and private sector. Institutions rely heavily on the following four dimensions for improvements in operational effectiveness and efficiency: governance, institutional reform, capacity building, and accountability. If weaknesses in these four areas are simultaneously addressed, there is higher likelihood of improving the performance of the institution.   </w:t>
      </w:r>
    </w:p>
    <w:p w:rsidR="00CD626F" w:rsidRDefault="00705416">
      <w:r>
        <w:t xml:space="preserve"> </w:t>
      </w:r>
    </w:p>
    <w:p w:rsidR="00CD626F" w:rsidRDefault="00705416">
      <w:r>
        <w:t xml:space="preserve">Strong performing institutions are able to effectively coordinate, plan, manage and monitor the health system. They are able to share planning, management, and oversight responsibilities across levels of the system (e.g. provincial, district and community). More importantly these institutions should also create a space for meaningful participation of civil society structures such as </w:t>
      </w:r>
      <w:r>
        <w:rPr>
          <w:color w:val="212121"/>
        </w:rPr>
        <w:t>community service organizations (</w:t>
      </w:r>
      <w:r>
        <w:t xml:space="preserve">CSOs) to ensure </w:t>
      </w:r>
      <w:r>
        <w:rPr>
          <w:color w:val="222222"/>
          <w:highlight w:val="white"/>
        </w:rPr>
        <w:t>that programs are tailored to the needs of citizens, there is a sense of ownership of the programs by the community, and that service delivery is more accountable and responsive, all of which will contribute to more effective service delivery.</w:t>
      </w:r>
    </w:p>
    <w:p w:rsidR="00CD626F" w:rsidRDefault="00705416">
      <w:r>
        <w:t xml:space="preserve"> </w:t>
      </w:r>
    </w:p>
    <w:p w:rsidR="00CD626F" w:rsidRDefault="00705416">
      <w:r>
        <w:t>The Applicant will strengthen public sector institutions to effectively plan, implement and monitor</w:t>
      </w:r>
      <w:r>
        <w:rPr>
          <w:vertAlign w:val="superscript"/>
        </w:rPr>
        <w:footnoteReference w:id="35"/>
      </w:r>
      <w:r>
        <w:t xml:space="preserve"> health programs, manage health system resources, measure performance, and ensure meaningful stakeholder participation at the federal, provincial and district level. The approach should consider governance, institutional reform, capacity building, and accountability as key ingredients to comprehensively addressing the factors that impact institutional performance. The Applicant will identify key institutions at the provincial and district level that would benefit most from technical assistance and have the greatest potential for positively impacting the performance of the overall provincial health system. </w:t>
      </w:r>
    </w:p>
    <w:p w:rsidR="00CD626F" w:rsidRDefault="00CD626F"/>
    <w:p w:rsidR="00CD626F" w:rsidRDefault="00705416">
      <w:r>
        <w:t>Interventions under sub-IR 1.2 will need to improve the ability of institutions to monitor the implementation of key health sector strategies and policies, while also supporting improved coordination of the health sector at the provincial and district level. The Applicant will propose an approach that will further devolve planning, management, regulation (public and private), budgeting, and monitoring functions to the district level. The Applicant will focus on strengthening administrative, management, budget allocation and execution, and monitoring and evaluation capacity at provincial and district levels to ensure evidence based planning and implementation and equitable resource utilization. The Applicant will also seek to institutionalize civil society participation and accountability mechanisms to ensure institutions are responsive to the needs of their clients.</w:t>
      </w:r>
    </w:p>
    <w:p w:rsidR="00CD626F" w:rsidRDefault="00705416">
      <w:r>
        <w:t xml:space="preserve"> </w:t>
      </w:r>
    </w:p>
    <w:p w:rsidR="00CD626F" w:rsidRDefault="00705416">
      <w:r>
        <w:rPr>
          <w:b/>
          <w:i/>
        </w:rPr>
        <w:t>Sub-IR 1.3: Governance structures at the district and community level are responsive to citizen’s demands</w:t>
      </w:r>
    </w:p>
    <w:p w:rsidR="00CD626F" w:rsidRDefault="00705416">
      <w:r>
        <w:t xml:space="preserve">District and community health governance refer to  citizens’ knowledge of their rights to quality health services, and their understanding of the components of quality services; their abilities to </w:t>
      </w:r>
      <w:r>
        <w:lastRenderedPageBreak/>
        <w:t>organize committees and other organizations to monitor, and request improvements in, the quality and availability of health services (both facility and community-based); and the capacity of health program managers to respond in good faith, justly, and in a timely fashion, to citizens’ requests, to improve the quality of health services.</w:t>
      </w:r>
    </w:p>
    <w:p w:rsidR="00CD626F" w:rsidRDefault="00CD626F"/>
    <w:p w:rsidR="00CD626F" w:rsidRDefault="00705416">
      <w:r>
        <w:rPr>
          <w:color w:val="212121"/>
        </w:rPr>
        <w:t>This sub-IR focuses governance activities at the level of the district and community to oversee and make sure health strategic goals and objectives are accomplished, through citizen knowledge, monitoring, and collaborative actions for accountability.  It defines community governance as an activity which:</w:t>
      </w:r>
    </w:p>
    <w:p w:rsidR="00CD626F" w:rsidRDefault="00CD626F"/>
    <w:p w:rsidR="00CD626F" w:rsidRDefault="00705416">
      <w:pPr>
        <w:numPr>
          <w:ilvl w:val="0"/>
          <w:numId w:val="4"/>
        </w:numPr>
        <w:ind w:hanging="360"/>
        <w:rPr>
          <w:color w:val="212121"/>
        </w:rPr>
      </w:pPr>
      <w:r>
        <w:rPr>
          <w:color w:val="212121"/>
        </w:rPr>
        <w:t xml:space="preserve">Supports the capability of citizens, civil society organizations, and communities to understand their rights to quality health services, and participate in the planning and delivery of those services;  </w:t>
      </w:r>
    </w:p>
    <w:p w:rsidR="00CD626F" w:rsidRDefault="00705416">
      <w:pPr>
        <w:numPr>
          <w:ilvl w:val="0"/>
          <w:numId w:val="4"/>
        </w:numPr>
        <w:ind w:hanging="360"/>
        <w:rPr>
          <w:color w:val="212121"/>
        </w:rPr>
      </w:pPr>
      <w:r>
        <w:rPr>
          <w:color w:val="212121"/>
        </w:rPr>
        <w:t xml:space="preserve">Helps citizens, civil society organizations, and communities establish activities to hold institutions accountable for quality, effective services, and work collaboratively to improve those services; and </w:t>
      </w:r>
    </w:p>
    <w:p w:rsidR="00CD626F" w:rsidRDefault="00705416">
      <w:pPr>
        <w:numPr>
          <w:ilvl w:val="0"/>
          <w:numId w:val="4"/>
        </w:numPr>
        <w:ind w:hanging="360"/>
        <w:rPr>
          <w:color w:val="212121"/>
        </w:rPr>
      </w:pPr>
      <w:r>
        <w:rPr>
          <w:color w:val="212121"/>
        </w:rPr>
        <w:t>Strengthens public and private organizations to respond to citizens’ voice</w:t>
      </w:r>
      <w:r w:rsidR="00EE2E47">
        <w:rPr>
          <w:color w:val="212121"/>
        </w:rPr>
        <w:t xml:space="preserve">, particularly </w:t>
      </w:r>
      <w:r>
        <w:rPr>
          <w:color w:val="212121"/>
        </w:rPr>
        <w:t>those that are marginalized and disadvantaged.</w:t>
      </w:r>
    </w:p>
    <w:p w:rsidR="00CD626F" w:rsidRDefault="00CD626F"/>
    <w:p w:rsidR="00CD626F" w:rsidRDefault="00705416">
      <w:r>
        <w:t xml:space="preserve">The Applicant will identify and implement appropriate means to ensure that civil society participation in the health sector is enhanced and that feedback is solicited in order to improve the overall accountability of the health sector. More importantly, the Applicant will seek to institutionalize civil society participation within the district structures such as service delivery planning and oversight. </w:t>
      </w:r>
    </w:p>
    <w:p w:rsidR="00CD626F" w:rsidRDefault="00CD626F"/>
    <w:p w:rsidR="00CD626F" w:rsidRDefault="00705416">
      <w:r>
        <w:rPr>
          <w:color w:val="212121"/>
        </w:rPr>
        <w:t xml:space="preserve">Under IR 1.3, the IHSS/SD activity will not only strengthen local structures and capacity for community governance, but will also work with CSOs to enhance their capacity to respond to citizens’ requests and concerns and implement community governance activities to address these concerns.   </w:t>
      </w:r>
    </w:p>
    <w:p w:rsidR="00CD626F" w:rsidRDefault="00CD626F"/>
    <w:p w:rsidR="00CD626F" w:rsidRDefault="00705416">
      <w:r>
        <w:t>The applicant should propose social behavior change activities, including gender transformative and gender synchronized</w:t>
      </w:r>
      <w:r>
        <w:rPr>
          <w:vertAlign w:val="superscript"/>
        </w:rPr>
        <w:footnoteReference w:id="36"/>
      </w:r>
      <w:r>
        <w:t xml:space="preserve"> interventions, which should include women and girls’ empowerment, and constructive engagement of women in community decision-making structures.  Traditional practices vary across regions and by ethnic, social, cultural, and political factors, thus, requiring regionally tailored approaches to social and normative behavior change for governance programming at the community level.</w:t>
      </w:r>
    </w:p>
    <w:p w:rsidR="00CD626F" w:rsidRDefault="00CD626F"/>
    <w:p w:rsidR="00CD626F" w:rsidRDefault="00705416">
      <w:r>
        <w:rPr>
          <w:i/>
        </w:rPr>
        <w:t>Expected Results under IR1:</w:t>
      </w:r>
      <w:r>
        <w:t xml:space="preserve"> </w:t>
      </w:r>
    </w:p>
    <w:p w:rsidR="00CD626F" w:rsidRDefault="00705416">
      <w:pPr>
        <w:numPr>
          <w:ilvl w:val="0"/>
          <w:numId w:val="6"/>
        </w:numPr>
        <w:ind w:hanging="360"/>
        <w:contextualSpacing/>
      </w:pPr>
      <w:r>
        <w:t>Strong coordination and monitoring of the overall health sector at the federal, provincial and district level;</w:t>
      </w:r>
    </w:p>
    <w:p w:rsidR="00CD626F" w:rsidRDefault="00705416">
      <w:pPr>
        <w:numPr>
          <w:ilvl w:val="0"/>
          <w:numId w:val="6"/>
        </w:numPr>
        <w:ind w:hanging="360"/>
        <w:contextualSpacing/>
      </w:pPr>
      <w:r>
        <w:lastRenderedPageBreak/>
        <w:t>Relationship between MNHSRC, provinces and districts are clarified and strengthened;</w:t>
      </w:r>
    </w:p>
    <w:p w:rsidR="00CD626F" w:rsidRDefault="00705416">
      <w:pPr>
        <w:numPr>
          <w:ilvl w:val="0"/>
          <w:numId w:val="6"/>
        </w:numPr>
        <w:ind w:hanging="360"/>
        <w:contextualSpacing/>
      </w:pPr>
      <w:r>
        <w:t>Strong capacity among public sector top and middle-managers in planning, policy implementation, budgeting, resource allocation, management and monitoring;</w:t>
      </w:r>
    </w:p>
    <w:p w:rsidR="00CD626F" w:rsidRDefault="00705416">
      <w:pPr>
        <w:numPr>
          <w:ilvl w:val="0"/>
          <w:numId w:val="6"/>
        </w:numPr>
        <w:ind w:hanging="360"/>
        <w:contextualSpacing/>
      </w:pPr>
      <w:r>
        <w:t>Health management and leadership are effectively devolved to districts, local government and communities;</w:t>
      </w:r>
    </w:p>
    <w:p w:rsidR="00CD626F" w:rsidRDefault="00705416">
      <w:pPr>
        <w:numPr>
          <w:ilvl w:val="0"/>
          <w:numId w:val="6"/>
        </w:numPr>
        <w:ind w:hanging="360"/>
        <w:contextualSpacing/>
      </w:pPr>
      <w:r>
        <w:t>Increased evidence of results oriented policies, plans, and strategies at provincial and district levels with associated clear implementation and action plans;</w:t>
      </w:r>
    </w:p>
    <w:p w:rsidR="00CD626F" w:rsidRDefault="00705416">
      <w:pPr>
        <w:numPr>
          <w:ilvl w:val="0"/>
          <w:numId w:val="6"/>
        </w:numPr>
        <w:ind w:hanging="360"/>
        <w:contextualSpacing/>
      </w:pPr>
      <w:r>
        <w:t>District Action Plan process strengthened and used for all health sector activity planning;</w:t>
      </w:r>
    </w:p>
    <w:p w:rsidR="00CD626F" w:rsidRDefault="00705416">
      <w:pPr>
        <w:numPr>
          <w:ilvl w:val="0"/>
          <w:numId w:val="6"/>
        </w:numPr>
        <w:ind w:hanging="360"/>
        <w:contextualSpacing/>
      </w:pPr>
      <w:r>
        <w:t>DHMTs are further effectively structured and institutionalized;</w:t>
      </w:r>
    </w:p>
    <w:p w:rsidR="00CD626F" w:rsidRDefault="00705416">
      <w:pPr>
        <w:numPr>
          <w:ilvl w:val="0"/>
          <w:numId w:val="6"/>
        </w:numPr>
        <w:ind w:hanging="360"/>
        <w:contextualSpacing/>
      </w:pPr>
      <w:r>
        <w:t>Allocation of costs centers under the medium term budgetary framework;</w:t>
      </w:r>
    </w:p>
    <w:p w:rsidR="00CD626F" w:rsidRDefault="00705416">
      <w:pPr>
        <w:numPr>
          <w:ilvl w:val="0"/>
          <w:numId w:val="6"/>
        </w:numPr>
        <w:ind w:hanging="360"/>
        <w:contextualSpacing/>
      </w:pPr>
      <w:r>
        <w:t>Improved resource utilization for primary health;</w:t>
      </w:r>
    </w:p>
    <w:p w:rsidR="00CD626F" w:rsidRDefault="00705416">
      <w:pPr>
        <w:numPr>
          <w:ilvl w:val="0"/>
          <w:numId w:val="6"/>
        </w:numPr>
        <w:ind w:hanging="360"/>
        <w:contextualSpacing/>
      </w:pPr>
      <w:r>
        <w:t>Citizens empowered to engage in joint-problem solving for improved health determinants.</w:t>
      </w:r>
    </w:p>
    <w:p w:rsidR="00CD626F" w:rsidRDefault="00CD626F">
      <w:pPr>
        <w:ind w:left="720"/>
      </w:pPr>
    </w:p>
    <w:p w:rsidR="00CD626F" w:rsidRDefault="00705416">
      <w:r>
        <w:rPr>
          <w:b/>
          <w:i/>
        </w:rPr>
        <w:t>Intermediate Result 2 – Financing</w:t>
      </w:r>
      <w:r>
        <w:rPr>
          <w:b/>
          <w:i/>
          <w:vertAlign w:val="superscript"/>
        </w:rPr>
        <w:footnoteReference w:id="37"/>
      </w:r>
      <w:r>
        <w:rPr>
          <w:b/>
          <w:i/>
        </w:rPr>
        <w:t xml:space="preserve"> </w:t>
      </w:r>
    </w:p>
    <w:p w:rsidR="00CD626F" w:rsidRDefault="00705416">
      <w:r>
        <w:rPr>
          <w:b/>
          <w:i/>
        </w:rPr>
        <w:t xml:space="preserve">Improved health sector financing and spending efficiency </w:t>
      </w:r>
    </w:p>
    <w:p w:rsidR="00CD626F" w:rsidRDefault="00CD626F"/>
    <w:p w:rsidR="00CD626F" w:rsidRDefault="00705416">
      <w:pPr>
        <w:widowControl w:val="0"/>
      </w:pPr>
      <w:r>
        <w:t>A good health financing system allocates and raises adequate funds for health in ways that ensure people can use needed services and are protected from financial catastrophe or impoverishment associated with having to pay for them. An effective health financing system also has good budget allocation and execution processes to ensure efficient resource utilization.</w:t>
      </w:r>
    </w:p>
    <w:p w:rsidR="00CD626F" w:rsidRDefault="00CD626F"/>
    <w:p w:rsidR="00CD626F" w:rsidRDefault="00705416">
      <w:r>
        <w:rPr>
          <w:b/>
          <w:i/>
        </w:rPr>
        <w:t>Sub-IR 2.1: Use of effective health financing schemes increased</w:t>
      </w:r>
    </w:p>
    <w:p w:rsidR="00CD626F" w:rsidRDefault="00705416">
      <w:pPr>
        <w:widowControl w:val="0"/>
      </w:pPr>
      <w:r>
        <w:t xml:space="preserve">Pakistan has agreed to achieve universal health coverage (UHC) by 2025 as part of the SDGs. This is a key commitment outlined in the National Health Vision 2025 and will ensure Pakistan can provide the full spectrum of essential quality health services from health promotion to prevention, treatment, rehabilitation and palliative care. In 2016, the MNHSRC initiated one of the first health financing schemes known as the Prime Minister’s Health Insurance Scheme. Currently in the pilot phase, this scheme attempts to leverage public sector resources to provide healthcare to 100 million Pakistanis. This is an aggressive goal and successful implementation will depend on the GOP’s overall strategy for effectively developing and implementing a universal health coverage strategy to guide the program. </w:t>
      </w:r>
    </w:p>
    <w:p w:rsidR="00CD626F" w:rsidRDefault="00CD626F"/>
    <w:p w:rsidR="00CD626F" w:rsidRDefault="00705416">
      <w:pPr>
        <w:widowControl w:val="0"/>
      </w:pPr>
      <w:r>
        <w:t xml:space="preserve">The Applicant will work closely with relevant stakeholders to identify and develop strategies in support of universal health coverage that will include expanding coverage to vulnerable groups, while increasing overall spending efficiencies. In partnership with the GOP, the Applicant will develop a national </w:t>
      </w:r>
      <w:r w:rsidR="00EE2E47">
        <w:t>UHC</w:t>
      </w:r>
      <w:r>
        <w:t xml:space="preserve"> financing strategy and associated action plan, including relevant </w:t>
      </w:r>
      <w:r>
        <w:lastRenderedPageBreak/>
        <w:t>analyses (i.e. political economy analysis, etc.) to examine opportunities and barriers to financing UHC, including an analysis of the Prime Minister’s Health Insurance Scheme. Where possible, the Applicant will propose to GOP a more equitable system linking the ability to pay with insurance contributions and entitlements, and review legislation packages related to the health insurance industry as necessary to advise GOP on potential amendments to legislation. The Applicant will play an advisory role to the MNHSRC to inform GOP’s overall roadmap to achieving UHC by 2025.</w:t>
      </w:r>
    </w:p>
    <w:p w:rsidR="00CD626F" w:rsidRDefault="00CD626F"/>
    <w:p w:rsidR="00CD626F" w:rsidRDefault="00705416">
      <w:r>
        <w:rPr>
          <w:b/>
          <w:i/>
        </w:rPr>
        <w:t>Sub-IR 2.2: Domestic resource mobilization and utilization for health financing improved</w:t>
      </w:r>
    </w:p>
    <w:p w:rsidR="00CD626F" w:rsidRDefault="00705416">
      <w:r>
        <w:t>As lower middle income countries like Pakistan depend less on donor funding for health, domestic resource mobilization and the efficient use of these resources becomes critical in ensuring health coverage for those segments of society to minimize financial risk from health emergencies. To ensure that adequate domestic resources are allocated to the health sector, dedicated analytic, policy, and advocacy efforts are required. One the resources are allocated, it’s also just as important that public sector stewards of the health finances adequately budget and execute the funding based on evidence.</w:t>
      </w:r>
    </w:p>
    <w:p w:rsidR="00CD626F" w:rsidRDefault="00CD626F"/>
    <w:p w:rsidR="00CD626F" w:rsidRDefault="00705416">
      <w:r>
        <w:t>Working closely with the MNHSRC, provincial departments of health and planning departments, the Applicant will identify opportunities to strengthen these institutions’ capacity to mobilize resources for health and strengthen resource utilization, including public-private partnerships and other innovative health financing options. This will include technical assistance to build economic analytical capacity in order to more effectively advocate for and justify requests for additional funding for health. The Applicant will also identify opportunities to build national capacity overall to carry out economic/costing studies with key counterparts to promote the use of the National and Provincial Health Accounts in policymaking.</w:t>
      </w:r>
    </w:p>
    <w:p w:rsidR="00CD626F" w:rsidRDefault="00CD626F"/>
    <w:p w:rsidR="00CD626F" w:rsidRDefault="00705416">
      <w:pPr>
        <w:widowControl w:val="0"/>
      </w:pPr>
      <w:r>
        <w:t>The Applicant will also work with a committed provincial government to identify bottlenecks in public financial management for health to develop interventions that streamline budget allocation and executions processes. The Applicant should propose an approach that makes the best use of existing financing data and links activities proposed under IR1 (budget management) to increase public health officials’ capacity to make future investments decisions, understand the effectiveness of current allocations for health, and act as effective stewards of health finances.</w:t>
      </w:r>
    </w:p>
    <w:p w:rsidR="00CD626F" w:rsidRDefault="00CD626F"/>
    <w:p w:rsidR="00CD626F" w:rsidRDefault="00705416">
      <w:r>
        <w:rPr>
          <w:i/>
        </w:rPr>
        <w:t xml:space="preserve">Expected Results </w:t>
      </w:r>
      <w:r>
        <w:t>under IR2:</w:t>
      </w:r>
    </w:p>
    <w:p w:rsidR="00CD626F" w:rsidRDefault="00705416">
      <w:pPr>
        <w:numPr>
          <w:ilvl w:val="0"/>
          <w:numId w:val="7"/>
        </w:numPr>
        <w:ind w:hanging="360"/>
      </w:pPr>
      <w:r>
        <w:t>Strengthened and standardized UHC approach by the MNHSRC;</w:t>
      </w:r>
    </w:p>
    <w:p w:rsidR="00CD626F" w:rsidRDefault="00705416">
      <w:pPr>
        <w:numPr>
          <w:ilvl w:val="0"/>
          <w:numId w:val="7"/>
        </w:numPr>
        <w:ind w:hanging="360"/>
      </w:pPr>
      <w:r>
        <w:t>Increased public sector budgetary allocations and private sector domestic resource mobilization for delivering integrated services (family planning, maternal and child health, nutrition, and water, sanitation, and hygiene);</w:t>
      </w:r>
    </w:p>
    <w:p w:rsidR="00CD626F" w:rsidRDefault="00705416">
      <w:pPr>
        <w:numPr>
          <w:ilvl w:val="0"/>
          <w:numId w:val="7"/>
        </w:numPr>
        <w:ind w:hanging="360"/>
      </w:pPr>
      <w:r>
        <w:t>Timeliness and efficient disbursement of public sector funds;</w:t>
      </w:r>
    </w:p>
    <w:p w:rsidR="00CD626F" w:rsidRDefault="00705416">
      <w:pPr>
        <w:numPr>
          <w:ilvl w:val="0"/>
          <w:numId w:val="7"/>
        </w:numPr>
        <w:ind w:hanging="360"/>
      </w:pPr>
      <w:r>
        <w:t>Decentralized units for health are effectively managing fiscal and financial functions;</w:t>
      </w:r>
    </w:p>
    <w:p w:rsidR="00CD626F" w:rsidRDefault="00705416">
      <w:pPr>
        <w:numPr>
          <w:ilvl w:val="0"/>
          <w:numId w:val="7"/>
        </w:numPr>
        <w:ind w:hanging="360"/>
      </w:pPr>
      <w:r>
        <w:t>Greater private sector participation in health is increased.</w:t>
      </w:r>
    </w:p>
    <w:p w:rsidR="00CD626F" w:rsidRDefault="00CD626F"/>
    <w:p w:rsidR="00CD626F" w:rsidRDefault="00705416">
      <w:r>
        <w:rPr>
          <w:b/>
          <w:i/>
        </w:rPr>
        <w:t>Intermediate Result 3 – Integrated, Equitable, Quality Services</w:t>
      </w:r>
    </w:p>
    <w:p w:rsidR="00CD626F" w:rsidRDefault="00705416">
      <w:r>
        <w:rPr>
          <w:b/>
          <w:i/>
        </w:rPr>
        <w:t>Improved availability of integrated, equitable, quality health services in focused district(s)</w:t>
      </w:r>
    </w:p>
    <w:p w:rsidR="00CD626F" w:rsidRDefault="00CD626F"/>
    <w:p w:rsidR="00CD626F" w:rsidRDefault="00705416">
      <w:r>
        <w:t>Good health services are those that deliver effective, safe, quality personal and non-personal health interventions to those that need them, when and where needed, with minimum waste of resources.  Numerous studies conducted in Pakistan, and often implemented through local systems and structures, have identified integrated packages of effective interventions. These intervention studies have documented significant reductions of newborn, infant, child, and maternal mortality and morbidity, and have demonstrated improvements in nutritional status, and contraceptive use,</w:t>
      </w:r>
      <w:r>
        <w:rPr>
          <w:vertAlign w:val="superscript"/>
        </w:rPr>
        <w:footnoteReference w:id="38"/>
      </w:r>
      <w:r>
        <w:t xml:space="preserve"> and/or provide insights into promising program approaches.</w:t>
      </w:r>
      <w:r>
        <w:rPr>
          <w:vertAlign w:val="superscript"/>
        </w:rPr>
        <w:footnoteReference w:id="39"/>
      </w:r>
      <w:r>
        <w:t xml:space="preserve">    </w:t>
      </w:r>
    </w:p>
    <w:p w:rsidR="00CD626F" w:rsidRDefault="00705416">
      <w:r>
        <w:t>The aim of IR 3 is to establish an integrated model of service delivery network in one or more districts in Pakistan by strengthening the public and private (for profit and not-for-profit) sectors’</w:t>
      </w:r>
      <w:r>
        <w:rPr>
          <w:vertAlign w:val="superscript"/>
        </w:rPr>
        <w:footnoteReference w:id="40"/>
      </w:r>
      <w:r>
        <w:t xml:space="preserve"> capacity to implement integrated, quality, equitable services according to the essential package of health services outlined by MNHSRC.</w:t>
      </w:r>
    </w:p>
    <w:p w:rsidR="00CD626F" w:rsidRDefault="00CD626F"/>
    <w:p w:rsidR="00CD626F" w:rsidRDefault="00705416">
      <w:r>
        <w:t xml:space="preserve">To contribute to End Preventable Child and Maternal Deaths (EPCMD) goals, public and private services will implement no more than two evidence-based interventions per technical area: 1) family planning, 2) neonatal health, 3) child health, 4) maternal health, 5) nutrition and 6) WASH. The applicant must provide </w:t>
      </w:r>
      <w:r w:rsidR="00EE2E47">
        <w:t xml:space="preserve">a </w:t>
      </w:r>
      <w:r>
        <w:t>strong rationale and criteria for the selected province/district based on epidemiological and geographic analysis to optimize impact of the activity, including relationship to IR1, IR2 and IR4.  The emphasis will be on low-cost interventions that have been proven effective in addressing the highest priority health needs of women and children in the selected district(s).  The expectation is that this approach will be a source of learning for other districts and the wider health sector. It is imperative that the Applicant consider both the public and private sector in the approach, considering that 7</w:t>
      </w:r>
      <w:r w:rsidR="00EE2E47">
        <w:t>0 percent of the population relies</w:t>
      </w:r>
      <w:r>
        <w:t xml:space="preserve"> on the private sector for health services.</w:t>
      </w:r>
    </w:p>
    <w:p w:rsidR="00CD626F" w:rsidRDefault="00CD626F"/>
    <w:p w:rsidR="00CD626F" w:rsidRDefault="00705416">
      <w:r>
        <w:t xml:space="preserve">Use of well-designed, targeted approaches to reach marginalized and disadvantaged populations will be critically important for achieving EPCMD goals (Tables 1 and 2).  Studies from Pakistan have found that even when women know and wish to avoid unhealthy behaviors, economic, gender, and cultural determinants may prevent them from seeking care.  One study concluded, “Despite awareness of birth complications and treatment options, poverty and dependence on richer, higher-caste people for cash transfers or loans prevented women from </w:t>
      </w:r>
      <w:r>
        <w:lastRenderedPageBreak/>
        <w:t>accessing the required care.”</w:t>
      </w:r>
      <w:r>
        <w:rPr>
          <w:vertAlign w:val="superscript"/>
        </w:rPr>
        <w:footnoteReference w:id="41"/>
      </w:r>
      <w:r>
        <w:t xml:space="preserve">   Programs need to identify sound approaches to identify and reach those who are excluded from program benefits due to deliberate exclusion, gender segregation, provider attitudes, or inadequacy of program resources to reach lower caste, poor women.</w:t>
      </w:r>
      <w:r>
        <w:rPr>
          <w:vertAlign w:val="superscript"/>
        </w:rPr>
        <w:footnoteReference w:id="42"/>
      </w:r>
      <w:r>
        <w:t xml:space="preserve">  </w:t>
      </w:r>
    </w:p>
    <w:p w:rsidR="00CD626F" w:rsidRDefault="00CD626F"/>
    <w:p w:rsidR="00CD626F" w:rsidRDefault="00705416">
      <w:r>
        <w:t>It is important that programs recognize that service delivery models that increase service volume and client satisfaction may not necessarily increase equity.</w:t>
      </w:r>
      <w:r>
        <w:rPr>
          <w:vertAlign w:val="superscript"/>
        </w:rPr>
        <w:footnoteReference w:id="43"/>
      </w:r>
      <w:r>
        <w:t xml:space="preserve">  One study from Pakistan found that, while contracting out increased use of services, it did not increase access in rural areas.  To do so would require additional measures for “demand enhancement, transportation access, and targeting of more disadvantaged clientele.”</w:t>
      </w:r>
      <w:r>
        <w:rPr>
          <w:vertAlign w:val="superscript"/>
        </w:rPr>
        <w:footnoteReference w:id="44"/>
      </w:r>
    </w:p>
    <w:p w:rsidR="00CD626F" w:rsidRDefault="00CD626F"/>
    <w:p w:rsidR="00CD626F" w:rsidRDefault="00705416">
      <w:r>
        <w:rPr>
          <w:b/>
          <w:i/>
        </w:rPr>
        <w:t>Sub-IR 3.1</w:t>
      </w:r>
      <w:r>
        <w:rPr>
          <w:i/>
        </w:rPr>
        <w:t xml:space="preserve">: </w:t>
      </w:r>
      <w:r>
        <w:rPr>
          <w:b/>
          <w:i/>
        </w:rPr>
        <w:t>Provision of quality, integrated health services at the district and facility level increased</w:t>
      </w:r>
    </w:p>
    <w:p w:rsidR="00CD626F" w:rsidRDefault="00705416">
      <w:r>
        <w:t xml:space="preserve">As called for in the </w:t>
      </w:r>
      <w:r>
        <w:rPr>
          <w:i/>
        </w:rPr>
        <w:t>Pakistan Health Vision, 2016-2025</w:t>
      </w:r>
      <w:r>
        <w:t>, there is a need to expand the essential service packages, by including newborn survival, birth spacing, and under-nutrition, among other services.</w:t>
      </w:r>
      <w:r>
        <w:rPr>
          <w:vertAlign w:val="superscript"/>
        </w:rPr>
        <w:footnoteReference w:id="45"/>
      </w:r>
      <w:r>
        <w:t xml:space="preserve"> At the federal level, the Essential Health Services Package and Minimal Standards of Delivery need to be reviewed and updated to reflect an integrated health approach and ensure provision of quality services</w:t>
      </w:r>
      <w:r w:rsidR="00EE2E47">
        <w:t xml:space="preserve">.  At the provincial level, </w:t>
      </w:r>
      <w:r>
        <w:t xml:space="preserve">further work needs to happen to rationalize the management of the Essential Health Services Package, determine the Minimal Standards of Delivery, and define integrated service delivery packages.  </w:t>
      </w:r>
    </w:p>
    <w:p w:rsidR="00CD626F" w:rsidRDefault="00CD626F"/>
    <w:p w:rsidR="00CD626F" w:rsidRDefault="00705416">
      <w:r>
        <w:t xml:space="preserve"> The Applicant should propose approaches to implement the key interventions sele</w:t>
      </w:r>
      <w:r w:rsidR="00EE2E47">
        <w:t xml:space="preserve">cted ensuring alignment to the </w:t>
      </w:r>
      <w:r>
        <w:t>Essential Health Service Package and Minimal Standards of Delivery and keeping in mind integration where feasible.  Standards that a</w:t>
      </w:r>
      <w:r w:rsidR="00EE2E47">
        <w:t xml:space="preserve">pply to the selected technical </w:t>
      </w:r>
      <w:r>
        <w:t>intervention areas will be integrated into the daily functions of public and private sector facilities while operationalizing a broad program of technical assistance for capacity building for the public and private sectors on application and use of these standards. Furthermore, innovative approaches to improve efficiencies in the management and delivery of facility based health services across multiple health areas are expected, including linkages to IR3.2. The Applicant should explore the organization of the wider provider network to ensure efficiencies, accountability, and continuity of care from community to facility level, including public and private sector networks.</w:t>
      </w:r>
    </w:p>
    <w:p w:rsidR="00CD626F" w:rsidRDefault="00CD626F"/>
    <w:p w:rsidR="00CD626F" w:rsidRDefault="00705416">
      <w:r>
        <w:lastRenderedPageBreak/>
        <w:t>Although social behavior change communication (SBCC) is not explicit in the Essential Health Service Package and Minimal Standards of Delivery, USAID considers BCC a critical aspect of health services. Under this activity, the Applicant will propose an approach to build the public sector capacity to coordinate and design sub-national SBCC strategies to achieve measurable changes in accelerator behaviors linked to key interventions selected, including use of services by priority populations in targeted districts. Efforts to build the capacity of the district health authorities should focus on synergy with and/or local adaptation of national strategies and resources; oversight of district-level or provincial campaigns that include both public and private sectors; and coordination of implementers. Across all levels, the IHSS/SD activity interventions should clearly reflect established best practices in capacity strengthening for SBCC.</w:t>
      </w:r>
    </w:p>
    <w:p w:rsidR="00CD626F" w:rsidRDefault="00CD626F">
      <w:pPr>
        <w:tabs>
          <w:tab w:val="left" w:pos="7631"/>
        </w:tabs>
      </w:pPr>
    </w:p>
    <w:p w:rsidR="00CD626F" w:rsidRDefault="00705416">
      <w:r>
        <w:t xml:space="preserve">The expectation is that the approach (service delivery and SBCC) and respective interventions will use existing public and private health sector resources, ensuring technical assistance is directed at these resources to build capacity and strengthen systems, rather than creating parallel structures of support. This will ensure that the approach is sustainable after the activity ends considering limited resources in the sector. The success of the approach will also depend on how effectively the Applicant is able to link interventions under IR1 (leadership and governance) and IR4. </w:t>
      </w:r>
    </w:p>
    <w:p w:rsidR="00CD626F" w:rsidRDefault="00CD626F"/>
    <w:p w:rsidR="00CD626F" w:rsidRDefault="00705416">
      <w:r>
        <w:rPr>
          <w:b/>
          <w:i/>
        </w:rPr>
        <w:t>Sub-IR 3.2</w:t>
      </w:r>
      <w:r>
        <w:rPr>
          <w:i/>
        </w:rPr>
        <w:t xml:space="preserve">: </w:t>
      </w:r>
      <w:r>
        <w:rPr>
          <w:b/>
          <w:i/>
        </w:rPr>
        <w:t xml:space="preserve">Community-health systems effectively implement high impact practices  </w:t>
      </w:r>
    </w:p>
    <w:p w:rsidR="00CD626F" w:rsidRDefault="00EE2E47">
      <w:r>
        <w:t xml:space="preserve">There is a </w:t>
      </w:r>
      <w:r w:rsidR="00705416" w:rsidRPr="00E34C39">
        <w:t>range of promis</w:t>
      </w:r>
      <w:r>
        <w:t>ing community health approaches</w:t>
      </w:r>
      <w:r w:rsidR="00705416" w:rsidRPr="00E34C39">
        <w:t xml:space="preserve"> that can reduce barriers to effective coverage. In particular, these approaches aim to strengthen the capacity of health and local systems to engage with communities to build strong health service delivery systems outside of health facilities. To increase effective coverage of high impact health interventions,  communities must be actively engaged with health systems in ensuring equitable access to high quality, essential services; promoting healthy norms and behaviors; and, providing appropriate and timely oversight and support. </w:t>
      </w:r>
    </w:p>
    <w:p w:rsidR="00CD626F" w:rsidRDefault="00CD626F"/>
    <w:p w:rsidR="00CD626F" w:rsidRDefault="00705416">
      <w:r>
        <w:t xml:space="preserve">Under IR 3.2, the applicant will propose an innovative community focused approach that will improve equitable access to health and increase demand for quality services, ensuring services are efficient and responsive to communities. For areas where there is an existing community service delivery platform, the approach should include capacity building interventions that strengthen the clinical, counseling and community mobilization skills of existing public and private sectors health workers.  For areas where there are no existing community service delivery platforms, the approach should include novel ideas for involving non-traditional partners in the provision of services. The applicant will promote effective collaboration and linkages between public sector (community health workers such as LHWs and CMWs), private sector providers, NGOs, CSOs, community structures, and facilities during the implementation of these interventions to ensure community engagement and inclusive partnership. In particular, USAID expects that stronger collaboration and linkages within the community and with health facilities, will improve integration of services and/or parallel programs.    </w:t>
      </w:r>
    </w:p>
    <w:p w:rsidR="00CD626F" w:rsidRDefault="00705416">
      <w:r>
        <w:lastRenderedPageBreak/>
        <w:t xml:space="preserve">The applicant should strongly consider the role of Pakistan’s Lady Health Worker Program, one of the largest community-based programs in the world, in this approach. .  Program strengths include wide coverage -- the program currently reaches about 80 million clients.   However, past evaluations have called into questions the continued effectiveness of the program as the number of responsibilities beyond basic FP and MCH services continues to expand.  </w:t>
      </w:r>
    </w:p>
    <w:p w:rsidR="00CD626F" w:rsidRDefault="00CD626F"/>
    <w:p w:rsidR="00CD626F" w:rsidRDefault="00705416">
      <w:r>
        <w:t>This activity will be intricately linked with IR 1.3 to ensure citizens are engaged and that there is improved accountability and governance.</w:t>
      </w:r>
    </w:p>
    <w:p w:rsidR="00CD626F" w:rsidRDefault="00CD626F"/>
    <w:p w:rsidR="00CD626F" w:rsidRDefault="00705416">
      <w:r>
        <w:rPr>
          <w:b/>
          <w:i/>
        </w:rPr>
        <w:t>Sub-IR 3.3:</w:t>
      </w:r>
      <w:r>
        <w:rPr>
          <w:i/>
        </w:rPr>
        <w:t xml:space="preserve"> </w:t>
      </w:r>
      <w:r>
        <w:rPr>
          <w:b/>
          <w:i/>
        </w:rPr>
        <w:t>Improved public sector capacity to implement and coordinate social and behavior SBCC activities at the community level</w:t>
      </w:r>
    </w:p>
    <w:p w:rsidR="00CD626F" w:rsidRDefault="00705416">
      <w:r>
        <w:t>SBCC at the community level is uniquely positioned to support the goals of EPCMD through contributions to sustained changes in population-level norms and behaviors. A strong SBCC approach at the community level ensures that LHWs’ (and male mobilizers) have strong interpersonal communication and community group facilitation skills, as well as effective capacity strengthening curricula, tools and supportive supervision systems.  Community-based health outreach workers (LHWs, male mobilizers, CBO volunteers, Family Welfare Workers (FWW), FWW Assistants, extension workers) must also have access to and use effective SBCC tools that support them to facilitate community-level activities aimed at enabling positive social norms and high impact behaviors (i.e., Accelerator Behaviors) specific to the selected technical intervention areas.</w:t>
      </w:r>
    </w:p>
    <w:p w:rsidR="00CD626F" w:rsidRDefault="00CD626F"/>
    <w:p w:rsidR="00CD626F" w:rsidRDefault="00705416">
      <w:r>
        <w:t>That Applicant will propose an approach that will strengthen SBCC at the community level by strengthening skills of health care workers and communities to implement</w:t>
      </w:r>
      <w:r>
        <w:rPr>
          <w:color w:val="212121"/>
        </w:rPr>
        <w:t xml:space="preserve"> high quality service communication activities, contributing to </w:t>
      </w:r>
      <w:r>
        <w:rPr>
          <w:color w:val="222222"/>
        </w:rPr>
        <w:t>increased demand for essential public and private services among targeted populations, such as poor women and men living in rural communities.  Health care providers will demonstrate increased empathy and respect for clients, improving both clients’ satisfaction with services and providers’ perceived support and recognition for their work.  Finally, increased community dialogue, access to information and counseling, will shift perceived social norms and support and enable practice of health protective behaviors associated with the selected technical intervention areas.</w:t>
      </w:r>
    </w:p>
    <w:p w:rsidR="00CD626F" w:rsidRDefault="00CD626F"/>
    <w:p w:rsidR="00CD626F" w:rsidRDefault="00705416">
      <w:r>
        <w:rPr>
          <w:i/>
        </w:rPr>
        <w:t>Expected Results under IR3:</w:t>
      </w:r>
    </w:p>
    <w:p w:rsidR="00CD626F" w:rsidRDefault="00705416">
      <w:pPr>
        <w:numPr>
          <w:ilvl w:val="0"/>
          <w:numId w:val="9"/>
        </w:numPr>
        <w:ind w:hanging="360"/>
      </w:pPr>
      <w:r>
        <w:t>Improved and updated service standards;</w:t>
      </w:r>
    </w:p>
    <w:p w:rsidR="00CD626F" w:rsidRDefault="00705416">
      <w:pPr>
        <w:numPr>
          <w:ilvl w:val="0"/>
          <w:numId w:val="9"/>
        </w:numPr>
        <w:ind w:hanging="360"/>
      </w:pPr>
      <w:r>
        <w:t>Increased quality of services at the facility and community level;</w:t>
      </w:r>
    </w:p>
    <w:p w:rsidR="00CD626F" w:rsidRDefault="00705416">
      <w:pPr>
        <w:numPr>
          <w:ilvl w:val="0"/>
          <w:numId w:val="9"/>
        </w:numPr>
        <w:ind w:hanging="360"/>
      </w:pPr>
      <w:r>
        <w:t>Improvement in maternal and child health outcomes directly related to proposed technical intervention areas;</w:t>
      </w:r>
      <w:bookmarkStart w:id="0" w:name="_arx35w2y3lqk" w:colFirst="0" w:colLast="0"/>
      <w:bookmarkEnd w:id="0"/>
    </w:p>
    <w:p w:rsidR="00CD626F" w:rsidRDefault="00705416" w:rsidP="00E34C39">
      <w:pPr>
        <w:numPr>
          <w:ilvl w:val="0"/>
          <w:numId w:val="9"/>
        </w:numPr>
        <w:ind w:hanging="360"/>
        <w:contextualSpacing/>
      </w:pPr>
      <w:bookmarkStart w:id="1" w:name="_gjdgxs" w:colFirst="0" w:colLast="0"/>
      <w:bookmarkEnd w:id="1"/>
      <w:r>
        <w:t>Strengthened capacity of provincial and district level health and population teams to coordinate and monitor high quality SBCC activities across public and private sector.</w:t>
      </w:r>
    </w:p>
    <w:p w:rsidR="00CD626F" w:rsidRDefault="00CD626F"/>
    <w:p w:rsidR="00CD626F" w:rsidRDefault="00705416">
      <w:r>
        <w:rPr>
          <w:b/>
          <w:i/>
        </w:rPr>
        <w:t xml:space="preserve">Intermediate Result 4 - Human Resources for Health </w:t>
      </w:r>
    </w:p>
    <w:p w:rsidR="00CD626F" w:rsidRDefault="00705416">
      <w:r>
        <w:rPr>
          <w:b/>
          <w:i/>
        </w:rPr>
        <w:t>Improved performance of the health workforce at the district, facility, and community level</w:t>
      </w:r>
    </w:p>
    <w:p w:rsidR="00CD626F" w:rsidRDefault="00CD626F"/>
    <w:p w:rsidR="00CD626F" w:rsidRDefault="00705416">
      <w:pPr>
        <w:widowControl w:val="0"/>
      </w:pPr>
      <w:r>
        <w:t xml:space="preserve">A well performing health workforce is one that works in ways that are responsive, fair, and efficient to achieve the best health outcomes possible, given available resources and circumstances. Existing health workers could be more productive if they had access to critical material and information resources, clearly defined roles and responsibilities, better supervision and ability to delegate tasks more appropriately.  </w:t>
      </w:r>
    </w:p>
    <w:p w:rsidR="00CD626F" w:rsidRDefault="00CD626F"/>
    <w:p w:rsidR="00CD626F" w:rsidRDefault="00705416">
      <w:r>
        <w:t xml:space="preserve">Provincial allocations and expenditure data has indicated clearly that almost 80 percent of provincial budgets go towards workforce wages.  A significant </w:t>
      </w:r>
      <w:r w:rsidR="00EE2E47">
        <w:t xml:space="preserve">portion of the provincial level </w:t>
      </w:r>
      <w:r>
        <w:t>expenditure in health is directed towards the health workforce. However, there is a need to further work with provincial and district governments to further build and strengthen the capacity of the public and private health workforce responsible for direct service delivery to ensure provision of quality health services.</w:t>
      </w:r>
    </w:p>
    <w:p w:rsidR="00CD626F" w:rsidRDefault="00CD626F"/>
    <w:p w:rsidR="00CD626F" w:rsidRDefault="00705416">
      <w:r>
        <w:t>The Applicant will prioritize evidence-based scalable activities that demonstrate measurable outcomes to achieve an effective and sustainable public and private health workforce. Activities to improve the health workforce performance will need to use a learning and adaptive approach to respond to the dynamics on the ground and to findings and trends identified by studies and assessments in this area. The approach will support realistic national and provincial health workforce strategies and plans for workforce development, including innovative ideas for how public sector training platforms can be utilized by the private sector. The goal is to ensure that health care facilities in underserved areas have the appropriate mix of health care professionals, including female providers, to meet the needs of the most vulnerable populations, including women and children. This type of support should ensure provinces are able to improve their health workforce numbers, distribute them equitably and also ensure they deliver quality services.</w:t>
      </w:r>
    </w:p>
    <w:p w:rsidR="00CD626F" w:rsidRDefault="00CD626F"/>
    <w:p w:rsidR="00CD626F" w:rsidRDefault="00705416">
      <w:r>
        <w:t xml:space="preserve">The Applicant will prioritize activities to sustainably build capacity at the provincial level training institutions, including those partnering with the Health Services Academy in Islamabad.  Activities can also include targeted technical assistance to other entities such as professional organizations and/or private sector entities with potential roles in certain regulatory, accreditation and certification areas.  </w:t>
      </w:r>
    </w:p>
    <w:p w:rsidR="00CD626F" w:rsidRDefault="00CD626F"/>
    <w:p w:rsidR="00CD626F" w:rsidRDefault="00705416">
      <w:r>
        <w:rPr>
          <w:b/>
          <w:i/>
        </w:rPr>
        <w:t>Sub-IR 4.1: Improved quality of training and increased number of those graduating and entering the workforce</w:t>
      </w:r>
    </w:p>
    <w:p w:rsidR="00CD626F" w:rsidRDefault="00705416">
      <w:r>
        <w:t>Health outcomes suffer due to the low number of health workers with adequate skills entering the workforce and providing services to patients. Investments in increasing the number of cadre specific health professionals from districts with poor health indicators should help ensure there are adequate numbers of qualified public and private sector healthcare workers in these districts. There is a need to invest in regulatory mechanisms and training institutions to create a higher quality learning environment and faculty which should translate into better prepared graduates entering the workforce.</w:t>
      </w:r>
    </w:p>
    <w:p w:rsidR="00CD626F" w:rsidRDefault="00CD626F"/>
    <w:p w:rsidR="00CD626F" w:rsidRDefault="00705416">
      <w:r>
        <w:t>There is need to maximize the impact of additional graduates, hence it is essential that they receive an education that equips them with the requisite knowledge and skills to provide essential services in RMNCH, FP, Nutrition and WASH. Improving pre‐service training requires</w:t>
      </w:r>
    </w:p>
    <w:p w:rsidR="00CD626F" w:rsidRDefault="00705416">
      <w:r>
        <w:t>interventions that should ensure 1) faculty numbers, skills and knowledge are up‐to‐date and are consistent with established policies, guidelines, standards and procedures, 2) the learning environment is improved in terms of space, teaching aids and infrastructure 3) the curriculum is updated regularly and it is regulated to meet standards and quality set by the authorized bodies 4) management systems are improved to enable effective resources utilization; and 5) well determined career path for internal growth and retention.</w:t>
      </w:r>
    </w:p>
    <w:p w:rsidR="00CD626F" w:rsidRDefault="00CD626F"/>
    <w:p w:rsidR="00CD626F" w:rsidRDefault="00705416">
      <w:r>
        <w:t>In‐service training remains to be a priority area of investment for donor supported interventions in HRH management. Due to a lack of appropriate tracking and regulatory systems, it has been difficult to track the efficiency and benefits of these investments. There is a need to continue improving the institutionalization of trainings related to RMNCH, FP, Nutrition and WASH but to also find innovative ways to reach the private sector with capacity building activities to improve quality of service delivery.  Additionally, it’s important to strengthen the link between pre‐service and in‐service training to ensure harmony and responsiveness of the curriculum and faculty to new developments in RMNCH, FP, Nutrition and WASH.</w:t>
      </w:r>
    </w:p>
    <w:p w:rsidR="00CD626F" w:rsidRDefault="00CD626F"/>
    <w:p w:rsidR="00CD626F" w:rsidRDefault="00705416">
      <w:r>
        <w:t>Applicants should consider innovative interventions that take into account the complexity of the country and the challenges related to governance, and to consider leveraging the role of existing professional organizations in this area.  To meet the supply side in the training area, applications need to propose proven and cost-effective technical assistance interventions to support targeted structural and institutional reforms needed for transformative education. Applicants should consider both the public and private sectors in their approach.</w:t>
      </w:r>
    </w:p>
    <w:p w:rsidR="00CD626F" w:rsidRDefault="00CD626F"/>
    <w:p w:rsidR="00CD626F" w:rsidRDefault="00705416">
      <w:r>
        <w:rPr>
          <w:b/>
          <w:i/>
        </w:rPr>
        <w:t xml:space="preserve">Sub-IR 4.2 Increased availability of high-quality HRH data to optimize date use for effective HRH decision making  </w:t>
      </w:r>
    </w:p>
    <w:p w:rsidR="00CD626F" w:rsidRDefault="00705416">
      <w:r>
        <w:t xml:space="preserve">Applicants should include technical assistance interventions to support implementation of mechanisms for collecting, reporting and monitoring HRH data, based on globally agreed upon standards.  Interventions should map existing human resource information systems at provincial level to assess quality, interoperability, existing gaps etc.  Applications should describe how activities will ensure data quality will be sustained after the end of the activity and how they will promote a culture of using data for decision-making, particularly to improve equity in the distribution of health care workers providing quality essential health services. More importantly, applicants should describe proven models to build and institutionalize the capacity to use health workforce data to plan, distribute, retain and evaluate the health workforce.   Such capacity includes the ability to use policy levers along the health workforce continuum from education to deployment.  Approaches should reflect province specific challenges and priorities, and while contexts vary, provinces can learn from one another on </w:t>
      </w:r>
      <w:r>
        <w:lastRenderedPageBreak/>
        <w:t xml:space="preserve">successes in HRH management. Provincial HRH coordination is therefore vital for learning, knowledge exchange and synergy of interventions.    </w:t>
      </w:r>
    </w:p>
    <w:p w:rsidR="00CD626F" w:rsidRDefault="00CD626F"/>
    <w:p w:rsidR="00CD626F" w:rsidRDefault="00705416">
      <w:r>
        <w:rPr>
          <w:i/>
        </w:rPr>
        <w:t>Expected Results under IR4:</w:t>
      </w:r>
    </w:p>
    <w:p w:rsidR="00CD626F" w:rsidRDefault="00705416">
      <w:pPr>
        <w:numPr>
          <w:ilvl w:val="0"/>
          <w:numId w:val="8"/>
        </w:numPr>
        <w:ind w:hanging="360"/>
        <w:contextualSpacing/>
      </w:pPr>
      <w:r>
        <w:t>Increased number of graduating health workers with strong skills sets in MCH and FP;</w:t>
      </w:r>
    </w:p>
    <w:p w:rsidR="00CD626F" w:rsidRDefault="00705416">
      <w:pPr>
        <w:numPr>
          <w:ilvl w:val="0"/>
          <w:numId w:val="8"/>
        </w:numPr>
        <w:ind w:hanging="360"/>
        <w:contextualSpacing/>
      </w:pPr>
      <w:r>
        <w:t>Improved quality of pre‐service training including faculty, environment and curriculum;</w:t>
      </w:r>
    </w:p>
    <w:p w:rsidR="00CD626F" w:rsidRDefault="00705416">
      <w:pPr>
        <w:numPr>
          <w:ilvl w:val="0"/>
          <w:numId w:val="8"/>
        </w:numPr>
        <w:ind w:hanging="360"/>
        <w:contextualSpacing/>
      </w:pPr>
      <w:r>
        <w:t>Institutionalize in‐service training for both public and private sector;</w:t>
      </w:r>
    </w:p>
    <w:p w:rsidR="00CD626F" w:rsidRDefault="00705416">
      <w:pPr>
        <w:numPr>
          <w:ilvl w:val="0"/>
          <w:numId w:val="8"/>
        </w:numPr>
        <w:ind w:hanging="360"/>
        <w:contextualSpacing/>
      </w:pPr>
      <w:r>
        <w:t>Equitable and rational deployment, distribution, and retention of health workforce;</w:t>
      </w:r>
    </w:p>
    <w:p w:rsidR="00CD626F" w:rsidRDefault="00705416">
      <w:pPr>
        <w:numPr>
          <w:ilvl w:val="0"/>
          <w:numId w:val="8"/>
        </w:numPr>
        <w:ind w:hanging="360"/>
        <w:contextualSpacing/>
      </w:pPr>
      <w:r>
        <w:t>Stronger regulatory mechanism for pre and in-service training to ensure quality of training a</w:t>
      </w:r>
      <w:r w:rsidR="00681632">
        <w:t>cross public and private sector.</w:t>
      </w:r>
    </w:p>
    <w:p w:rsidR="00CD626F" w:rsidRDefault="00CD626F">
      <w:pPr>
        <w:tabs>
          <w:tab w:val="left" w:pos="1650"/>
        </w:tabs>
      </w:pPr>
    </w:p>
    <w:p w:rsidR="00CD626F" w:rsidRDefault="00705416">
      <w:r>
        <w:rPr>
          <w:b/>
        </w:rPr>
        <w:t>CROSS-CUTTING THEMES</w:t>
      </w:r>
    </w:p>
    <w:p w:rsidR="00CD626F" w:rsidRDefault="00CD626F"/>
    <w:p w:rsidR="00CD626F" w:rsidRDefault="00705416">
      <w:r>
        <w:rPr>
          <w:i/>
        </w:rPr>
        <w:t>Gender</w:t>
      </w:r>
    </w:p>
    <w:p w:rsidR="00CD626F" w:rsidRDefault="00705416">
      <w:r w:rsidRPr="00E34C39">
        <w:t xml:space="preserve">Pakistan is challenged with gender inequalities across all sectors, and despite efforts there is a wide gap between men and women in access to health services and outcomes. Culturally, women are at a disadvantage from birth and are subject to discrimination throughout their lifetime. Starting at birth there is a gender preference for boys. Male infants enjoy more family resources and care in terms of nutrition and access to health care services. </w:t>
      </w:r>
      <w:r w:rsidR="00681632">
        <w:t>Early marriage</w:t>
      </w:r>
      <w:r w:rsidRPr="00E34C39">
        <w:t xml:space="preserve"> of adolescents further deepens the inequality as females are considered an economic liability to a family because of the dowry-endowment tradition in the country. Once married, women often times have a limited role in family-decision making, relying on the husband and mother-in-law to make decisions on every important matter including health care seeking behaviors, particularly those related to reproductive health and family planning.  </w:t>
      </w:r>
      <w:r>
        <w:t xml:space="preserve"> Early marriage also predisposes women to early pregnancy and high fertility, which place women and newborns at risk of death from birth complications. Additional </w:t>
      </w:r>
      <w:r w:rsidRPr="00E34C39">
        <w:rPr>
          <w:rFonts w:ascii="Arial" w:eastAsia="Arial" w:hAnsi="Arial" w:cs="Arial"/>
          <w:color w:val="333333"/>
          <w:sz w:val="20"/>
          <w:szCs w:val="20"/>
          <w:highlight w:val="white"/>
        </w:rPr>
        <w:t>s</w:t>
      </w:r>
      <w:r>
        <w:t xml:space="preserve">ocial dogmas further limit the rights and access of women to reproductive health services. For example, the tribal and rural concept of home deliveries limits access to diagnostic services, leaving women vulnerable to preventable medical complications </w:t>
      </w:r>
    </w:p>
    <w:p w:rsidR="00CD626F" w:rsidRDefault="00CD626F"/>
    <w:p w:rsidR="00CD626F" w:rsidRDefault="00705416">
      <w:r>
        <w:t>When women are granted permission to seek health services, the husband does not usually share in the health seeking responsibilities. Often times, the public health care space from the perspective of client is dominated by women, leaving women with the sole responsibility of making non-financial decisions about the health care of the family</w:t>
      </w:r>
      <w:r w:rsidR="00681632">
        <w:t>.</w:t>
      </w:r>
    </w:p>
    <w:p w:rsidR="00CD626F" w:rsidRDefault="00705416">
      <w:r>
        <w:t xml:space="preserve"> </w:t>
      </w:r>
    </w:p>
    <w:p w:rsidR="002046E1" w:rsidRDefault="00705416">
      <w:r>
        <w:t xml:space="preserve">The IHSS/SD activity should address the gender inequalities in both the demand and supply of the health sector </w:t>
      </w:r>
      <w:r w:rsidR="00681632">
        <w:t>to</w:t>
      </w:r>
      <w:r>
        <w:t xml:space="preserve"> have a measurable and a sustained impact on health seeking behaviors, access to health services, and quality of services at both the institutional and community level. </w:t>
      </w:r>
      <w:r w:rsidR="002046E1" w:rsidRPr="002046E1">
        <w:t>The lack of mid-level female health providers limits access to health service</w:t>
      </w:r>
      <w:r w:rsidR="002046E1">
        <w:t xml:space="preserve">s and health seeking behaviors </w:t>
      </w:r>
      <w:r w:rsidR="002046E1" w:rsidRPr="002046E1">
        <w:t xml:space="preserve">since women prefer to be treated by a female health worker or are culturally prohibited from receiving services from a male provider.  For many female health providers, gendered cultural norms and restrictions on mobility limit educational opportunities to further </w:t>
      </w:r>
      <w:r w:rsidR="002046E1" w:rsidRPr="002046E1">
        <w:lastRenderedPageBreak/>
        <w:t xml:space="preserve">their career development. Although the lowest health cadres (e.g. LHW, CMWs) are made up of women, it is rare to find women in leadership positions in the health sector. </w:t>
      </w:r>
    </w:p>
    <w:p w:rsidR="002046E1" w:rsidRDefault="002046E1"/>
    <w:p w:rsidR="00CD626F" w:rsidRDefault="00705416">
      <w:r>
        <w:t>The activity should propose an approach that not only screens but also prevents gender based discrimination across</w:t>
      </w:r>
      <w:r w:rsidR="00681632">
        <w:t xml:space="preserve"> all</w:t>
      </w:r>
      <w:r>
        <w:t xml:space="preserve"> interventions including selection for leadership and governance activities and hiring and recruitment for training (preservice and in-service). In particular, the Applicant should propose approaches for how they will address the challenges women face in transitioning to leadership positions in the health sector. The Applicant will need to propose ways through which both women and men will be engaged as “active participants” in all the district and community level activities. . This includes, but is not limited to, participation of men in demand generation and behavior change activities and women in governance activities at the community level.</w:t>
      </w:r>
    </w:p>
    <w:p w:rsidR="00CD626F" w:rsidRDefault="00CD626F"/>
    <w:p w:rsidR="00CD626F" w:rsidRDefault="00705416">
      <w:r>
        <w:rPr>
          <w:i/>
        </w:rPr>
        <w:t>Sustainability</w:t>
      </w:r>
    </w:p>
    <w:p w:rsidR="00CD626F" w:rsidRDefault="00705416">
      <w:r>
        <w:t xml:space="preserve">Sustainability within the context of USAID Project Design is achieved when host country partners and beneficiaries are empowered to take ownership of development processes, including financing, and maintain project results and impacts beyond the life of the USAID project. Sustainability is a key priority and outcome of the IHSS/SD activity. To achieve the results, as outlined in the log frame, requires coordination with federal and provincial systems and institutions, both public and private and an emphasis on innovation and non‐traditional partnerships. To sustain the results, the IHSS/SD activity must work alongside federal and one provincial government to continue to pursue local partnerships, leverage the private sector, increase domestic resource mobilization at the federal and provincial level, and build health system strengthening and service delivery capacity. </w:t>
      </w:r>
      <w:r>
        <w:br/>
      </w:r>
    </w:p>
    <w:p w:rsidR="00CD626F" w:rsidRDefault="00705416">
      <w:r>
        <w:rPr>
          <w:color w:val="222222"/>
        </w:rPr>
        <w:t>Applicants must describe how the approaches across all four IRs will be sustained when the activity ends, particularly how they will work with the selected provincial government to leverage existing public sector financing.  They should describe the process they will use to build sustainable capacity to continue the activities across multiple levels (federal, provincial, district and community) and the products that will be available to stakeholders when the IHSS/SD activity ends that document achievements and capacity, enhance learning, and provide a roadmap for further scale-up. They should also describe how they will document and share promising practices.</w:t>
      </w:r>
    </w:p>
    <w:p w:rsidR="00CD626F" w:rsidRDefault="00CD626F"/>
    <w:p w:rsidR="00CD626F" w:rsidRPr="00681632" w:rsidRDefault="00681632" w:rsidP="00681632">
      <w:pPr>
        <w:rPr>
          <w:i/>
        </w:rPr>
      </w:pPr>
      <w:r w:rsidRPr="00681632">
        <w:rPr>
          <w:i/>
        </w:rPr>
        <w:t xml:space="preserve">Monitoring, </w:t>
      </w:r>
      <w:r w:rsidR="00705416" w:rsidRPr="00681632">
        <w:rPr>
          <w:i/>
        </w:rPr>
        <w:t>Evaluation and Learning</w:t>
      </w:r>
    </w:p>
    <w:p w:rsidR="00CD626F" w:rsidRPr="00681632" w:rsidRDefault="00705416">
      <w:pPr>
        <w:spacing w:line="276" w:lineRule="auto"/>
        <w:rPr>
          <w:rFonts w:asciiTheme="minorHAnsi" w:hAnsiTheme="minorHAnsi"/>
        </w:rPr>
      </w:pPr>
      <w:r w:rsidRPr="00681632">
        <w:rPr>
          <w:rFonts w:asciiTheme="minorHAnsi" w:eastAsia="Arial" w:hAnsiTheme="minorHAnsi" w:cs="Arial"/>
        </w:rPr>
        <w:t xml:space="preserve">To ensure the success of the activity, the IHSS/SD activity is expected to have a technically sound and robust monitoring, evaluation and collaborative learning plan (MELP). The MELP will track performance and learning over time. In the proposal, Applicants must include a description of the theory of change and provide a list of realistic indicators, benchmarks and targets to measure achievement and success towards stated objective. The narrative must also identify expected interim and final results of the activity and a plan for collecting the data. </w:t>
      </w:r>
      <w:r w:rsidRPr="00681632">
        <w:rPr>
          <w:rFonts w:asciiTheme="minorHAnsi" w:eastAsia="Arial" w:hAnsiTheme="minorHAnsi" w:cs="Arial"/>
        </w:rPr>
        <w:lastRenderedPageBreak/>
        <w:t xml:space="preserve">Applicants are encouraged to propose a results framework or logical framework that best articulates their technical approach. </w:t>
      </w:r>
    </w:p>
    <w:p w:rsidR="00CD626F" w:rsidRPr="00681632" w:rsidRDefault="00CD626F">
      <w:pPr>
        <w:spacing w:line="276" w:lineRule="auto"/>
        <w:rPr>
          <w:rFonts w:asciiTheme="minorHAnsi" w:hAnsiTheme="minorHAnsi"/>
        </w:rPr>
      </w:pPr>
    </w:p>
    <w:p w:rsidR="00CD626F" w:rsidRPr="00681632" w:rsidRDefault="00705416">
      <w:pPr>
        <w:spacing w:line="276" w:lineRule="auto"/>
        <w:rPr>
          <w:rFonts w:asciiTheme="minorHAnsi" w:hAnsiTheme="minorHAnsi"/>
        </w:rPr>
      </w:pPr>
      <w:r w:rsidRPr="00681632">
        <w:rPr>
          <w:rFonts w:asciiTheme="minorHAnsi" w:eastAsia="Arial" w:hAnsiTheme="minorHAnsi" w:cs="Arial"/>
        </w:rPr>
        <w:t xml:space="preserve">Collaborative learning will be a key component during implementation to ensure that the activity is responsive to contextual, political, and technical changes. More importantly the collaborative learning component provides a space for USAID and all stakeholders involved in the implementation of the activity (MNHSRC, provinces, districts, civil society, private sector, etc.) to assess the effectiveness of the approach and recommend changes to the design if needed. The Applicant must propose modalities for learning and adapting under the MELP, including a description of the knowledge management processes for sharing and using project generated learning across stakeholders at multiple levels.  </w:t>
      </w:r>
    </w:p>
    <w:p w:rsidR="00CD626F" w:rsidRPr="00681632" w:rsidRDefault="00705416">
      <w:pPr>
        <w:spacing w:line="276" w:lineRule="auto"/>
        <w:rPr>
          <w:rFonts w:asciiTheme="minorHAnsi" w:hAnsiTheme="minorHAnsi"/>
        </w:rPr>
      </w:pPr>
      <w:r w:rsidRPr="00681632">
        <w:rPr>
          <w:rFonts w:asciiTheme="minorHAnsi" w:eastAsia="Arial" w:hAnsiTheme="minorHAnsi" w:cs="Arial"/>
        </w:rPr>
        <w:t xml:space="preserve"> </w:t>
      </w:r>
    </w:p>
    <w:p w:rsidR="00CD626F" w:rsidRPr="00681632" w:rsidRDefault="00CD626F">
      <w:pPr>
        <w:rPr>
          <w:rFonts w:asciiTheme="minorHAnsi" w:hAnsiTheme="minorHAnsi"/>
        </w:rPr>
      </w:pPr>
      <w:bookmarkStart w:id="2" w:name="_GoBack"/>
      <w:bookmarkEnd w:id="2"/>
    </w:p>
    <w:sectPr w:rsidR="00CD626F" w:rsidRPr="00681632">
      <w:head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5416" w:rsidRDefault="00705416">
      <w:r>
        <w:separator/>
      </w:r>
    </w:p>
  </w:endnote>
  <w:endnote w:type="continuationSeparator" w:id="0">
    <w:p w:rsidR="00705416" w:rsidRDefault="007054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5416" w:rsidRDefault="00705416">
      <w:r>
        <w:separator/>
      </w:r>
    </w:p>
  </w:footnote>
  <w:footnote w:type="continuationSeparator" w:id="0">
    <w:p w:rsidR="00705416" w:rsidRDefault="00705416">
      <w:r>
        <w:continuationSeparator/>
      </w:r>
    </w:p>
  </w:footnote>
  <w:footnote w:id="1">
    <w:p w:rsidR="00705416" w:rsidRDefault="00705416">
      <w:r>
        <w:rPr>
          <w:vertAlign w:val="superscript"/>
        </w:rPr>
        <w:footnoteRef/>
      </w:r>
      <w:r w:rsidRPr="00E34C39">
        <w:rPr>
          <w:sz w:val="16"/>
          <w:szCs w:val="16"/>
        </w:rPr>
        <w:t xml:space="preserve"> For the purposes of this PD, the Applicant will propose an approach that includes the Ministry of National Health Services, Regulations and Coordination, one province, and selected districts in the selected province. USAID expects that applicant to provide a strong rationale for selection of the province and districts of that province based on epidemiology, political will and financial commitment, and potential for impact. The Applicant will determine the number of districts to include in the approach keeping in mind the overall resource envelope and other priorities outlined the IRs.</w:t>
      </w:r>
    </w:p>
  </w:footnote>
  <w:footnote w:id="2">
    <w:p w:rsidR="00705416" w:rsidRDefault="00705416">
      <w:r>
        <w:rPr>
          <w:vertAlign w:val="superscript"/>
        </w:rPr>
        <w:footnoteRef/>
      </w:r>
      <w:r>
        <w:rPr>
          <w:sz w:val="16"/>
          <w:szCs w:val="16"/>
        </w:rPr>
        <w:t xml:space="preserve"> In this Program Description, the words “health” and “integrated services” refer to family planning, newborn, infant, child, and maternal health, nutrition, water and sanitation, and hygiene. ‘disadvantaged and marginalized populations’ include, but are not limited to, those patients who are social or class minorities, socioeconomically disadvantaged, underinsured,</w:t>
      </w:r>
    </w:p>
    <w:p w:rsidR="00705416" w:rsidRDefault="00705416">
      <w:r>
        <w:rPr>
          <w:sz w:val="16"/>
          <w:szCs w:val="16"/>
        </w:rPr>
        <w:t xml:space="preserve">rural and urban slum residents, part of the lowest two income quintiles, those having little or no education, and those less served by service delivery programs- children under five, postpartum women, high parity women, first time parents, especially adolescent first time parents’.  </w:t>
      </w:r>
    </w:p>
  </w:footnote>
  <w:footnote w:id="3">
    <w:p w:rsidR="00705416" w:rsidRDefault="00705416">
      <w:r>
        <w:rPr>
          <w:vertAlign w:val="superscript"/>
        </w:rPr>
        <w:footnoteRef/>
      </w:r>
      <w:r w:rsidRPr="00E34C39">
        <w:rPr>
          <w:sz w:val="16"/>
          <w:szCs w:val="16"/>
        </w:rPr>
        <w:t xml:space="preserve"> USAID expects successful applicants who are requested to submit full proposals will work with provincial governments to secure commitment for some level of funding to leverage USAID investments in the HSS/SD activity. Although the RFA does not require a cost share, USAID will look favorably at proposals that leverage provincial government financial commitment.</w:t>
      </w:r>
    </w:p>
  </w:footnote>
  <w:footnote w:id="4">
    <w:p w:rsidR="00705416" w:rsidRDefault="00705416">
      <w:r>
        <w:rPr>
          <w:vertAlign w:val="superscript"/>
        </w:rPr>
        <w:footnoteRef/>
      </w:r>
      <w:r>
        <w:rPr>
          <w:sz w:val="16"/>
          <w:szCs w:val="16"/>
        </w:rPr>
        <w:t xml:space="preserve"> Pakistan Demographic and Health Survey 2012-2013</w:t>
      </w:r>
    </w:p>
  </w:footnote>
  <w:footnote w:id="5">
    <w:p w:rsidR="00705416" w:rsidRDefault="00705416">
      <w:r>
        <w:rPr>
          <w:vertAlign w:val="superscript"/>
        </w:rPr>
        <w:footnoteRef/>
      </w:r>
      <w:r w:rsidRPr="00E34C39">
        <w:rPr>
          <w:sz w:val="16"/>
          <w:szCs w:val="16"/>
        </w:rPr>
        <w:t xml:space="preserve"> World Health Organization Global Health Expenditure database (see http://apps.who.int/nha/database for the most recent updates).</w:t>
      </w:r>
    </w:p>
  </w:footnote>
  <w:footnote w:id="6">
    <w:p w:rsidR="00705416" w:rsidRDefault="00705416">
      <w:r>
        <w:rPr>
          <w:vertAlign w:val="superscript"/>
        </w:rPr>
        <w:footnoteRef/>
      </w:r>
      <w:r>
        <w:rPr>
          <w:sz w:val="16"/>
          <w:szCs w:val="16"/>
        </w:rPr>
        <w:t xml:space="preserve"> National Institutes of Health, National Health Information Resource Center, Pakistan Medical Research Council, Pakistan Medical and Dental Council, Health Service Academy, and National Institute of Population Studies.  </w:t>
      </w:r>
    </w:p>
  </w:footnote>
  <w:footnote w:id="7">
    <w:p w:rsidR="00705416" w:rsidRDefault="00705416">
      <w:r>
        <w:rPr>
          <w:vertAlign w:val="superscript"/>
        </w:rPr>
        <w:footnoteRef/>
      </w:r>
      <w:r>
        <w:rPr>
          <w:sz w:val="16"/>
          <w:szCs w:val="16"/>
        </w:rPr>
        <w:t xml:space="preserve"> Pakistan National Health Accounts 2013-2014</w:t>
      </w:r>
    </w:p>
  </w:footnote>
  <w:footnote w:id="8">
    <w:p w:rsidR="00705416" w:rsidRDefault="00705416">
      <w:r>
        <w:rPr>
          <w:vertAlign w:val="superscript"/>
        </w:rPr>
        <w:footnoteRef/>
      </w:r>
      <w:r>
        <w:rPr>
          <w:sz w:val="16"/>
          <w:szCs w:val="16"/>
        </w:rPr>
        <w:t xml:space="preserve"> Agha S.  A profile of women at the greatest risk of maternal death in Pakistan. Health Policy and Planning 2014; Vol 30, Issue 7, 830-836.</w:t>
      </w:r>
    </w:p>
  </w:footnote>
  <w:footnote w:id="9">
    <w:p w:rsidR="00705416" w:rsidRDefault="00705416">
      <w:r>
        <w:rPr>
          <w:vertAlign w:val="superscript"/>
        </w:rPr>
        <w:footnoteRef/>
      </w:r>
      <w:r>
        <w:rPr>
          <w:sz w:val="16"/>
          <w:szCs w:val="16"/>
        </w:rPr>
        <w:t xml:space="preserve"> PDHS, 2012-13, p.117.</w:t>
      </w:r>
    </w:p>
  </w:footnote>
  <w:footnote w:id="10">
    <w:p w:rsidR="00705416" w:rsidRDefault="00705416">
      <w:r>
        <w:rPr>
          <w:vertAlign w:val="superscript"/>
        </w:rPr>
        <w:footnoteRef/>
      </w:r>
      <w:r>
        <w:rPr>
          <w:sz w:val="16"/>
          <w:szCs w:val="16"/>
        </w:rPr>
        <w:t xml:space="preserve"> PDHS, 2012-13, pp 117-128.</w:t>
      </w:r>
    </w:p>
  </w:footnote>
  <w:footnote w:id="11">
    <w:p w:rsidR="00705416" w:rsidRDefault="00705416">
      <w:r>
        <w:rPr>
          <w:vertAlign w:val="superscript"/>
        </w:rPr>
        <w:footnoteRef/>
      </w:r>
      <w:r>
        <w:rPr>
          <w:sz w:val="16"/>
          <w:szCs w:val="16"/>
        </w:rPr>
        <w:t xml:space="preserve"> PDHS, 2012-13, p 123.</w:t>
      </w:r>
    </w:p>
  </w:footnote>
  <w:footnote w:id="12">
    <w:p w:rsidR="00705416" w:rsidRDefault="00705416">
      <w:r>
        <w:rPr>
          <w:vertAlign w:val="superscript"/>
        </w:rPr>
        <w:footnoteRef/>
      </w:r>
      <w:r>
        <w:rPr>
          <w:sz w:val="16"/>
          <w:szCs w:val="16"/>
        </w:rPr>
        <w:t xml:space="preserve"> Memon Z, Khan G, Soofi S, Baig I, Bhutta Z. Impact of a community-based perinatal and newborn preventive care package on perinatal and neonatal mortality in a remote mountainous district in Northern Pakistan. BMC Pregnancy and Childbirth BioMed Central 2015; 15:106.</w:t>
      </w:r>
    </w:p>
  </w:footnote>
  <w:footnote w:id="13">
    <w:p w:rsidR="00705416" w:rsidRDefault="00705416">
      <w:r>
        <w:rPr>
          <w:vertAlign w:val="superscript"/>
        </w:rPr>
        <w:footnoteRef/>
      </w:r>
      <w:r>
        <w:rPr>
          <w:sz w:val="16"/>
          <w:szCs w:val="16"/>
        </w:rPr>
        <w:t xml:space="preserve"> PMNCH Knowledge Summary #30 Water, sanitation and hygiene - the impact on RMNCH. 2014. WHO/PMNCH. http://www.who.int/pmnch/knowledge/publications/summaries/ks30/en/</w:t>
      </w:r>
    </w:p>
  </w:footnote>
  <w:footnote w:id="14">
    <w:p w:rsidR="00705416" w:rsidRDefault="00705416">
      <w:r>
        <w:rPr>
          <w:vertAlign w:val="superscript"/>
        </w:rPr>
        <w:footnoteRef/>
      </w:r>
      <w:r>
        <w:rPr>
          <w:sz w:val="16"/>
          <w:szCs w:val="16"/>
        </w:rPr>
        <w:t xml:space="preserve"> The Association of Parasitic Infections in Pregnancy and Maternal and Fetal Anemia: A Cohort Study in Coastal Kenya. 2014. E. McClure et al. 2014. </w:t>
      </w:r>
      <w:hyperlink r:id="rId1">
        <w:r>
          <w:rPr>
            <w:color w:val="0563C1"/>
            <w:sz w:val="16"/>
            <w:szCs w:val="16"/>
            <w:u w:val="single"/>
          </w:rPr>
          <w:t>PLoS Negl Trop Dis</w:t>
        </w:r>
      </w:hyperlink>
      <w:r>
        <w:rPr>
          <w:sz w:val="16"/>
          <w:szCs w:val="16"/>
        </w:rPr>
        <w:t>. 2014 Feb; 8(2): e2724.</w:t>
      </w:r>
    </w:p>
    <w:p w:rsidR="00705416" w:rsidRDefault="00705416">
      <w:r>
        <w:rPr>
          <w:sz w:val="16"/>
          <w:szCs w:val="16"/>
        </w:rPr>
        <w:t>Published online 2014 Feb 27. doi:  </w:t>
      </w:r>
      <w:hyperlink r:id="rId2">
        <w:r>
          <w:rPr>
            <w:color w:val="0563C1"/>
            <w:sz w:val="16"/>
            <w:szCs w:val="16"/>
            <w:u w:val="single"/>
          </w:rPr>
          <w:t>10.1371/journal.pntd.0002724</w:t>
        </w:r>
      </w:hyperlink>
      <w:hyperlink r:id="rId3"/>
    </w:p>
  </w:footnote>
  <w:footnote w:id="15">
    <w:p w:rsidR="00705416" w:rsidRDefault="00705416">
      <w:r>
        <w:rPr>
          <w:vertAlign w:val="superscript"/>
        </w:rPr>
        <w:footnoteRef/>
      </w:r>
      <w:r>
        <w:rPr>
          <w:sz w:val="16"/>
          <w:szCs w:val="16"/>
        </w:rPr>
        <w:t xml:space="preserve"> Systematic review and meta-analysis: association between water and sanitation environment and maternal mortality. 2014. L. Benova, O. Cumming, O. Campbell, </w:t>
      </w:r>
      <w:r>
        <w:rPr>
          <w:sz w:val="16"/>
          <w:szCs w:val="16"/>
          <w:highlight w:val="white"/>
        </w:rPr>
        <w:t xml:space="preserve">Volume 19, Issue 4 April 2014 Pages 368–387 </w:t>
      </w:r>
      <w:r>
        <w:rPr>
          <w:sz w:val="16"/>
          <w:szCs w:val="16"/>
        </w:rPr>
        <w:t>DOI: 10.1111/tmi.12275</w:t>
      </w:r>
    </w:p>
  </w:footnote>
  <w:footnote w:id="16">
    <w:p w:rsidR="00705416" w:rsidRDefault="00705416">
      <w:r>
        <w:rPr>
          <w:vertAlign w:val="superscript"/>
        </w:rPr>
        <w:footnoteRef/>
      </w:r>
      <w:r>
        <w:rPr>
          <w:sz w:val="16"/>
          <w:szCs w:val="16"/>
        </w:rPr>
        <w:t xml:space="preserve">  During the critical neonatal stage of birth to 28 days, mortality is more related to maternal nutrition and conditions of childbirth than to water, sanitation and hygiene.</w:t>
      </w:r>
    </w:p>
  </w:footnote>
  <w:footnote w:id="17">
    <w:p w:rsidR="00705416" w:rsidRDefault="00705416">
      <w:r>
        <w:rPr>
          <w:vertAlign w:val="superscript"/>
        </w:rPr>
        <w:footnoteRef/>
      </w:r>
      <w:r>
        <w:rPr>
          <w:sz w:val="16"/>
          <w:szCs w:val="16"/>
        </w:rPr>
        <w:t xml:space="preserve"> Global, regional, and national causes of child mortality in 2000–13, with projections to inform post-2015 priorities: an updated systematic analysis. 2014. The Lancet. </w:t>
      </w:r>
    </w:p>
  </w:footnote>
  <w:footnote w:id="18">
    <w:p w:rsidR="00705416" w:rsidRDefault="00705416">
      <w:r>
        <w:rPr>
          <w:vertAlign w:val="superscript"/>
        </w:rPr>
        <w:footnoteRef/>
      </w:r>
      <w:r>
        <w:rPr>
          <w:sz w:val="16"/>
          <w:szCs w:val="16"/>
        </w:rPr>
        <w:t xml:space="preserve"> Nanan D, White F, Azam I, Afsar H, Hozbari S.  Evaluation of a water, sanitation, and hygiene education intervention in Northern Pakistan. Bulletin of the World Health Organization 2003; Vol 81, Num 3.</w:t>
      </w:r>
    </w:p>
  </w:footnote>
  <w:footnote w:id="19">
    <w:p w:rsidR="00705416" w:rsidRDefault="00705416">
      <w:r>
        <w:rPr>
          <w:vertAlign w:val="superscript"/>
        </w:rPr>
        <w:footnoteRef/>
      </w:r>
      <w:r>
        <w:rPr>
          <w:sz w:val="16"/>
          <w:szCs w:val="16"/>
        </w:rPr>
        <w:t xml:space="preserve"> “Repositioning nutrition as central to development,” World Bank, 2006, and “Economic cost of malnutrition” Institute of Public Policy, Beaconhouse National University, Lahore, March, 2012.</w:t>
      </w:r>
    </w:p>
  </w:footnote>
  <w:footnote w:id="20">
    <w:p w:rsidR="00705416" w:rsidRDefault="00705416">
      <w:r>
        <w:rPr>
          <w:vertAlign w:val="superscript"/>
        </w:rPr>
        <w:footnoteRef/>
      </w:r>
      <w:r>
        <w:rPr>
          <w:sz w:val="16"/>
          <w:szCs w:val="16"/>
        </w:rPr>
        <w:t xml:space="preserve"> PDHS, p. 173</w:t>
      </w:r>
    </w:p>
  </w:footnote>
  <w:footnote w:id="21">
    <w:p w:rsidR="00705416" w:rsidRDefault="00705416">
      <w:r>
        <w:rPr>
          <w:vertAlign w:val="superscript"/>
        </w:rPr>
        <w:footnoteRef/>
      </w:r>
      <w:r>
        <w:rPr>
          <w:sz w:val="16"/>
          <w:szCs w:val="16"/>
        </w:rPr>
        <w:t xml:space="preserve"> PDHS, 2012-13, p. 126.</w:t>
      </w:r>
    </w:p>
  </w:footnote>
  <w:footnote w:id="22">
    <w:p w:rsidR="00705416" w:rsidRDefault="00705416">
      <w:r>
        <w:rPr>
          <w:vertAlign w:val="superscript"/>
        </w:rPr>
        <w:footnoteRef/>
      </w:r>
      <w:r>
        <w:rPr>
          <w:sz w:val="16"/>
          <w:szCs w:val="16"/>
        </w:rPr>
        <w:t xml:space="preserve"> Stover J, Ross J. How increased contraceptive use has reduced maternal mortality. J Matern Child Health 2010; 14: 687.</w:t>
      </w:r>
    </w:p>
  </w:footnote>
  <w:footnote w:id="23">
    <w:p w:rsidR="00705416" w:rsidRDefault="00705416">
      <w:r>
        <w:rPr>
          <w:vertAlign w:val="superscript"/>
        </w:rPr>
        <w:footnoteRef/>
      </w:r>
      <w:r>
        <w:rPr>
          <w:sz w:val="16"/>
          <w:szCs w:val="16"/>
        </w:rPr>
        <w:t xml:space="preserve"> PDHS, 2012-13 p. 126.</w:t>
      </w:r>
    </w:p>
  </w:footnote>
  <w:footnote w:id="24">
    <w:p w:rsidR="00705416" w:rsidRDefault="00705416">
      <w:r>
        <w:rPr>
          <w:vertAlign w:val="superscript"/>
        </w:rPr>
        <w:footnoteRef/>
      </w:r>
      <w:r>
        <w:rPr>
          <w:sz w:val="16"/>
          <w:szCs w:val="16"/>
        </w:rPr>
        <w:t xml:space="preserve"> PDHS, 2012-13 p. 69.</w:t>
      </w:r>
    </w:p>
  </w:footnote>
  <w:footnote w:id="25">
    <w:p w:rsidR="00705416" w:rsidRDefault="00705416">
      <w:r>
        <w:rPr>
          <w:vertAlign w:val="superscript"/>
        </w:rPr>
        <w:footnoteRef/>
      </w:r>
      <w:r>
        <w:rPr>
          <w:sz w:val="16"/>
          <w:szCs w:val="16"/>
        </w:rPr>
        <w:t xml:space="preserve"> Population Council. 2014.  Post Abortion Care in Pakistan: A National Study.</w:t>
      </w:r>
    </w:p>
  </w:footnote>
  <w:footnote w:id="26">
    <w:p w:rsidR="00705416" w:rsidRDefault="00705416">
      <w:r>
        <w:rPr>
          <w:vertAlign w:val="superscript"/>
        </w:rPr>
        <w:footnoteRef/>
      </w:r>
      <w:r>
        <w:rPr>
          <w:sz w:val="16"/>
          <w:szCs w:val="16"/>
        </w:rPr>
        <w:t xml:space="preserve"> USAID supports post abortion care. Post abortion care is defined as: treatment of emergency bleeding during pregnancy; counseling on and provision of family planning services; and referral for other reproductive health services, if needed. </w:t>
      </w:r>
    </w:p>
  </w:footnote>
  <w:footnote w:id="27">
    <w:p w:rsidR="00705416" w:rsidRDefault="00705416">
      <w:r>
        <w:rPr>
          <w:vertAlign w:val="superscript"/>
        </w:rPr>
        <w:footnoteRef/>
      </w:r>
      <w:r>
        <w:rPr>
          <w:sz w:val="16"/>
          <w:szCs w:val="16"/>
        </w:rPr>
        <w:t xml:space="preserve"> Tappis H, Kazi A, Hameed W, Dahar Z, Ali A, Agha S. The role of quality health services and discussion about birth spacing in postpartum contraceptive use in Sindh, Pakistan: a multilevel analysis. PLOS ONE 2015; 10(10).</w:t>
      </w:r>
    </w:p>
  </w:footnote>
  <w:footnote w:id="28">
    <w:p w:rsidR="00705416" w:rsidRDefault="00705416">
      <w:r>
        <w:rPr>
          <w:vertAlign w:val="superscript"/>
        </w:rPr>
        <w:footnoteRef/>
      </w:r>
      <w:r w:rsidRPr="00E34C39">
        <w:rPr>
          <w:sz w:val="16"/>
          <w:szCs w:val="16"/>
        </w:rPr>
        <w:t xml:space="preserve"> Applicant should use the Benazir Income Support Program as a reference </w:t>
      </w:r>
      <w:r w:rsidR="00681632" w:rsidRPr="00E34C39">
        <w:rPr>
          <w:sz w:val="16"/>
          <w:szCs w:val="16"/>
        </w:rPr>
        <w:t>point</w:t>
      </w:r>
      <w:r w:rsidRPr="00E34C39">
        <w:rPr>
          <w:sz w:val="16"/>
          <w:szCs w:val="16"/>
        </w:rPr>
        <w:t xml:space="preserve"> for determining income quintiles.</w:t>
      </w:r>
    </w:p>
  </w:footnote>
  <w:footnote w:id="29">
    <w:p w:rsidR="00705416" w:rsidRDefault="00705416">
      <w:r>
        <w:rPr>
          <w:vertAlign w:val="superscript"/>
        </w:rPr>
        <w:footnoteRef/>
      </w:r>
      <w:r>
        <w:rPr>
          <w:sz w:val="16"/>
          <w:szCs w:val="16"/>
        </w:rPr>
        <w:t xml:space="preserve"> PDHS, 2012-2013.</w:t>
      </w:r>
    </w:p>
  </w:footnote>
  <w:footnote w:id="30">
    <w:p w:rsidR="00705416" w:rsidRDefault="00705416">
      <w:r>
        <w:rPr>
          <w:vertAlign w:val="superscript"/>
        </w:rPr>
        <w:footnoteRef/>
      </w:r>
      <w:r>
        <w:rPr>
          <w:sz w:val="16"/>
          <w:szCs w:val="16"/>
        </w:rPr>
        <w:t xml:space="preserve"> PDHS, pp 213-217.</w:t>
      </w:r>
    </w:p>
  </w:footnote>
  <w:footnote w:id="31">
    <w:p w:rsidR="00705416" w:rsidRDefault="00705416">
      <w:r>
        <w:rPr>
          <w:vertAlign w:val="superscript"/>
        </w:rPr>
        <w:footnoteRef/>
      </w:r>
      <w:r w:rsidRPr="00E34C39">
        <w:rPr>
          <w:sz w:val="16"/>
          <w:szCs w:val="16"/>
        </w:rPr>
        <w:t xml:space="preserve"> For the purposes of this PD, USAID references the WHO’s Health Systems Framework for all health systems strengthening concepts discussed in the document</w:t>
      </w:r>
    </w:p>
  </w:footnote>
  <w:footnote w:id="32">
    <w:p w:rsidR="00705416" w:rsidRDefault="00705416">
      <w:r>
        <w:rPr>
          <w:vertAlign w:val="superscript"/>
        </w:rPr>
        <w:footnoteRef/>
      </w:r>
      <w:r>
        <w:rPr>
          <w:sz w:val="16"/>
          <w:szCs w:val="16"/>
        </w:rPr>
        <w:t xml:space="preserve"> Starrs A M. Safe motherhood initiative: 20 years and counting, The Lancet, 2006;  Rosenfield A, Maine D. Maternal mortality – a neglected tragedy: where is the M in MCH? The Lancet, 1985.</w:t>
      </w:r>
    </w:p>
  </w:footnote>
  <w:footnote w:id="33">
    <w:p w:rsidR="00705416" w:rsidRDefault="00705416">
      <w:r>
        <w:rPr>
          <w:vertAlign w:val="superscript"/>
        </w:rPr>
        <w:footnoteRef/>
      </w:r>
      <w:r>
        <w:rPr>
          <w:sz w:val="16"/>
          <w:szCs w:val="16"/>
        </w:rPr>
        <w:t xml:space="preserve"> </w:t>
      </w:r>
      <w:hyperlink r:id="rId4">
        <w:r>
          <w:rPr>
            <w:sz w:val="16"/>
            <w:szCs w:val="16"/>
            <w:u w:val="single"/>
          </w:rPr>
          <w:t>http://www.lmgforhealth.org/expertise/governing</w:t>
        </w:r>
      </w:hyperlink>
      <w:hyperlink r:id="rId5"/>
    </w:p>
  </w:footnote>
  <w:footnote w:id="34">
    <w:p w:rsidR="00705416" w:rsidRDefault="00705416">
      <w:r>
        <w:rPr>
          <w:vertAlign w:val="superscript"/>
        </w:rPr>
        <w:footnoteRef/>
      </w:r>
      <w:r w:rsidRPr="00E34C39">
        <w:rPr>
          <w:sz w:val="16"/>
          <w:szCs w:val="16"/>
        </w:rPr>
        <w:t xml:space="preserve"> For the purposes of this PD, leadership is defined as the ability of a health management staff to provide direction to, and gain commitment from partners and staff, facilitate change, and achieve better health services through efficient, creative and responsible deployment of people and resources.</w:t>
      </w:r>
    </w:p>
    <w:p w:rsidR="00705416" w:rsidRDefault="00705416"/>
  </w:footnote>
  <w:footnote w:id="35">
    <w:p w:rsidR="00705416" w:rsidRDefault="00705416">
      <w:r>
        <w:rPr>
          <w:vertAlign w:val="superscript"/>
        </w:rPr>
        <w:footnoteRef/>
      </w:r>
      <w:r w:rsidRPr="00E34C39">
        <w:rPr>
          <w:sz w:val="16"/>
          <w:szCs w:val="16"/>
        </w:rPr>
        <w:t xml:space="preserve"> For the purposes of this PD, the Applicant is encouraged to assess the current state of health information systems and include approaches that strengthen those systems at the federal and provincial level.</w:t>
      </w:r>
    </w:p>
  </w:footnote>
  <w:footnote w:id="36">
    <w:p w:rsidR="00705416" w:rsidRDefault="00705416">
      <w:r>
        <w:rPr>
          <w:vertAlign w:val="superscript"/>
        </w:rPr>
        <w:footnoteRef/>
      </w:r>
      <w:r w:rsidRPr="00E34C39">
        <w:rPr>
          <w:sz w:val="16"/>
          <w:szCs w:val="16"/>
        </w:rPr>
        <w:t xml:space="preserve"> Gender synchronized approaches involve men and boys to promote women’s empowerment in an attempt to reach gender equality.</w:t>
      </w:r>
    </w:p>
  </w:footnote>
  <w:footnote w:id="37">
    <w:p w:rsidR="00705416" w:rsidRDefault="00705416">
      <w:r>
        <w:rPr>
          <w:vertAlign w:val="superscript"/>
        </w:rPr>
        <w:footnoteRef/>
      </w:r>
      <w:r w:rsidRPr="00E34C39">
        <w:rPr>
          <w:sz w:val="16"/>
          <w:szCs w:val="16"/>
        </w:rPr>
        <w:t xml:space="preserve">Health Financing is a broad area and Applicants are encouraged to propose approaches that take into consideration the overall resource envelope for the IHSS/SD activity. Under this IR, USAID support will be purely technical in nature, ensuring federal and provincial governments have access to financing experts to support the development of strategies and implementation modalities and facilitate national level discourse on financing schemes. The IHSS/SD activity will not implement any financing interventions or support any existing financing schemes. </w:t>
      </w:r>
    </w:p>
  </w:footnote>
  <w:footnote w:id="38">
    <w:p w:rsidR="00705416" w:rsidRDefault="00705416">
      <w:r>
        <w:rPr>
          <w:vertAlign w:val="superscript"/>
        </w:rPr>
        <w:footnoteRef/>
      </w:r>
      <w:r>
        <w:rPr>
          <w:sz w:val="16"/>
          <w:szCs w:val="16"/>
        </w:rPr>
        <w:t xml:space="preserve"> Bhutta Z et al. Impact of perinatal and newborn care in rural Pakistan through community-based strategies: a cluster, randomized effectiveness trial. The Lancet, 2011; Midhet F et al. Impact of community-based interventions on maternal and neonatal health indicators; results from a community randomized trial in rural Balouchistan, Pakistan. Reproductive Health, BioMed Central 2010; 7:30;  Yousafzai A et al. Effect of integrated responsive stimulation and nutrition interventions in the Lady Health Worker programme in Pakistan on child development, growth, and health outcomes: a cluster randomized factorial effectiveness trial. The Lancet 2014; Vol 384(9950): 1282-1293.</w:t>
      </w:r>
    </w:p>
  </w:footnote>
  <w:footnote w:id="39">
    <w:p w:rsidR="00705416" w:rsidRDefault="00705416">
      <w:r>
        <w:rPr>
          <w:vertAlign w:val="superscript"/>
        </w:rPr>
        <w:footnoteRef/>
      </w:r>
      <w:r>
        <w:rPr>
          <w:sz w:val="16"/>
          <w:szCs w:val="16"/>
        </w:rPr>
        <w:t xml:space="preserve"> Zafar S, Sikander S, Ahmad I, Ahmad M, Parveen N, Saleem S, Nawaz T et al.  Is home delivery really preferred? a mixed methods national study in Pakistan. Health Research Policy and Systems 2015; 13 (Suppl 1):S52.</w:t>
      </w:r>
    </w:p>
  </w:footnote>
  <w:footnote w:id="40">
    <w:p w:rsidR="00705416" w:rsidRDefault="00705416">
      <w:r>
        <w:rPr>
          <w:vertAlign w:val="superscript"/>
        </w:rPr>
        <w:footnoteRef/>
      </w:r>
      <w:r>
        <w:rPr>
          <w:sz w:val="16"/>
          <w:szCs w:val="16"/>
        </w:rPr>
        <w:t xml:space="preserve"> The private sector will have to be a critical component of the proposed approach because it’s growing and unregulated.</w:t>
      </w:r>
    </w:p>
  </w:footnote>
  <w:footnote w:id="41">
    <w:p w:rsidR="00705416" w:rsidRDefault="00705416">
      <w:r>
        <w:rPr>
          <w:vertAlign w:val="superscript"/>
        </w:rPr>
        <w:footnoteRef/>
      </w:r>
      <w:r>
        <w:rPr>
          <w:sz w:val="16"/>
          <w:szCs w:val="16"/>
        </w:rPr>
        <w:t xml:space="preserve"> Mumtaz Z et al. Improving maternal health in Pakistan: toward a deeper understanding of social determinants of poor women’s access to maternal health services. American Journal of Public Health 2014; Vol 104, Issue S1.</w:t>
      </w:r>
    </w:p>
  </w:footnote>
  <w:footnote w:id="42">
    <w:p w:rsidR="00705416" w:rsidRDefault="00705416">
      <w:r>
        <w:rPr>
          <w:vertAlign w:val="superscript"/>
        </w:rPr>
        <w:footnoteRef/>
      </w:r>
      <w:r>
        <w:rPr>
          <w:sz w:val="16"/>
          <w:szCs w:val="16"/>
        </w:rPr>
        <w:t xml:space="preserve"> Aziz A et al.  Who is excluded and how? An analysis of community spaces for maternal and child health in Pakistan. Health Research Policy and Systems 2015; 13(Supp1): S56.</w:t>
      </w:r>
    </w:p>
  </w:footnote>
  <w:footnote w:id="43">
    <w:p w:rsidR="00705416" w:rsidRDefault="00705416">
      <w:r>
        <w:rPr>
          <w:vertAlign w:val="superscript"/>
        </w:rPr>
        <w:footnoteRef/>
      </w:r>
      <w:r>
        <w:rPr>
          <w:sz w:val="16"/>
          <w:szCs w:val="16"/>
        </w:rPr>
        <w:t xml:space="preserve"> Beyeler N et al. The impact of clinical social franchising on health services in low- and middle-income countries: a systematic review. PLoS ONE 2013; 8(4).</w:t>
      </w:r>
    </w:p>
  </w:footnote>
  <w:footnote w:id="44">
    <w:p w:rsidR="00705416" w:rsidRDefault="00705416">
      <w:r>
        <w:rPr>
          <w:vertAlign w:val="superscript"/>
        </w:rPr>
        <w:footnoteRef/>
      </w:r>
      <w:r>
        <w:rPr>
          <w:sz w:val="16"/>
          <w:szCs w:val="16"/>
        </w:rPr>
        <w:t xml:space="preserve"> Zaidi S, Riaz A, Rabbani F, Azam S, Imran S, Pradhan N, Khan G. Can contracted out health facilities improve access, equity, and quality of maternal and newborn health services? Evidence</w:t>
      </w:r>
      <w:r w:rsidR="00EE2E47">
        <w:rPr>
          <w:sz w:val="16"/>
          <w:szCs w:val="16"/>
        </w:rPr>
        <w:t xml:space="preserve"> </w:t>
      </w:r>
      <w:r>
        <w:rPr>
          <w:sz w:val="16"/>
          <w:szCs w:val="16"/>
        </w:rPr>
        <w:t>from Pakistan. Health Research Policy and Systems 2015; 13(Suppl 1):S54.</w:t>
      </w:r>
    </w:p>
  </w:footnote>
  <w:footnote w:id="45">
    <w:p w:rsidR="00705416" w:rsidRDefault="00705416">
      <w:r>
        <w:rPr>
          <w:vertAlign w:val="superscript"/>
        </w:rPr>
        <w:footnoteRef/>
      </w:r>
      <w:r>
        <w:rPr>
          <w:sz w:val="16"/>
          <w:szCs w:val="16"/>
        </w:rPr>
        <w:t xml:space="preserve"> National Health Vision, Pakistan, 2016-2025, p.10.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416" w:rsidRDefault="00705416">
    <w:pPr>
      <w:tabs>
        <w:tab w:val="center" w:pos="4680"/>
        <w:tab w:val="right" w:pos="9360"/>
      </w:tabs>
      <w:spacing w:before="720"/>
      <w:jc w:val="right"/>
    </w:pPr>
    <w:r>
      <w:fldChar w:fldCharType="begin"/>
    </w:r>
    <w:r>
      <w:instrText>PAGE</w:instrText>
    </w:r>
    <w:r>
      <w:fldChar w:fldCharType="separate"/>
    </w:r>
    <w:r w:rsidR="002E32AB">
      <w:rPr>
        <w:noProof/>
      </w:rPr>
      <w:t>6</w:t>
    </w:r>
    <w:r>
      <w:fldChar w:fldCharType="end"/>
    </w:r>
  </w:p>
  <w:p w:rsidR="00705416" w:rsidRDefault="00705416">
    <w:pPr>
      <w:tabs>
        <w:tab w:val="center" w:pos="4680"/>
        <w:tab w:val="right" w:pos="9360"/>
      </w:tabs>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5547B"/>
    <w:multiLevelType w:val="multilevel"/>
    <w:tmpl w:val="7B1AFF9E"/>
    <w:lvl w:ilvl="0">
      <w:start w:val="1"/>
      <w:numFmt w:val="bullet"/>
      <w:lvlText w:val="●"/>
      <w:lvlJc w:val="left"/>
      <w:pPr>
        <w:ind w:left="720" w:firstLine="1080"/>
      </w:pPr>
      <w:rPr>
        <w:rFonts w:ascii="Arial" w:eastAsia="Arial" w:hAnsi="Arial" w:cs="Arial"/>
      </w:rPr>
    </w:lvl>
    <w:lvl w:ilvl="1">
      <w:start w:val="1"/>
      <w:numFmt w:val="bullet"/>
      <w:lvlText w:val="o"/>
      <w:lvlJc w:val="left"/>
      <w:pPr>
        <w:ind w:left="1440" w:firstLine="2520"/>
      </w:pPr>
      <w:rPr>
        <w:rFonts w:ascii="Arial" w:eastAsia="Arial" w:hAnsi="Arial" w:cs="Arial"/>
      </w:rPr>
    </w:lvl>
    <w:lvl w:ilvl="2">
      <w:start w:val="1"/>
      <w:numFmt w:val="bullet"/>
      <w:lvlText w:val="▪"/>
      <w:lvlJc w:val="left"/>
      <w:pPr>
        <w:ind w:left="2160" w:firstLine="3960"/>
      </w:pPr>
      <w:rPr>
        <w:rFonts w:ascii="Arial" w:eastAsia="Arial" w:hAnsi="Arial" w:cs="Arial"/>
      </w:rPr>
    </w:lvl>
    <w:lvl w:ilvl="3">
      <w:start w:val="1"/>
      <w:numFmt w:val="bullet"/>
      <w:lvlText w:val="●"/>
      <w:lvlJc w:val="left"/>
      <w:pPr>
        <w:ind w:left="2880" w:firstLine="5400"/>
      </w:pPr>
      <w:rPr>
        <w:rFonts w:ascii="Arial" w:eastAsia="Arial" w:hAnsi="Arial" w:cs="Arial"/>
      </w:rPr>
    </w:lvl>
    <w:lvl w:ilvl="4">
      <w:start w:val="1"/>
      <w:numFmt w:val="bullet"/>
      <w:lvlText w:val="o"/>
      <w:lvlJc w:val="left"/>
      <w:pPr>
        <w:ind w:left="3600" w:firstLine="6840"/>
      </w:pPr>
      <w:rPr>
        <w:rFonts w:ascii="Arial" w:eastAsia="Arial" w:hAnsi="Arial" w:cs="Arial"/>
      </w:rPr>
    </w:lvl>
    <w:lvl w:ilvl="5">
      <w:start w:val="1"/>
      <w:numFmt w:val="bullet"/>
      <w:lvlText w:val="▪"/>
      <w:lvlJc w:val="left"/>
      <w:pPr>
        <w:ind w:left="4320" w:firstLine="8280"/>
      </w:pPr>
      <w:rPr>
        <w:rFonts w:ascii="Arial" w:eastAsia="Arial" w:hAnsi="Arial" w:cs="Arial"/>
      </w:rPr>
    </w:lvl>
    <w:lvl w:ilvl="6">
      <w:start w:val="1"/>
      <w:numFmt w:val="bullet"/>
      <w:lvlText w:val="●"/>
      <w:lvlJc w:val="left"/>
      <w:pPr>
        <w:ind w:left="5040" w:firstLine="9720"/>
      </w:pPr>
      <w:rPr>
        <w:rFonts w:ascii="Arial" w:eastAsia="Arial" w:hAnsi="Arial" w:cs="Arial"/>
      </w:rPr>
    </w:lvl>
    <w:lvl w:ilvl="7">
      <w:start w:val="1"/>
      <w:numFmt w:val="bullet"/>
      <w:lvlText w:val="o"/>
      <w:lvlJc w:val="left"/>
      <w:pPr>
        <w:ind w:left="5760" w:firstLine="11160"/>
      </w:pPr>
      <w:rPr>
        <w:rFonts w:ascii="Arial" w:eastAsia="Arial" w:hAnsi="Arial" w:cs="Arial"/>
      </w:rPr>
    </w:lvl>
    <w:lvl w:ilvl="8">
      <w:start w:val="1"/>
      <w:numFmt w:val="bullet"/>
      <w:lvlText w:val="▪"/>
      <w:lvlJc w:val="left"/>
      <w:pPr>
        <w:ind w:left="6480" w:firstLine="12600"/>
      </w:pPr>
      <w:rPr>
        <w:rFonts w:ascii="Arial" w:eastAsia="Arial" w:hAnsi="Arial" w:cs="Arial"/>
      </w:rPr>
    </w:lvl>
  </w:abstractNum>
  <w:abstractNum w:abstractNumId="1">
    <w:nsid w:val="06C56BEA"/>
    <w:multiLevelType w:val="multilevel"/>
    <w:tmpl w:val="86944148"/>
    <w:lvl w:ilvl="0">
      <w:start w:val="1"/>
      <w:numFmt w:val="bullet"/>
      <w:lvlText w:val="●"/>
      <w:lvlJc w:val="left"/>
      <w:pPr>
        <w:ind w:left="533" w:firstLine="801"/>
      </w:pPr>
      <w:rPr>
        <w:rFonts w:ascii="Arial" w:eastAsia="Arial" w:hAnsi="Arial" w:cs="Arial"/>
      </w:rPr>
    </w:lvl>
    <w:lvl w:ilvl="1">
      <w:start w:val="1"/>
      <w:numFmt w:val="bullet"/>
      <w:lvlText w:val="o"/>
      <w:lvlJc w:val="left"/>
      <w:pPr>
        <w:ind w:left="1530" w:firstLine="2700"/>
      </w:pPr>
      <w:rPr>
        <w:rFonts w:ascii="Arial" w:eastAsia="Arial" w:hAnsi="Arial" w:cs="Arial"/>
      </w:rPr>
    </w:lvl>
    <w:lvl w:ilvl="2">
      <w:start w:val="1"/>
      <w:numFmt w:val="bullet"/>
      <w:lvlText w:val="▪"/>
      <w:lvlJc w:val="left"/>
      <w:pPr>
        <w:ind w:left="2250" w:firstLine="4140"/>
      </w:pPr>
      <w:rPr>
        <w:rFonts w:ascii="Arial" w:eastAsia="Arial" w:hAnsi="Arial" w:cs="Arial"/>
      </w:rPr>
    </w:lvl>
    <w:lvl w:ilvl="3">
      <w:start w:val="1"/>
      <w:numFmt w:val="bullet"/>
      <w:lvlText w:val="●"/>
      <w:lvlJc w:val="left"/>
      <w:pPr>
        <w:ind w:left="2970" w:firstLine="5580"/>
      </w:pPr>
      <w:rPr>
        <w:rFonts w:ascii="Arial" w:eastAsia="Arial" w:hAnsi="Arial" w:cs="Arial"/>
      </w:rPr>
    </w:lvl>
    <w:lvl w:ilvl="4">
      <w:start w:val="1"/>
      <w:numFmt w:val="bullet"/>
      <w:lvlText w:val="o"/>
      <w:lvlJc w:val="left"/>
      <w:pPr>
        <w:ind w:left="3690" w:firstLine="7020"/>
      </w:pPr>
      <w:rPr>
        <w:rFonts w:ascii="Arial" w:eastAsia="Arial" w:hAnsi="Arial" w:cs="Arial"/>
      </w:rPr>
    </w:lvl>
    <w:lvl w:ilvl="5">
      <w:start w:val="1"/>
      <w:numFmt w:val="bullet"/>
      <w:lvlText w:val="▪"/>
      <w:lvlJc w:val="left"/>
      <w:pPr>
        <w:ind w:left="4410" w:firstLine="8460"/>
      </w:pPr>
      <w:rPr>
        <w:rFonts w:ascii="Arial" w:eastAsia="Arial" w:hAnsi="Arial" w:cs="Arial"/>
      </w:rPr>
    </w:lvl>
    <w:lvl w:ilvl="6">
      <w:start w:val="1"/>
      <w:numFmt w:val="bullet"/>
      <w:lvlText w:val="●"/>
      <w:lvlJc w:val="left"/>
      <w:pPr>
        <w:ind w:left="5130" w:firstLine="9900"/>
      </w:pPr>
      <w:rPr>
        <w:rFonts w:ascii="Arial" w:eastAsia="Arial" w:hAnsi="Arial" w:cs="Arial"/>
      </w:rPr>
    </w:lvl>
    <w:lvl w:ilvl="7">
      <w:start w:val="1"/>
      <w:numFmt w:val="bullet"/>
      <w:lvlText w:val="o"/>
      <w:lvlJc w:val="left"/>
      <w:pPr>
        <w:ind w:left="5850" w:firstLine="11340"/>
      </w:pPr>
      <w:rPr>
        <w:rFonts w:ascii="Arial" w:eastAsia="Arial" w:hAnsi="Arial" w:cs="Arial"/>
      </w:rPr>
    </w:lvl>
    <w:lvl w:ilvl="8">
      <w:start w:val="1"/>
      <w:numFmt w:val="bullet"/>
      <w:lvlText w:val="▪"/>
      <w:lvlJc w:val="left"/>
      <w:pPr>
        <w:ind w:left="6570" w:firstLine="12780"/>
      </w:pPr>
      <w:rPr>
        <w:rFonts w:ascii="Arial" w:eastAsia="Arial" w:hAnsi="Arial" w:cs="Arial"/>
      </w:rPr>
    </w:lvl>
  </w:abstractNum>
  <w:abstractNum w:abstractNumId="2">
    <w:nsid w:val="0A882B0F"/>
    <w:multiLevelType w:val="multilevel"/>
    <w:tmpl w:val="0EB48CB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
    <w:nsid w:val="123532E8"/>
    <w:multiLevelType w:val="multilevel"/>
    <w:tmpl w:val="7710063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
    <w:nsid w:val="1267279F"/>
    <w:multiLevelType w:val="multilevel"/>
    <w:tmpl w:val="7AEC2F04"/>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5">
    <w:nsid w:val="16502B2C"/>
    <w:multiLevelType w:val="multilevel"/>
    <w:tmpl w:val="D1008D74"/>
    <w:lvl w:ilvl="0">
      <w:start w:val="1"/>
      <w:numFmt w:val="decimal"/>
      <w:lvlText w:val="%1."/>
      <w:lvlJc w:val="left"/>
      <w:pPr>
        <w:ind w:left="900" w:firstLine="1440"/>
      </w:pPr>
    </w:lvl>
    <w:lvl w:ilvl="1">
      <w:start w:val="1"/>
      <w:numFmt w:val="lowerLetter"/>
      <w:lvlText w:val="%2."/>
      <w:lvlJc w:val="left"/>
      <w:pPr>
        <w:ind w:left="4320" w:firstLine="8280"/>
      </w:pPr>
    </w:lvl>
    <w:lvl w:ilvl="2">
      <w:start w:val="1"/>
      <w:numFmt w:val="lowerRoman"/>
      <w:lvlText w:val="%3."/>
      <w:lvlJc w:val="right"/>
      <w:pPr>
        <w:ind w:left="4770" w:firstLine="9360"/>
      </w:pPr>
    </w:lvl>
    <w:lvl w:ilvl="3">
      <w:start w:val="1"/>
      <w:numFmt w:val="decimal"/>
      <w:lvlText w:val="%4."/>
      <w:lvlJc w:val="left"/>
      <w:pPr>
        <w:ind w:left="5760" w:firstLine="11160"/>
      </w:pPr>
    </w:lvl>
    <w:lvl w:ilvl="4">
      <w:start w:val="1"/>
      <w:numFmt w:val="lowerLetter"/>
      <w:lvlText w:val="%5."/>
      <w:lvlJc w:val="left"/>
      <w:pPr>
        <w:ind w:left="6480" w:firstLine="12600"/>
      </w:pPr>
    </w:lvl>
    <w:lvl w:ilvl="5">
      <w:start w:val="1"/>
      <w:numFmt w:val="lowerRoman"/>
      <w:lvlText w:val="%6."/>
      <w:lvlJc w:val="right"/>
      <w:pPr>
        <w:ind w:left="7200" w:firstLine="14220"/>
      </w:pPr>
    </w:lvl>
    <w:lvl w:ilvl="6">
      <w:start w:val="1"/>
      <w:numFmt w:val="decimal"/>
      <w:lvlText w:val="%7."/>
      <w:lvlJc w:val="left"/>
      <w:pPr>
        <w:ind w:left="7920" w:firstLine="15480"/>
      </w:pPr>
    </w:lvl>
    <w:lvl w:ilvl="7">
      <w:start w:val="1"/>
      <w:numFmt w:val="lowerLetter"/>
      <w:lvlText w:val="%8."/>
      <w:lvlJc w:val="left"/>
      <w:pPr>
        <w:ind w:left="8640" w:firstLine="16920"/>
      </w:pPr>
    </w:lvl>
    <w:lvl w:ilvl="8">
      <w:start w:val="1"/>
      <w:numFmt w:val="lowerRoman"/>
      <w:lvlText w:val="%9."/>
      <w:lvlJc w:val="right"/>
      <w:pPr>
        <w:ind w:left="9360" w:firstLine="18540"/>
      </w:pPr>
    </w:lvl>
  </w:abstractNum>
  <w:abstractNum w:abstractNumId="6">
    <w:nsid w:val="28632266"/>
    <w:multiLevelType w:val="multilevel"/>
    <w:tmpl w:val="C5FCF4CE"/>
    <w:lvl w:ilvl="0">
      <w:start w:val="1"/>
      <w:numFmt w:val="bullet"/>
      <w:lvlText w:val="●"/>
      <w:lvlJc w:val="left"/>
      <w:pPr>
        <w:ind w:left="720" w:firstLine="1080"/>
      </w:pPr>
      <w:rPr>
        <w:rFonts w:ascii="Arial" w:eastAsia="Arial" w:hAnsi="Arial" w:cs="Arial"/>
      </w:rPr>
    </w:lvl>
    <w:lvl w:ilvl="1">
      <w:start w:val="1"/>
      <w:numFmt w:val="bullet"/>
      <w:lvlText w:val="o"/>
      <w:lvlJc w:val="left"/>
      <w:pPr>
        <w:ind w:left="1440" w:firstLine="2520"/>
      </w:pPr>
      <w:rPr>
        <w:rFonts w:ascii="Arial" w:eastAsia="Arial" w:hAnsi="Arial" w:cs="Arial"/>
      </w:rPr>
    </w:lvl>
    <w:lvl w:ilvl="2">
      <w:start w:val="1"/>
      <w:numFmt w:val="bullet"/>
      <w:lvlText w:val="▪"/>
      <w:lvlJc w:val="left"/>
      <w:pPr>
        <w:ind w:left="2160" w:firstLine="3960"/>
      </w:pPr>
      <w:rPr>
        <w:rFonts w:ascii="Arial" w:eastAsia="Arial" w:hAnsi="Arial" w:cs="Arial"/>
      </w:rPr>
    </w:lvl>
    <w:lvl w:ilvl="3">
      <w:start w:val="1"/>
      <w:numFmt w:val="bullet"/>
      <w:lvlText w:val="●"/>
      <w:lvlJc w:val="left"/>
      <w:pPr>
        <w:ind w:left="2880" w:firstLine="5400"/>
      </w:pPr>
      <w:rPr>
        <w:rFonts w:ascii="Arial" w:eastAsia="Arial" w:hAnsi="Arial" w:cs="Arial"/>
      </w:rPr>
    </w:lvl>
    <w:lvl w:ilvl="4">
      <w:start w:val="1"/>
      <w:numFmt w:val="bullet"/>
      <w:lvlText w:val="o"/>
      <w:lvlJc w:val="left"/>
      <w:pPr>
        <w:ind w:left="3600" w:firstLine="6840"/>
      </w:pPr>
      <w:rPr>
        <w:rFonts w:ascii="Arial" w:eastAsia="Arial" w:hAnsi="Arial" w:cs="Arial"/>
      </w:rPr>
    </w:lvl>
    <w:lvl w:ilvl="5">
      <w:start w:val="1"/>
      <w:numFmt w:val="bullet"/>
      <w:lvlText w:val="▪"/>
      <w:lvlJc w:val="left"/>
      <w:pPr>
        <w:ind w:left="4320" w:firstLine="8280"/>
      </w:pPr>
      <w:rPr>
        <w:rFonts w:ascii="Arial" w:eastAsia="Arial" w:hAnsi="Arial" w:cs="Arial"/>
      </w:rPr>
    </w:lvl>
    <w:lvl w:ilvl="6">
      <w:start w:val="1"/>
      <w:numFmt w:val="bullet"/>
      <w:lvlText w:val="●"/>
      <w:lvlJc w:val="left"/>
      <w:pPr>
        <w:ind w:left="5040" w:firstLine="9720"/>
      </w:pPr>
      <w:rPr>
        <w:rFonts w:ascii="Arial" w:eastAsia="Arial" w:hAnsi="Arial" w:cs="Arial"/>
      </w:rPr>
    </w:lvl>
    <w:lvl w:ilvl="7">
      <w:start w:val="1"/>
      <w:numFmt w:val="bullet"/>
      <w:lvlText w:val="o"/>
      <w:lvlJc w:val="left"/>
      <w:pPr>
        <w:ind w:left="5760" w:firstLine="11160"/>
      </w:pPr>
      <w:rPr>
        <w:rFonts w:ascii="Arial" w:eastAsia="Arial" w:hAnsi="Arial" w:cs="Arial"/>
      </w:rPr>
    </w:lvl>
    <w:lvl w:ilvl="8">
      <w:start w:val="1"/>
      <w:numFmt w:val="bullet"/>
      <w:lvlText w:val="▪"/>
      <w:lvlJc w:val="left"/>
      <w:pPr>
        <w:ind w:left="6480" w:firstLine="12600"/>
      </w:pPr>
      <w:rPr>
        <w:rFonts w:ascii="Arial" w:eastAsia="Arial" w:hAnsi="Arial" w:cs="Arial"/>
      </w:rPr>
    </w:lvl>
  </w:abstractNum>
  <w:abstractNum w:abstractNumId="7">
    <w:nsid w:val="2FDF4D23"/>
    <w:multiLevelType w:val="multilevel"/>
    <w:tmpl w:val="067061AA"/>
    <w:lvl w:ilvl="0">
      <w:start w:val="1"/>
      <w:numFmt w:val="bullet"/>
      <w:lvlText w:val="●"/>
      <w:lvlJc w:val="left"/>
      <w:pPr>
        <w:ind w:left="720" w:firstLine="1080"/>
      </w:pPr>
      <w:rPr>
        <w:rFonts w:ascii="Arial" w:eastAsia="Arial" w:hAnsi="Arial" w:cs="Arial"/>
      </w:rPr>
    </w:lvl>
    <w:lvl w:ilvl="1">
      <w:start w:val="1"/>
      <w:numFmt w:val="bullet"/>
      <w:lvlText w:val="o"/>
      <w:lvlJc w:val="left"/>
      <w:pPr>
        <w:ind w:left="1440" w:firstLine="2520"/>
      </w:pPr>
      <w:rPr>
        <w:rFonts w:ascii="Arial" w:eastAsia="Arial" w:hAnsi="Arial" w:cs="Arial"/>
      </w:rPr>
    </w:lvl>
    <w:lvl w:ilvl="2">
      <w:start w:val="1"/>
      <w:numFmt w:val="bullet"/>
      <w:lvlText w:val="▪"/>
      <w:lvlJc w:val="left"/>
      <w:pPr>
        <w:ind w:left="2160" w:firstLine="3960"/>
      </w:pPr>
      <w:rPr>
        <w:rFonts w:ascii="Arial" w:eastAsia="Arial" w:hAnsi="Arial" w:cs="Arial"/>
      </w:rPr>
    </w:lvl>
    <w:lvl w:ilvl="3">
      <w:start w:val="1"/>
      <w:numFmt w:val="bullet"/>
      <w:lvlText w:val="●"/>
      <w:lvlJc w:val="left"/>
      <w:pPr>
        <w:ind w:left="2880" w:firstLine="5400"/>
      </w:pPr>
      <w:rPr>
        <w:rFonts w:ascii="Arial" w:eastAsia="Arial" w:hAnsi="Arial" w:cs="Arial"/>
      </w:rPr>
    </w:lvl>
    <w:lvl w:ilvl="4">
      <w:start w:val="1"/>
      <w:numFmt w:val="bullet"/>
      <w:lvlText w:val="o"/>
      <w:lvlJc w:val="left"/>
      <w:pPr>
        <w:ind w:left="3600" w:firstLine="6840"/>
      </w:pPr>
      <w:rPr>
        <w:rFonts w:ascii="Arial" w:eastAsia="Arial" w:hAnsi="Arial" w:cs="Arial"/>
      </w:rPr>
    </w:lvl>
    <w:lvl w:ilvl="5">
      <w:start w:val="1"/>
      <w:numFmt w:val="bullet"/>
      <w:lvlText w:val="▪"/>
      <w:lvlJc w:val="left"/>
      <w:pPr>
        <w:ind w:left="4320" w:firstLine="8280"/>
      </w:pPr>
      <w:rPr>
        <w:rFonts w:ascii="Arial" w:eastAsia="Arial" w:hAnsi="Arial" w:cs="Arial"/>
      </w:rPr>
    </w:lvl>
    <w:lvl w:ilvl="6">
      <w:start w:val="1"/>
      <w:numFmt w:val="bullet"/>
      <w:lvlText w:val="●"/>
      <w:lvlJc w:val="left"/>
      <w:pPr>
        <w:ind w:left="5040" w:firstLine="9720"/>
      </w:pPr>
      <w:rPr>
        <w:rFonts w:ascii="Arial" w:eastAsia="Arial" w:hAnsi="Arial" w:cs="Arial"/>
      </w:rPr>
    </w:lvl>
    <w:lvl w:ilvl="7">
      <w:start w:val="1"/>
      <w:numFmt w:val="bullet"/>
      <w:lvlText w:val="o"/>
      <w:lvlJc w:val="left"/>
      <w:pPr>
        <w:ind w:left="5760" w:firstLine="11160"/>
      </w:pPr>
      <w:rPr>
        <w:rFonts w:ascii="Arial" w:eastAsia="Arial" w:hAnsi="Arial" w:cs="Arial"/>
      </w:rPr>
    </w:lvl>
    <w:lvl w:ilvl="8">
      <w:start w:val="1"/>
      <w:numFmt w:val="bullet"/>
      <w:lvlText w:val="▪"/>
      <w:lvlJc w:val="left"/>
      <w:pPr>
        <w:ind w:left="6480" w:firstLine="12600"/>
      </w:pPr>
      <w:rPr>
        <w:rFonts w:ascii="Arial" w:eastAsia="Arial" w:hAnsi="Arial" w:cs="Arial"/>
      </w:rPr>
    </w:lvl>
  </w:abstractNum>
  <w:abstractNum w:abstractNumId="8">
    <w:nsid w:val="4F5E0497"/>
    <w:multiLevelType w:val="multilevel"/>
    <w:tmpl w:val="7578E6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9">
    <w:nsid w:val="50213D84"/>
    <w:multiLevelType w:val="multilevel"/>
    <w:tmpl w:val="4582FEDE"/>
    <w:lvl w:ilvl="0">
      <w:start w:val="1"/>
      <w:numFmt w:val="bullet"/>
      <w:lvlText w:val="●"/>
      <w:lvlJc w:val="left"/>
      <w:pPr>
        <w:ind w:left="630" w:firstLine="900"/>
      </w:pPr>
      <w:rPr>
        <w:rFonts w:ascii="Arial" w:eastAsia="Arial" w:hAnsi="Arial" w:cs="Arial"/>
      </w:rPr>
    </w:lvl>
    <w:lvl w:ilvl="1">
      <w:start w:val="1"/>
      <w:numFmt w:val="bullet"/>
      <w:lvlText w:val="o"/>
      <w:lvlJc w:val="left"/>
      <w:pPr>
        <w:ind w:left="1350" w:firstLine="2340"/>
      </w:pPr>
      <w:rPr>
        <w:rFonts w:ascii="Arial" w:eastAsia="Arial" w:hAnsi="Arial" w:cs="Arial"/>
      </w:rPr>
    </w:lvl>
    <w:lvl w:ilvl="2">
      <w:start w:val="1"/>
      <w:numFmt w:val="bullet"/>
      <w:lvlText w:val="▪"/>
      <w:lvlJc w:val="left"/>
      <w:pPr>
        <w:ind w:left="2070" w:firstLine="3780"/>
      </w:pPr>
      <w:rPr>
        <w:rFonts w:ascii="Arial" w:eastAsia="Arial" w:hAnsi="Arial" w:cs="Arial"/>
      </w:rPr>
    </w:lvl>
    <w:lvl w:ilvl="3">
      <w:start w:val="1"/>
      <w:numFmt w:val="bullet"/>
      <w:lvlText w:val="●"/>
      <w:lvlJc w:val="left"/>
      <w:pPr>
        <w:ind w:left="2790" w:firstLine="5220"/>
      </w:pPr>
      <w:rPr>
        <w:rFonts w:ascii="Arial" w:eastAsia="Arial" w:hAnsi="Arial" w:cs="Arial"/>
      </w:rPr>
    </w:lvl>
    <w:lvl w:ilvl="4">
      <w:start w:val="1"/>
      <w:numFmt w:val="bullet"/>
      <w:lvlText w:val="o"/>
      <w:lvlJc w:val="left"/>
      <w:pPr>
        <w:ind w:left="3510" w:firstLine="6660"/>
      </w:pPr>
      <w:rPr>
        <w:rFonts w:ascii="Arial" w:eastAsia="Arial" w:hAnsi="Arial" w:cs="Arial"/>
      </w:rPr>
    </w:lvl>
    <w:lvl w:ilvl="5">
      <w:start w:val="1"/>
      <w:numFmt w:val="bullet"/>
      <w:lvlText w:val="▪"/>
      <w:lvlJc w:val="left"/>
      <w:pPr>
        <w:ind w:left="4230" w:firstLine="8100"/>
      </w:pPr>
      <w:rPr>
        <w:rFonts w:ascii="Arial" w:eastAsia="Arial" w:hAnsi="Arial" w:cs="Arial"/>
      </w:rPr>
    </w:lvl>
    <w:lvl w:ilvl="6">
      <w:start w:val="1"/>
      <w:numFmt w:val="bullet"/>
      <w:lvlText w:val="●"/>
      <w:lvlJc w:val="left"/>
      <w:pPr>
        <w:ind w:left="4950" w:firstLine="9540"/>
      </w:pPr>
      <w:rPr>
        <w:rFonts w:ascii="Arial" w:eastAsia="Arial" w:hAnsi="Arial" w:cs="Arial"/>
      </w:rPr>
    </w:lvl>
    <w:lvl w:ilvl="7">
      <w:start w:val="1"/>
      <w:numFmt w:val="bullet"/>
      <w:lvlText w:val="o"/>
      <w:lvlJc w:val="left"/>
      <w:pPr>
        <w:ind w:left="5670" w:firstLine="10980"/>
      </w:pPr>
      <w:rPr>
        <w:rFonts w:ascii="Arial" w:eastAsia="Arial" w:hAnsi="Arial" w:cs="Arial"/>
      </w:rPr>
    </w:lvl>
    <w:lvl w:ilvl="8">
      <w:start w:val="1"/>
      <w:numFmt w:val="bullet"/>
      <w:lvlText w:val="▪"/>
      <w:lvlJc w:val="left"/>
      <w:pPr>
        <w:ind w:left="6390" w:firstLine="12420"/>
      </w:pPr>
      <w:rPr>
        <w:rFonts w:ascii="Arial" w:eastAsia="Arial" w:hAnsi="Arial" w:cs="Arial"/>
      </w:rPr>
    </w:lvl>
  </w:abstractNum>
  <w:abstractNum w:abstractNumId="10">
    <w:nsid w:val="720618B8"/>
    <w:multiLevelType w:val="multilevel"/>
    <w:tmpl w:val="E1C8310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1">
    <w:nsid w:val="73DD43BF"/>
    <w:multiLevelType w:val="multilevel"/>
    <w:tmpl w:val="74F092EA"/>
    <w:lvl w:ilvl="0">
      <w:start w:val="1"/>
      <w:numFmt w:val="bullet"/>
      <w:lvlText w:val="●"/>
      <w:lvlJc w:val="left"/>
      <w:pPr>
        <w:ind w:left="720" w:firstLine="1080"/>
      </w:pPr>
      <w:rPr>
        <w:rFonts w:ascii="Arial" w:eastAsia="Arial" w:hAnsi="Arial" w:cs="Arial"/>
      </w:rPr>
    </w:lvl>
    <w:lvl w:ilvl="1">
      <w:start w:val="1"/>
      <w:numFmt w:val="bullet"/>
      <w:lvlText w:val="o"/>
      <w:lvlJc w:val="left"/>
      <w:pPr>
        <w:ind w:left="1440" w:firstLine="2520"/>
      </w:pPr>
      <w:rPr>
        <w:rFonts w:ascii="Arial" w:eastAsia="Arial" w:hAnsi="Arial" w:cs="Arial"/>
      </w:rPr>
    </w:lvl>
    <w:lvl w:ilvl="2">
      <w:start w:val="1"/>
      <w:numFmt w:val="bullet"/>
      <w:lvlText w:val="▪"/>
      <w:lvlJc w:val="left"/>
      <w:pPr>
        <w:ind w:left="2160" w:firstLine="3960"/>
      </w:pPr>
      <w:rPr>
        <w:rFonts w:ascii="Arial" w:eastAsia="Arial" w:hAnsi="Arial" w:cs="Arial"/>
      </w:rPr>
    </w:lvl>
    <w:lvl w:ilvl="3">
      <w:start w:val="1"/>
      <w:numFmt w:val="bullet"/>
      <w:lvlText w:val="●"/>
      <w:lvlJc w:val="left"/>
      <w:pPr>
        <w:ind w:left="2880" w:firstLine="5400"/>
      </w:pPr>
      <w:rPr>
        <w:rFonts w:ascii="Arial" w:eastAsia="Arial" w:hAnsi="Arial" w:cs="Arial"/>
      </w:rPr>
    </w:lvl>
    <w:lvl w:ilvl="4">
      <w:start w:val="1"/>
      <w:numFmt w:val="bullet"/>
      <w:lvlText w:val="o"/>
      <w:lvlJc w:val="left"/>
      <w:pPr>
        <w:ind w:left="3600" w:firstLine="6840"/>
      </w:pPr>
      <w:rPr>
        <w:rFonts w:ascii="Arial" w:eastAsia="Arial" w:hAnsi="Arial" w:cs="Arial"/>
      </w:rPr>
    </w:lvl>
    <w:lvl w:ilvl="5">
      <w:start w:val="1"/>
      <w:numFmt w:val="bullet"/>
      <w:lvlText w:val="▪"/>
      <w:lvlJc w:val="left"/>
      <w:pPr>
        <w:ind w:left="4320" w:firstLine="8280"/>
      </w:pPr>
      <w:rPr>
        <w:rFonts w:ascii="Arial" w:eastAsia="Arial" w:hAnsi="Arial" w:cs="Arial"/>
      </w:rPr>
    </w:lvl>
    <w:lvl w:ilvl="6">
      <w:start w:val="1"/>
      <w:numFmt w:val="bullet"/>
      <w:lvlText w:val="●"/>
      <w:lvlJc w:val="left"/>
      <w:pPr>
        <w:ind w:left="5040" w:firstLine="9720"/>
      </w:pPr>
      <w:rPr>
        <w:rFonts w:ascii="Arial" w:eastAsia="Arial" w:hAnsi="Arial" w:cs="Arial"/>
      </w:rPr>
    </w:lvl>
    <w:lvl w:ilvl="7">
      <w:start w:val="1"/>
      <w:numFmt w:val="bullet"/>
      <w:lvlText w:val="o"/>
      <w:lvlJc w:val="left"/>
      <w:pPr>
        <w:ind w:left="5760" w:firstLine="11160"/>
      </w:pPr>
      <w:rPr>
        <w:rFonts w:ascii="Arial" w:eastAsia="Arial" w:hAnsi="Arial" w:cs="Arial"/>
      </w:rPr>
    </w:lvl>
    <w:lvl w:ilvl="8">
      <w:start w:val="1"/>
      <w:numFmt w:val="bullet"/>
      <w:lvlText w:val="▪"/>
      <w:lvlJc w:val="left"/>
      <w:pPr>
        <w:ind w:left="6480" w:firstLine="12600"/>
      </w:pPr>
      <w:rPr>
        <w:rFonts w:ascii="Arial" w:eastAsia="Arial" w:hAnsi="Arial" w:cs="Arial"/>
      </w:rPr>
    </w:lvl>
  </w:abstractNum>
  <w:num w:numId="1">
    <w:abstractNumId w:val="7"/>
  </w:num>
  <w:num w:numId="2">
    <w:abstractNumId w:val="6"/>
  </w:num>
  <w:num w:numId="3">
    <w:abstractNumId w:val="3"/>
  </w:num>
  <w:num w:numId="4">
    <w:abstractNumId w:val="11"/>
  </w:num>
  <w:num w:numId="5">
    <w:abstractNumId w:val="9"/>
  </w:num>
  <w:num w:numId="6">
    <w:abstractNumId w:val="4"/>
  </w:num>
  <w:num w:numId="7">
    <w:abstractNumId w:val="2"/>
  </w:num>
  <w:num w:numId="8">
    <w:abstractNumId w:val="8"/>
  </w:num>
  <w:num w:numId="9">
    <w:abstractNumId w:val="10"/>
  </w:num>
  <w:num w:numId="10">
    <w:abstractNumId w:val="5"/>
  </w:num>
  <w:num w:numId="11">
    <w:abstractNumId w:val="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9"/>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CD626F"/>
    <w:rsid w:val="002046E1"/>
    <w:rsid w:val="00264D67"/>
    <w:rsid w:val="002E32AB"/>
    <w:rsid w:val="00354E76"/>
    <w:rsid w:val="00681632"/>
    <w:rsid w:val="00705416"/>
    <w:rsid w:val="009A3483"/>
    <w:rsid w:val="00CD626F"/>
    <w:rsid w:val="00D00448"/>
    <w:rsid w:val="00E34C39"/>
    <w:rsid w:val="00EE2E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D00448"/>
    <w:rPr>
      <w:rFonts w:ascii="Tahoma" w:hAnsi="Tahoma" w:cs="Tahoma"/>
      <w:sz w:val="16"/>
      <w:szCs w:val="16"/>
    </w:rPr>
  </w:style>
  <w:style w:type="character" w:customStyle="1" w:styleId="BalloonTextChar">
    <w:name w:val="Balloon Text Char"/>
    <w:basedOn w:val="DefaultParagraphFont"/>
    <w:link w:val="BalloonText"/>
    <w:uiPriority w:val="99"/>
    <w:semiHidden/>
    <w:rsid w:val="00D0044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D00448"/>
    <w:rPr>
      <w:rFonts w:ascii="Tahoma" w:hAnsi="Tahoma" w:cs="Tahoma"/>
      <w:sz w:val="16"/>
      <w:szCs w:val="16"/>
    </w:rPr>
  </w:style>
  <w:style w:type="character" w:customStyle="1" w:styleId="BalloonTextChar">
    <w:name w:val="Balloon Text Char"/>
    <w:basedOn w:val="DefaultParagraphFont"/>
    <w:link w:val="BalloonText"/>
    <w:uiPriority w:val="99"/>
    <w:semiHidden/>
    <w:rsid w:val="00D004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dx.doi.org/10.1371%2Fjournal.pntd.0002724" TargetMode="External"/><Relationship Id="rId2" Type="http://schemas.openxmlformats.org/officeDocument/2006/relationships/hyperlink" Target="http://dx.doi.org/10.1371%2Fjournal.pntd.0002724" TargetMode="External"/><Relationship Id="rId1" Type="http://schemas.openxmlformats.org/officeDocument/2006/relationships/hyperlink" Target="http://www.ncbi.nlm.nih.gov/pmc/articles/PMC3937317/" TargetMode="External"/><Relationship Id="rId5" Type="http://schemas.openxmlformats.org/officeDocument/2006/relationships/hyperlink" Target="http://www.lmgforhealth.org/expertise/governing" TargetMode="External"/><Relationship Id="rId4" Type="http://schemas.openxmlformats.org/officeDocument/2006/relationships/hyperlink" Target="http://www.lmgforhealth.org/expertise/gover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7D55D8-0B97-46C7-8296-7714860B5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11852</Words>
  <Characters>67563</Characters>
  <Application>Microsoft Office Word</Application>
  <DocSecurity>0</DocSecurity>
  <Lines>563</Lines>
  <Paragraphs>158</Paragraphs>
  <ScaleCrop>false</ScaleCrop>
  <HeadingPairs>
    <vt:vector size="2" baseType="variant">
      <vt:variant>
        <vt:lpstr>Title</vt:lpstr>
      </vt:variant>
      <vt:variant>
        <vt:i4>1</vt:i4>
      </vt:variant>
    </vt:vector>
  </HeadingPairs>
  <TitlesOfParts>
    <vt:vector size="1" baseType="lpstr">
      <vt:lpstr/>
    </vt:vector>
  </TitlesOfParts>
  <Company>USAID</Company>
  <LinksUpToDate>false</LinksUpToDate>
  <CharactersWithSpaces>79257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Villanueva, Monica (USAID/Pak/HPN)</dc:creator>
  <cp:lastModifiedBy>Aslam</cp:lastModifiedBy>
  <cp:revision>2</cp:revision>
  <dcterms:created xsi:type="dcterms:W3CDTF">2017-01-30T08:10:00Z</dcterms:created>
  <dcterms:modified xsi:type="dcterms:W3CDTF">2017-01-30T08:10:00Z</dcterms:modified>
</cp:coreProperties>
</file>