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2B21F" w14:textId="35FFFBCB" w:rsidR="00FC439C" w:rsidRPr="00C12B9E" w:rsidRDefault="00FC439C"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b/>
          <w:bCs/>
          <w:sz w:val="22"/>
          <w:szCs w:val="22"/>
          <w:u w:val="single"/>
        </w:rPr>
        <w:t>Department of State</w:t>
      </w:r>
      <w:r w:rsidRPr="00C12B9E">
        <w:rPr>
          <w:rStyle w:val="normaltextrun"/>
          <w:rFonts w:asciiTheme="minorHAnsi" w:hAnsiTheme="minorHAnsi" w:cstheme="minorHAnsi"/>
          <w:sz w:val="22"/>
          <w:szCs w:val="22"/>
        </w:rPr>
        <w:t> </w:t>
      </w:r>
    </w:p>
    <w:p w14:paraId="4AA7F673" w14:textId="386B7543" w:rsidR="00FC439C" w:rsidRPr="00C12B9E" w:rsidRDefault="00FC439C"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b/>
          <w:bCs/>
          <w:sz w:val="22"/>
          <w:szCs w:val="22"/>
          <w:u w:val="single"/>
        </w:rPr>
        <w:t>Bureau of African Affairs (AF)</w:t>
      </w:r>
      <w:r w:rsidRPr="00C12B9E">
        <w:rPr>
          <w:rStyle w:val="normaltextrun"/>
          <w:rFonts w:asciiTheme="minorHAnsi" w:hAnsiTheme="minorHAnsi" w:cstheme="minorHAnsi"/>
          <w:sz w:val="22"/>
          <w:szCs w:val="22"/>
        </w:rPr>
        <w:t> </w:t>
      </w:r>
    </w:p>
    <w:p w14:paraId="28A6738B" w14:textId="20AC845B" w:rsidR="00FC439C" w:rsidRPr="00C12B9E" w:rsidRDefault="00FB6B4F"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b/>
          <w:bCs/>
          <w:sz w:val="22"/>
          <w:szCs w:val="22"/>
          <w:u w:val="single"/>
        </w:rPr>
        <w:t>DOS-NBO-POL-FY20-0001</w:t>
      </w:r>
    </w:p>
    <w:p w14:paraId="14AB6634" w14:textId="6AB40C48" w:rsidR="00FC439C" w:rsidRPr="00C12B9E" w:rsidRDefault="00FC439C"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b/>
          <w:bCs/>
          <w:sz w:val="22"/>
          <w:szCs w:val="22"/>
          <w:u w:val="single"/>
        </w:rPr>
        <w:t>Ju</w:t>
      </w:r>
      <w:r w:rsidR="00FB6B4F" w:rsidRPr="00C12B9E">
        <w:rPr>
          <w:rStyle w:val="normaltextrun"/>
          <w:rFonts w:asciiTheme="minorHAnsi" w:hAnsiTheme="minorHAnsi" w:cstheme="minorHAnsi"/>
          <w:b/>
          <w:bCs/>
          <w:sz w:val="22"/>
          <w:szCs w:val="22"/>
          <w:u w:val="single"/>
        </w:rPr>
        <w:t xml:space="preserve">ly </w:t>
      </w:r>
      <w:r w:rsidR="00A97B16">
        <w:rPr>
          <w:rStyle w:val="normaltextrun"/>
          <w:rFonts w:asciiTheme="minorHAnsi" w:hAnsiTheme="minorHAnsi" w:cstheme="minorHAnsi"/>
          <w:b/>
          <w:bCs/>
          <w:sz w:val="22"/>
          <w:szCs w:val="22"/>
          <w:u w:val="single"/>
        </w:rPr>
        <w:t>10</w:t>
      </w:r>
      <w:r w:rsidRPr="00C12B9E">
        <w:rPr>
          <w:rStyle w:val="normaltextrun"/>
          <w:rFonts w:asciiTheme="minorHAnsi" w:hAnsiTheme="minorHAnsi" w:cstheme="minorHAnsi"/>
          <w:b/>
          <w:bCs/>
          <w:sz w:val="22"/>
          <w:szCs w:val="22"/>
          <w:u w:val="single"/>
        </w:rPr>
        <w:t>, 2020</w:t>
      </w:r>
      <w:r w:rsidRPr="00C12B9E">
        <w:rPr>
          <w:rStyle w:val="normaltextrun"/>
          <w:rFonts w:asciiTheme="minorHAnsi" w:hAnsiTheme="minorHAnsi" w:cstheme="minorHAnsi"/>
          <w:sz w:val="22"/>
          <w:szCs w:val="22"/>
        </w:rPr>
        <w:t> </w:t>
      </w:r>
    </w:p>
    <w:p w14:paraId="0E7C900B" w14:textId="41A98DAA" w:rsidR="00FC439C" w:rsidRPr="00C12B9E" w:rsidRDefault="00FC439C"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sz w:val="22"/>
          <w:szCs w:val="22"/>
        </w:rPr>
        <w:t> </w:t>
      </w:r>
    </w:p>
    <w:p w14:paraId="5BAE9D7B" w14:textId="57C830AB" w:rsidR="00FC439C" w:rsidRPr="00C12B9E" w:rsidRDefault="00FB6B4F" w:rsidP="00A97B16">
      <w:pPr>
        <w:pStyle w:val="paragraph"/>
        <w:spacing w:before="0" w:beforeAutospacing="0" w:after="0" w:afterAutospacing="0"/>
        <w:ind w:right="285"/>
        <w:jc w:val="center"/>
        <w:textAlignment w:val="baseline"/>
        <w:rPr>
          <w:rFonts w:asciiTheme="minorHAnsi" w:hAnsiTheme="minorHAnsi" w:cstheme="minorHAnsi"/>
          <w:sz w:val="22"/>
          <w:szCs w:val="22"/>
        </w:rPr>
      </w:pPr>
      <w:r w:rsidRPr="00C12B9E">
        <w:rPr>
          <w:rStyle w:val="normaltextrun"/>
          <w:rFonts w:asciiTheme="minorHAnsi" w:hAnsiTheme="minorHAnsi" w:cstheme="minorHAnsi"/>
          <w:b/>
          <w:bCs/>
          <w:sz w:val="22"/>
          <w:szCs w:val="22"/>
          <w:u w:val="single"/>
        </w:rPr>
        <w:t>Strengthening Community Capacity and Government Coordination in Preventing Radicalization and Terrorist Recruitment</w:t>
      </w:r>
      <w:r w:rsidR="00FC439C" w:rsidRPr="00C12B9E">
        <w:rPr>
          <w:rStyle w:val="normaltextrun"/>
          <w:rFonts w:asciiTheme="minorHAnsi" w:hAnsiTheme="minorHAnsi" w:cstheme="minorHAnsi"/>
          <w:b/>
          <w:bCs/>
          <w:sz w:val="22"/>
          <w:szCs w:val="22"/>
          <w:u w:val="single"/>
        </w:rPr>
        <w:t>:  Q and A</w:t>
      </w:r>
    </w:p>
    <w:p w14:paraId="13EABA25" w14:textId="77777777" w:rsidR="00FB6B4F" w:rsidRPr="00C12B9E" w:rsidRDefault="00FB6B4F" w:rsidP="00C12B9E">
      <w:pPr>
        <w:spacing w:after="0" w:line="240" w:lineRule="auto"/>
        <w:rPr>
          <w:rFonts w:cstheme="minorHAnsi"/>
          <w:b/>
          <w:bCs/>
        </w:rPr>
      </w:pPr>
    </w:p>
    <w:p w14:paraId="0294CBBD" w14:textId="06BA8558"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rPr>
        <w:t>Q:</w:t>
      </w:r>
      <w:r w:rsidRPr="00A97B16">
        <w:rPr>
          <w:rFonts w:ascii="Calibri" w:eastAsia="Times New Roman" w:hAnsi="Calibri" w:cs="Calibri"/>
          <w:color w:val="000000"/>
        </w:rPr>
        <w:t> </w:t>
      </w:r>
      <w:r>
        <w:rPr>
          <w:rFonts w:ascii="Calibri" w:eastAsia="Times New Roman" w:hAnsi="Calibri" w:cs="Calibri"/>
          <w:color w:val="000000"/>
        </w:rPr>
        <w:t>Please clarify</w:t>
      </w:r>
      <w:r w:rsidRPr="00A97B16">
        <w:rPr>
          <w:rFonts w:ascii="Calibri" w:eastAsia="Times New Roman" w:hAnsi="Calibri" w:cs="Calibri"/>
          <w:color w:val="000000"/>
        </w:rPr>
        <w:t xml:space="preserve"> about page limits</w:t>
      </w:r>
      <w:r>
        <w:rPr>
          <w:rFonts w:ascii="Calibri" w:eastAsia="Times New Roman" w:hAnsi="Calibri" w:cs="Calibri"/>
          <w:color w:val="000000"/>
        </w:rPr>
        <w:t xml:space="preserve"> for the proposal itself, not including attachments or annexes</w:t>
      </w:r>
      <w:r w:rsidRPr="00A97B16">
        <w:rPr>
          <w:rFonts w:ascii="Calibri" w:eastAsia="Times New Roman" w:hAnsi="Calibri" w:cs="Calibri"/>
          <w:color w:val="000000"/>
        </w:rPr>
        <w:t xml:space="preserve">.  The </w:t>
      </w:r>
      <w:r w:rsidRPr="000E103B">
        <w:rPr>
          <w:rFonts w:ascii="Calibri" w:eastAsia="Times New Roman" w:hAnsi="Calibri" w:cs="Calibri"/>
          <w:color w:val="000000" w:themeColor="text1"/>
        </w:rPr>
        <w:t>guidance</w:t>
      </w:r>
      <w:r w:rsidRPr="00A97B16">
        <w:rPr>
          <w:rFonts w:ascii="Calibri" w:eastAsia="Times New Roman" w:hAnsi="Calibri" w:cs="Calibri"/>
          <w:color w:val="000000" w:themeColor="text1"/>
        </w:rPr>
        <w:t xml:space="preserve"> stipulates a 20-page limit.  </w:t>
      </w:r>
      <w:r w:rsidRPr="000E103B">
        <w:rPr>
          <w:rFonts w:ascii="Calibri" w:eastAsia="Times New Roman" w:hAnsi="Calibri" w:cs="Calibri"/>
          <w:color w:val="000000" w:themeColor="text1"/>
        </w:rPr>
        <w:t>Is</w:t>
      </w:r>
      <w:r w:rsidRPr="00A97B16">
        <w:rPr>
          <w:rFonts w:ascii="Calibri" w:eastAsia="Times New Roman" w:hAnsi="Calibri" w:cs="Calibri"/>
          <w:color w:val="000000" w:themeColor="text1"/>
        </w:rPr>
        <w:t xml:space="preserve"> the Project Monitoring </w:t>
      </w:r>
      <w:r w:rsidRPr="000E103B">
        <w:rPr>
          <w:rFonts w:ascii="Calibri" w:eastAsia="Times New Roman" w:hAnsi="Calibri" w:cs="Calibri"/>
          <w:color w:val="000000" w:themeColor="text1"/>
        </w:rPr>
        <w:t>P</w:t>
      </w:r>
      <w:r w:rsidRPr="00A97B16">
        <w:rPr>
          <w:rFonts w:ascii="Calibri" w:eastAsia="Times New Roman" w:hAnsi="Calibri" w:cs="Calibri"/>
          <w:color w:val="000000" w:themeColor="text1"/>
        </w:rPr>
        <w:t>lan part of either the proposal or the attachments</w:t>
      </w:r>
      <w:r w:rsidRPr="000E103B">
        <w:rPr>
          <w:rFonts w:ascii="Calibri" w:eastAsia="Times New Roman" w:hAnsi="Calibri" w:cs="Calibri"/>
          <w:color w:val="000000" w:themeColor="text1"/>
        </w:rPr>
        <w:t xml:space="preserve">?  Either way, we </w:t>
      </w:r>
      <w:r w:rsidRPr="00A97B16">
        <w:rPr>
          <w:rFonts w:ascii="Calibri" w:eastAsia="Times New Roman" w:hAnsi="Calibri" w:cs="Calibri"/>
          <w:color w:val="000000" w:themeColor="text1"/>
        </w:rPr>
        <w:t xml:space="preserve">would like to know how this impacts the page limit requirements for both </w:t>
      </w:r>
      <w:r w:rsidRPr="000E103B">
        <w:rPr>
          <w:rFonts w:ascii="Calibri" w:eastAsia="Times New Roman" w:hAnsi="Calibri" w:cs="Calibri"/>
          <w:color w:val="000000" w:themeColor="text1"/>
        </w:rPr>
        <w:t>the p</w:t>
      </w:r>
      <w:r w:rsidRPr="00A97B16">
        <w:rPr>
          <w:rFonts w:ascii="Calibri" w:eastAsia="Times New Roman" w:hAnsi="Calibri" w:cs="Calibri"/>
          <w:color w:val="000000" w:themeColor="text1"/>
        </w:rPr>
        <w:t xml:space="preserve">roposal and </w:t>
      </w:r>
      <w:r w:rsidRPr="000E103B">
        <w:rPr>
          <w:rFonts w:ascii="Calibri" w:eastAsia="Times New Roman" w:hAnsi="Calibri" w:cs="Calibri"/>
          <w:color w:val="000000" w:themeColor="text1"/>
        </w:rPr>
        <w:t>a</w:t>
      </w:r>
      <w:r w:rsidRPr="00A97B16">
        <w:rPr>
          <w:rFonts w:ascii="Calibri" w:eastAsia="Times New Roman" w:hAnsi="Calibri" w:cs="Calibri"/>
          <w:color w:val="000000" w:themeColor="text1"/>
        </w:rPr>
        <w:t>nnexes.</w:t>
      </w:r>
    </w:p>
    <w:p w14:paraId="6447F021" w14:textId="4CA8BC3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613D66">
        <w:rPr>
          <w:rFonts w:ascii="Calibri" w:eastAsia="Times New Roman" w:hAnsi="Calibri" w:cs="Calibri"/>
          <w:b/>
          <w:color w:val="000000" w:themeColor="text1"/>
        </w:rPr>
        <w:t>A</w:t>
      </w:r>
      <w:r w:rsidRPr="00A97B16">
        <w:rPr>
          <w:rFonts w:ascii="Calibri" w:eastAsia="Times New Roman" w:hAnsi="Calibri" w:cs="Calibri"/>
          <w:color w:val="000000" w:themeColor="text1"/>
        </w:rPr>
        <w:t xml:space="preserve">: The </w:t>
      </w:r>
      <w:r w:rsidRPr="000E103B">
        <w:rPr>
          <w:rFonts w:ascii="Calibri" w:eastAsia="Times New Roman" w:hAnsi="Calibri" w:cs="Calibri"/>
          <w:color w:val="000000" w:themeColor="text1"/>
        </w:rPr>
        <w:t>guidance</w:t>
      </w:r>
      <w:r w:rsidRPr="00A97B16">
        <w:rPr>
          <w:rFonts w:ascii="Calibri" w:eastAsia="Times New Roman" w:hAnsi="Calibri" w:cs="Calibri"/>
          <w:color w:val="000000" w:themeColor="text1"/>
        </w:rPr>
        <w:t xml:space="preserve"> states the Project Monitoring Plan </w:t>
      </w:r>
      <w:r w:rsidRPr="000E103B">
        <w:rPr>
          <w:rFonts w:ascii="Calibri" w:eastAsia="Times New Roman" w:hAnsi="Calibri" w:cs="Calibri"/>
          <w:color w:val="000000" w:themeColor="text1"/>
        </w:rPr>
        <w:t>should be</w:t>
      </w:r>
      <w:r w:rsidRPr="00A97B16">
        <w:rPr>
          <w:rFonts w:ascii="Calibri" w:eastAsia="Times New Roman" w:hAnsi="Calibri" w:cs="Calibri"/>
          <w:color w:val="000000" w:themeColor="text1"/>
        </w:rPr>
        <w:t xml:space="preserve"> part of the attachments, and therefore is not included in the proposal narrative’s 20-page limit.</w:t>
      </w:r>
    </w:p>
    <w:p w14:paraId="36D41BD3"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 </w:t>
      </w:r>
    </w:p>
    <w:p w14:paraId="023C2E78" w14:textId="2D4188C4"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Q:</w:t>
      </w:r>
      <w:r w:rsidRPr="00A97B16">
        <w:rPr>
          <w:rFonts w:ascii="Calibri" w:eastAsia="Times New Roman" w:hAnsi="Calibri" w:cs="Calibri"/>
          <w:color w:val="000000" w:themeColor="text1"/>
        </w:rPr>
        <w:t xml:space="preserve">  Please clarify about attachment page limits.  The </w:t>
      </w:r>
      <w:r w:rsidR="00F82958" w:rsidRPr="000E103B">
        <w:rPr>
          <w:rFonts w:ascii="Calibri" w:eastAsia="Times New Roman" w:hAnsi="Calibri" w:cs="Calibri"/>
          <w:color w:val="000000" w:themeColor="text1"/>
        </w:rPr>
        <w:t>guidance</w:t>
      </w:r>
      <w:r w:rsidRPr="00A97B16">
        <w:rPr>
          <w:rFonts w:ascii="Calibri" w:eastAsia="Times New Roman" w:hAnsi="Calibri" w:cs="Calibri"/>
          <w:color w:val="000000" w:themeColor="text1"/>
        </w:rPr>
        <w:t xml:space="preserve"> stipulates a 10-page limit for attachments.  We are wondering: a) whether the 10-page limit applies to each separate annex or all mandatory attachments combined.  When the answer is ‘all attachments’; b) whether the 10-page limit applies to the mandatory attachments only or all attachments </w:t>
      </w:r>
      <w:r w:rsidR="007141C2" w:rsidRPr="000E103B">
        <w:rPr>
          <w:rFonts w:ascii="Calibri" w:eastAsia="Times New Roman" w:hAnsi="Calibri" w:cs="Calibri"/>
          <w:color w:val="000000" w:themeColor="text1"/>
        </w:rPr>
        <w:t xml:space="preserve">an applicant </w:t>
      </w:r>
      <w:r w:rsidR="00F82958" w:rsidRPr="000E103B">
        <w:rPr>
          <w:rFonts w:ascii="Calibri" w:eastAsia="Times New Roman" w:hAnsi="Calibri" w:cs="Calibri"/>
          <w:color w:val="000000" w:themeColor="text1"/>
        </w:rPr>
        <w:t>wishes to</w:t>
      </w:r>
      <w:r w:rsidRPr="00A97B16">
        <w:rPr>
          <w:rFonts w:ascii="Calibri" w:eastAsia="Times New Roman" w:hAnsi="Calibri" w:cs="Calibri"/>
          <w:color w:val="000000" w:themeColor="text1"/>
        </w:rPr>
        <w:t xml:space="preserve"> submit.</w:t>
      </w:r>
    </w:p>
    <w:p w14:paraId="05148D54" w14:textId="4628968D"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613D66">
        <w:rPr>
          <w:rFonts w:ascii="Calibri" w:eastAsia="Times New Roman" w:hAnsi="Calibri" w:cs="Calibri"/>
          <w:b/>
          <w:color w:val="000000" w:themeColor="text1"/>
        </w:rPr>
        <w:t>A</w:t>
      </w:r>
      <w:r w:rsidRPr="00A97B16">
        <w:rPr>
          <w:rFonts w:ascii="Calibri" w:eastAsia="Times New Roman" w:hAnsi="Calibri" w:cs="Calibri"/>
          <w:color w:val="000000" w:themeColor="text1"/>
        </w:rPr>
        <w:t xml:space="preserve">: The 10-page limit applies to all attachments combined. </w:t>
      </w:r>
      <w:r w:rsidR="00F82958" w:rsidRPr="000E103B">
        <w:rPr>
          <w:rFonts w:ascii="Calibri" w:eastAsia="Times New Roman" w:hAnsi="Calibri" w:cs="Calibri"/>
          <w:color w:val="000000" w:themeColor="text1"/>
        </w:rPr>
        <w:t xml:space="preserve"> </w:t>
      </w:r>
      <w:r w:rsidRPr="00A97B16">
        <w:rPr>
          <w:rFonts w:ascii="Calibri" w:eastAsia="Times New Roman" w:hAnsi="Calibri" w:cs="Calibri"/>
          <w:color w:val="000000" w:themeColor="text1"/>
        </w:rPr>
        <w:t>Applicants may include supplemental attachments if space permits.</w:t>
      </w:r>
    </w:p>
    <w:p w14:paraId="007E8458"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color w:val="000000" w:themeColor="text1"/>
        </w:rPr>
        <w:t> </w:t>
      </w:r>
    </w:p>
    <w:p w14:paraId="10A7D99F" w14:textId="7641228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Q:</w:t>
      </w:r>
      <w:r w:rsidRPr="00A97B16">
        <w:rPr>
          <w:rFonts w:ascii="Calibri" w:eastAsia="Times New Roman" w:hAnsi="Calibri" w:cs="Calibri"/>
          <w:color w:val="000000" w:themeColor="text1"/>
          <w:bdr w:val="none" w:sz="0" w:space="0" w:color="auto" w:frame="1"/>
        </w:rPr>
        <w:t xml:space="preserve"> Should the risk analysis be included in the attachments section?  It is not explicitly listed in the </w:t>
      </w:r>
      <w:r w:rsidR="008E6B79" w:rsidRPr="00A97B16">
        <w:rPr>
          <w:rFonts w:ascii="Calibri" w:eastAsia="Times New Roman" w:hAnsi="Calibri" w:cs="Calibri"/>
          <w:color w:val="000000"/>
        </w:rPr>
        <w:t>Notice of Funding Opportunity</w:t>
      </w:r>
      <w:r w:rsidRPr="00A97B16">
        <w:rPr>
          <w:rFonts w:ascii="Calibri" w:eastAsia="Times New Roman" w:hAnsi="Calibri" w:cs="Calibri"/>
          <w:color w:val="000000" w:themeColor="text1"/>
          <w:bdr w:val="none" w:sz="0" w:space="0" w:color="auto" w:frame="1"/>
        </w:rPr>
        <w:t>.</w:t>
      </w:r>
    </w:p>
    <w:p w14:paraId="49B3E9B6" w14:textId="210DC6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613D66">
        <w:rPr>
          <w:rFonts w:ascii="Calibri" w:eastAsia="Times New Roman" w:hAnsi="Calibri" w:cs="Calibri"/>
          <w:b/>
          <w:color w:val="000000" w:themeColor="text1"/>
        </w:rPr>
        <w:t>A</w:t>
      </w:r>
      <w:r w:rsidRPr="00A97B16">
        <w:rPr>
          <w:rFonts w:ascii="Calibri" w:eastAsia="Times New Roman" w:hAnsi="Calibri" w:cs="Calibri"/>
          <w:color w:val="000000" w:themeColor="text1"/>
        </w:rPr>
        <w:t>: The risk analysis may either be included in the proposal narrative or in the attachments.</w:t>
      </w:r>
    </w:p>
    <w:p w14:paraId="77BAF4B8"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color w:val="000000" w:themeColor="text1"/>
        </w:rPr>
        <w:t> </w:t>
      </w:r>
    </w:p>
    <w:p w14:paraId="5A4B3CE4"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Q:</w:t>
      </w:r>
      <w:r w:rsidRPr="00A97B16">
        <w:rPr>
          <w:rFonts w:ascii="Calibri" w:eastAsia="Times New Roman" w:hAnsi="Calibri" w:cs="Calibri"/>
          <w:color w:val="000000" w:themeColor="text1"/>
        </w:rPr>
        <w:t> </w:t>
      </w:r>
      <w:r w:rsidRPr="00A97B16">
        <w:rPr>
          <w:rFonts w:ascii="Calibri" w:eastAsia="Times New Roman" w:hAnsi="Calibri" w:cs="Calibri"/>
          <w:color w:val="000000" w:themeColor="text1"/>
          <w:bdr w:val="none" w:sz="0" w:space="0" w:color="auto" w:frame="1"/>
        </w:rPr>
        <w:t>Will cross-border (Kenya-Somalia) programmatic engagement be allowed if, through implementation, we find evidence that such engagement can benefit or bolster Objective 2 outcomes?</w:t>
      </w:r>
    </w:p>
    <w:p w14:paraId="136BCF06"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A:</w:t>
      </w:r>
      <w:r w:rsidRPr="00A97B16">
        <w:rPr>
          <w:rFonts w:ascii="Calibri" w:eastAsia="Times New Roman" w:hAnsi="Calibri" w:cs="Calibri"/>
          <w:color w:val="000000"/>
          <w:bdr w:val="none" w:sz="0" w:space="0" w:color="auto" w:frame="1"/>
        </w:rPr>
        <w:t> The program is intended only to be carried out within the territorial boundaries of Kenya.</w:t>
      </w:r>
    </w:p>
    <w:p w14:paraId="29F1C4A4"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color w:val="000000"/>
          <w:bdr w:val="none" w:sz="0" w:space="0" w:color="auto" w:frame="1"/>
        </w:rPr>
        <w:t> </w:t>
      </w:r>
    </w:p>
    <w:p w14:paraId="3B11888B"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Will actors/influencers associated with Mandera County be approved for programming as part of this effort?</w:t>
      </w:r>
    </w:p>
    <w:p w14:paraId="2AB0027B"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A:</w:t>
      </w:r>
      <w:r w:rsidRPr="00A97B16">
        <w:rPr>
          <w:rFonts w:ascii="Calibri" w:eastAsia="Times New Roman" w:hAnsi="Calibri" w:cs="Calibri"/>
          <w:color w:val="000000"/>
          <w:bdr w:val="none" w:sz="0" w:space="0" w:color="auto" w:frame="1"/>
        </w:rPr>
        <w:t> Applicants are welcome to include actors/influencers from any part of Kenya in their proposals, but the primary focus area of this grant is Garissa and Lamu counties.</w:t>
      </w:r>
    </w:p>
    <w:p w14:paraId="3D5BF530"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color w:val="000000"/>
          <w:bdr w:val="none" w:sz="0" w:space="0" w:color="auto" w:frame="1"/>
        </w:rPr>
        <w:t> </w:t>
      </w:r>
    </w:p>
    <w:p w14:paraId="0BD9F760"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Can I submit a funding request for only one county?</w:t>
      </w:r>
    </w:p>
    <w:p w14:paraId="43F3D58C"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rPr>
        <w:t>A:</w:t>
      </w:r>
      <w:r w:rsidRPr="00A97B16">
        <w:rPr>
          <w:rFonts w:ascii="Calibri" w:eastAsia="Times New Roman" w:hAnsi="Calibri" w:cs="Calibri"/>
          <w:color w:val="000000"/>
        </w:rPr>
        <w:t> We refer you to the wording of the Notice of Funding Opportunity for all requirements in submitting a proposal.</w:t>
      </w:r>
    </w:p>
    <w:p w14:paraId="7C54341F"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color w:val="000000"/>
          <w:bdr w:val="none" w:sz="0" w:space="0" w:color="auto" w:frame="1"/>
        </w:rPr>
        <w:t> </w:t>
      </w:r>
    </w:p>
    <w:p w14:paraId="4560886A"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201F1E"/>
        </w:rPr>
        <w:t>Q</w:t>
      </w:r>
      <w:r w:rsidRPr="00A97B16">
        <w:rPr>
          <w:rFonts w:ascii="Calibri" w:eastAsia="Times New Roman" w:hAnsi="Calibri" w:cs="Calibri"/>
          <w:b/>
          <w:bCs/>
          <w:color w:val="000000"/>
          <w:bdr w:val="none" w:sz="0" w:space="0" w:color="auto" w:frame="1"/>
        </w:rPr>
        <w:t>:</w:t>
      </w:r>
      <w:r w:rsidRPr="00A97B16">
        <w:rPr>
          <w:rFonts w:ascii="Calibri" w:eastAsia="Times New Roman" w:hAnsi="Calibri" w:cs="Calibri"/>
          <w:color w:val="000000"/>
          <w:bdr w:val="none" w:sz="0" w:space="0" w:color="auto" w:frame="1"/>
        </w:rPr>
        <w:t> Regarding Objective 2, when you refer to increasing trust and collaboration between community members, are you referring to community members in Lamu and Garissa, respectively, or to increase trust and collaboration between inter-county communities?</w:t>
      </w:r>
    </w:p>
    <w:p w14:paraId="235E2DCA" w14:textId="4FCA8949"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A:</w:t>
      </w:r>
      <w:r w:rsidRPr="00A97B16">
        <w:rPr>
          <w:rFonts w:ascii="Calibri" w:eastAsia="Times New Roman" w:hAnsi="Calibri" w:cs="Calibri"/>
          <w:color w:val="000000"/>
          <w:bdr w:val="none" w:sz="0" w:space="0" w:color="auto" w:frame="1"/>
        </w:rPr>
        <w:t xml:space="preserve"> Applicants are welcome to offer program designs that aim to strengthen trust and collaboration between communities across county boundaries, but </w:t>
      </w:r>
      <w:r w:rsidR="00F82958">
        <w:rPr>
          <w:rFonts w:ascii="Calibri" w:eastAsia="Times New Roman" w:hAnsi="Calibri" w:cs="Calibri"/>
          <w:color w:val="000000"/>
          <w:bdr w:val="none" w:sz="0" w:space="0" w:color="auto" w:frame="1"/>
        </w:rPr>
        <w:t>this</w:t>
      </w:r>
      <w:r w:rsidRPr="00A97B16">
        <w:rPr>
          <w:rFonts w:ascii="Calibri" w:eastAsia="Times New Roman" w:hAnsi="Calibri" w:cs="Calibri"/>
          <w:color w:val="000000"/>
          <w:bdr w:val="none" w:sz="0" w:space="0" w:color="auto" w:frame="1"/>
        </w:rPr>
        <w:t xml:space="preserve"> is not a requirement.</w:t>
      </w:r>
    </w:p>
    <w:p w14:paraId="6F0F6BB5"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color w:val="201F1E"/>
        </w:rPr>
        <w:t> </w:t>
      </w:r>
    </w:p>
    <w:p w14:paraId="3DA3E9FA" w14:textId="2F0C2788"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xml:space="preserve"> The </w:t>
      </w:r>
      <w:r w:rsidR="008E6B79" w:rsidRPr="00A97B16">
        <w:rPr>
          <w:rFonts w:ascii="Calibri" w:eastAsia="Times New Roman" w:hAnsi="Calibri" w:cs="Calibri"/>
          <w:color w:val="000000"/>
        </w:rPr>
        <w:t xml:space="preserve">Notice of Funding Opportunity </w:t>
      </w:r>
      <w:r w:rsidRPr="00A97B16">
        <w:rPr>
          <w:rFonts w:ascii="Calibri" w:eastAsia="Times New Roman" w:hAnsi="Calibri" w:cs="Calibri"/>
          <w:color w:val="000000"/>
          <w:bdr w:val="none" w:sz="0" w:space="0" w:color="auto" w:frame="1"/>
        </w:rPr>
        <w:t xml:space="preserve">calls for substantive cooperation between community stakeholders and security services, </w:t>
      </w:r>
      <w:r w:rsidRPr="00A97B16">
        <w:rPr>
          <w:rFonts w:ascii="Calibri" w:eastAsia="Times New Roman" w:hAnsi="Calibri" w:cs="Calibri"/>
          <w:color w:val="000000" w:themeColor="text1"/>
          <w:bdr w:val="none" w:sz="0" w:space="0" w:color="auto" w:frame="1"/>
        </w:rPr>
        <w:t xml:space="preserve">but the Leahy vetting section says that security personnel should be </w:t>
      </w:r>
      <w:r w:rsidRPr="00A97B16">
        <w:rPr>
          <w:rFonts w:ascii="Calibri" w:eastAsia="Times New Roman" w:hAnsi="Calibri" w:cs="Calibri"/>
          <w:color w:val="000000" w:themeColor="text1"/>
          <w:bdr w:val="none" w:sz="0" w:space="0" w:color="auto" w:frame="1"/>
        </w:rPr>
        <w:lastRenderedPageBreak/>
        <w:t>excluded from training.  Does this program allow for coordination with, but not the training of, security forces?</w:t>
      </w:r>
    </w:p>
    <w:p w14:paraId="5D85FFD1" w14:textId="06D0510B" w:rsidR="000E103B" w:rsidRDefault="00A97B16" w:rsidP="00A97B16">
      <w:pPr>
        <w:shd w:val="clear" w:color="auto" w:fill="FFFFFF"/>
        <w:spacing w:after="0" w:line="240" w:lineRule="auto"/>
        <w:rPr>
          <w:rFonts w:ascii="Calibri" w:eastAsia="Times New Roman" w:hAnsi="Calibri" w:cs="Calibri"/>
          <w:color w:val="000000" w:themeColor="text1"/>
        </w:rPr>
      </w:pPr>
      <w:r w:rsidRPr="00A97B16">
        <w:rPr>
          <w:rFonts w:ascii="Calibri" w:eastAsia="Times New Roman" w:hAnsi="Calibri" w:cs="Calibri"/>
          <w:b/>
          <w:bCs/>
          <w:color w:val="000000" w:themeColor="text1"/>
        </w:rPr>
        <w:t>A:</w:t>
      </w:r>
      <w:r w:rsidRPr="00A97B16">
        <w:rPr>
          <w:rFonts w:ascii="Calibri" w:eastAsia="Times New Roman" w:hAnsi="Calibri" w:cs="Calibri"/>
          <w:color w:val="000000" w:themeColor="text1"/>
        </w:rPr>
        <w:t xml:space="preserve"> The Leahy Vetting Requirement should read, “However, as noted below, training or assistance to foreign </w:t>
      </w:r>
      <w:r w:rsidRPr="00A97B16">
        <w:rPr>
          <w:rFonts w:ascii="Calibri" w:eastAsia="Times New Roman" w:hAnsi="Calibri" w:cs="Calibri"/>
          <w:b/>
          <w:bCs/>
          <w:i/>
          <w:iCs/>
          <w:color w:val="000000" w:themeColor="text1"/>
        </w:rPr>
        <w:t>military</w:t>
      </w:r>
      <w:r w:rsidRPr="00A97B16">
        <w:rPr>
          <w:rFonts w:ascii="Calibri" w:eastAsia="Times New Roman" w:hAnsi="Calibri" w:cs="Calibri"/>
          <w:color w:val="000000" w:themeColor="text1"/>
        </w:rPr>
        <w:t> forces is not permitted under this award."</w:t>
      </w:r>
      <w:r w:rsidR="007620C3" w:rsidRPr="000E103B">
        <w:rPr>
          <w:rFonts w:ascii="Calibri" w:eastAsia="Times New Roman" w:hAnsi="Calibri" w:cs="Calibri"/>
          <w:color w:val="000000" w:themeColor="text1"/>
        </w:rPr>
        <w:t xml:space="preserve"> </w:t>
      </w:r>
      <w:r w:rsidRPr="00A97B16">
        <w:rPr>
          <w:rFonts w:ascii="Calibri" w:eastAsia="Times New Roman" w:hAnsi="Calibri" w:cs="Calibri"/>
          <w:color w:val="000000" w:themeColor="text1"/>
        </w:rPr>
        <w:t xml:space="preserve"> Amendment 1 to the </w:t>
      </w:r>
      <w:r w:rsidR="000E103B" w:rsidRPr="00A97B16">
        <w:rPr>
          <w:rFonts w:ascii="Calibri" w:eastAsia="Times New Roman" w:hAnsi="Calibri" w:cs="Calibri"/>
          <w:color w:val="000000"/>
        </w:rPr>
        <w:t xml:space="preserve">Notice of Funding Opportunity </w:t>
      </w:r>
      <w:r w:rsidRPr="00A97B16">
        <w:rPr>
          <w:rFonts w:ascii="Calibri" w:eastAsia="Times New Roman" w:hAnsi="Calibri" w:cs="Calibri"/>
          <w:color w:val="000000" w:themeColor="text1"/>
        </w:rPr>
        <w:t xml:space="preserve">has been issued for clarity. </w:t>
      </w:r>
      <w:r w:rsidR="007620C3" w:rsidRPr="000E103B">
        <w:rPr>
          <w:rFonts w:ascii="Calibri" w:eastAsia="Times New Roman" w:hAnsi="Calibri" w:cs="Calibri"/>
          <w:color w:val="000000" w:themeColor="text1"/>
        </w:rPr>
        <w:t xml:space="preserve"> </w:t>
      </w:r>
      <w:r w:rsidRPr="00A97B16">
        <w:rPr>
          <w:rFonts w:ascii="Calibri" w:eastAsia="Times New Roman" w:hAnsi="Calibri" w:cs="Calibri"/>
          <w:color w:val="000000" w:themeColor="text1"/>
        </w:rPr>
        <w:t>Applicants may propose training or assistance to civilian security forces, however Leahy vetting is required for any training or assistance to any such civilian security force.</w:t>
      </w:r>
    </w:p>
    <w:p w14:paraId="29151894" w14:textId="77777777" w:rsidR="000E103B" w:rsidRPr="00A97B16" w:rsidRDefault="000E103B" w:rsidP="00A97B16">
      <w:pPr>
        <w:shd w:val="clear" w:color="auto" w:fill="FFFFFF"/>
        <w:spacing w:after="0" w:line="240" w:lineRule="auto"/>
        <w:rPr>
          <w:rFonts w:ascii="Times New Roman" w:eastAsia="Times New Roman" w:hAnsi="Times New Roman" w:cs="Times New Roman"/>
          <w:color w:val="000000" w:themeColor="text1"/>
          <w:sz w:val="24"/>
          <w:szCs w:val="24"/>
        </w:rPr>
      </w:pPr>
    </w:p>
    <w:p w14:paraId="034CC89B"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Q:</w:t>
      </w:r>
      <w:r w:rsidRPr="00A97B16">
        <w:rPr>
          <w:rFonts w:ascii="Calibri" w:eastAsia="Times New Roman" w:hAnsi="Calibri" w:cs="Calibri"/>
          <w:color w:val="000000" w:themeColor="text1"/>
        </w:rPr>
        <w:t> I lead a registered Kenyan non-government organization that has never implemented a program for the U.S. government.  How can I apply for this grant?</w:t>
      </w:r>
    </w:p>
    <w:p w14:paraId="4AFB15D5" w14:textId="671FB72E"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A:</w:t>
      </w:r>
      <w:r w:rsidRPr="00A97B16">
        <w:rPr>
          <w:rFonts w:ascii="Calibri" w:eastAsia="Times New Roman" w:hAnsi="Calibri" w:cs="Calibri"/>
          <w:color w:val="000000" w:themeColor="text1"/>
        </w:rPr>
        <w:t xml:space="preserve"> Please refer to the </w:t>
      </w:r>
      <w:r w:rsidR="000E103B" w:rsidRPr="00A97B16">
        <w:rPr>
          <w:rFonts w:ascii="Calibri" w:eastAsia="Times New Roman" w:hAnsi="Calibri" w:cs="Calibri"/>
          <w:color w:val="000000"/>
        </w:rPr>
        <w:t xml:space="preserve">Notice of Funding Opportunity </w:t>
      </w:r>
      <w:r w:rsidRPr="00A97B16">
        <w:rPr>
          <w:rFonts w:ascii="Calibri" w:eastAsia="Times New Roman" w:hAnsi="Calibri" w:cs="Calibri"/>
          <w:color w:val="000000" w:themeColor="text1"/>
        </w:rPr>
        <w:t>for information on required registrations necessary to submit an application.</w:t>
      </w:r>
    </w:p>
    <w:p w14:paraId="1D816732"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color w:val="000000" w:themeColor="text1"/>
        </w:rPr>
        <w:t> </w:t>
      </w:r>
    </w:p>
    <w:p w14:paraId="0860A257"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Q:</w:t>
      </w:r>
      <w:r w:rsidRPr="00A97B16">
        <w:rPr>
          <w:rFonts w:ascii="Calibri" w:eastAsia="Times New Roman" w:hAnsi="Calibri" w:cs="Calibri"/>
          <w:color w:val="000000" w:themeColor="text1"/>
          <w:bdr w:val="none" w:sz="0" w:space="0" w:color="auto" w:frame="1"/>
        </w:rPr>
        <w:t> I have requested for an NCAGE/CAGE code but have not received it yet.  Is there another way of getting the code?</w:t>
      </w:r>
    </w:p>
    <w:p w14:paraId="7E40876B" w14:textId="77777777" w:rsidR="00A97B16" w:rsidRPr="00A97B16" w:rsidRDefault="00A97B16" w:rsidP="00A97B16">
      <w:pPr>
        <w:shd w:val="clear" w:color="auto" w:fill="FFFFFF"/>
        <w:spacing w:after="24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shd w:val="clear" w:color="auto" w:fill="FFFFFF"/>
        </w:rPr>
        <w:t>A:</w:t>
      </w:r>
      <w:r w:rsidRPr="00A97B16">
        <w:rPr>
          <w:rFonts w:ascii="Calibri" w:eastAsia="Times New Roman" w:hAnsi="Calibri" w:cs="Calibri"/>
          <w:color w:val="000000"/>
          <w:bdr w:val="none" w:sz="0" w:space="0" w:color="auto" w:frame="1"/>
          <w:shd w:val="clear" w:color="auto" w:fill="FFFFFF"/>
        </w:rPr>
        <w:t> Unfortunately there is not.</w:t>
      </w:r>
    </w:p>
    <w:p w14:paraId="0C980D55"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Should applications focus on one or both of the objectives found in the Notice of Funding Opportunity?</w:t>
      </w:r>
    </w:p>
    <w:p w14:paraId="40443A4A"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rPr>
        <w:t>A:</w:t>
      </w:r>
      <w:r w:rsidRPr="00A97B16">
        <w:rPr>
          <w:rFonts w:ascii="Calibri" w:eastAsia="Times New Roman" w:hAnsi="Calibri" w:cs="Calibri"/>
          <w:color w:val="000000"/>
        </w:rPr>
        <w:t> We refer you to the wording of the Notice of Funding Opportunity for all requirements in submitting a proposal.</w:t>
      </w:r>
    </w:p>
    <w:p w14:paraId="147CFC81"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color w:val="000000"/>
          <w:bdr w:val="none" w:sz="0" w:space="0" w:color="auto" w:frame="1"/>
        </w:rPr>
        <w:t> </w:t>
      </w:r>
    </w:p>
    <w:p w14:paraId="19EFAF9E"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xml:space="preserve"> Given receipt of funding, does it comport with U.S. Department of State rules </w:t>
      </w:r>
      <w:r w:rsidRPr="00A97B16">
        <w:rPr>
          <w:rFonts w:ascii="Calibri" w:eastAsia="Times New Roman" w:hAnsi="Calibri" w:cs="Calibri"/>
          <w:color w:val="000000" w:themeColor="text1"/>
          <w:bdr w:val="none" w:sz="0" w:space="0" w:color="auto" w:frame="1"/>
        </w:rPr>
        <w:t>to reimburse participants in project activities for transportation and other costs incurred as a result of participation in program activities?</w:t>
      </w:r>
    </w:p>
    <w:p w14:paraId="3F7BD062"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A:</w:t>
      </w:r>
      <w:r w:rsidRPr="00A97B16">
        <w:rPr>
          <w:rFonts w:ascii="Calibri" w:eastAsia="Times New Roman" w:hAnsi="Calibri" w:cs="Calibri"/>
          <w:color w:val="000000" w:themeColor="text1"/>
        </w:rPr>
        <w:t xml:space="preserve"> As required by 2 CFR 200, all costs must be reasonable, allocable, and allowable.</w:t>
      </w:r>
    </w:p>
    <w:p w14:paraId="0BF6231C" w14:textId="19996F11"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p>
    <w:p w14:paraId="7CADA509"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222222"/>
          <w:sz w:val="24"/>
          <w:szCs w:val="24"/>
        </w:rPr>
      </w:pPr>
      <w:r w:rsidRPr="00A97B16">
        <w:rPr>
          <w:rFonts w:ascii="Calibri" w:eastAsia="Times New Roman" w:hAnsi="Calibri" w:cs="Calibri"/>
          <w:b/>
          <w:bCs/>
          <w:color w:val="000000"/>
          <w:bdr w:val="none" w:sz="0" w:space="0" w:color="auto" w:frame="1"/>
        </w:rPr>
        <w:t>Q:</w:t>
      </w:r>
      <w:r w:rsidRPr="00A97B16">
        <w:rPr>
          <w:rFonts w:ascii="Calibri" w:eastAsia="Times New Roman" w:hAnsi="Calibri" w:cs="Calibri"/>
          <w:color w:val="000000"/>
          <w:bdr w:val="none" w:sz="0" w:space="0" w:color="auto" w:frame="1"/>
        </w:rPr>
        <w:t> Given receipt of funding, does it comport with U.S. Department of State rules to provide sub-grants to implementing partners?</w:t>
      </w:r>
    </w:p>
    <w:p w14:paraId="43736D1D" w14:textId="042ACDFB" w:rsidR="00A97B16" w:rsidRPr="00613D66" w:rsidRDefault="00A97B16" w:rsidP="00A97B16">
      <w:pPr>
        <w:shd w:val="clear" w:color="auto" w:fill="FFFFFF"/>
        <w:spacing w:after="0" w:line="240" w:lineRule="auto"/>
        <w:rPr>
          <w:rFonts w:ascii="Times New Roman" w:eastAsia="Times New Roman" w:hAnsi="Times New Roman" w:cs="Times New Roman"/>
          <w:sz w:val="24"/>
          <w:szCs w:val="24"/>
        </w:rPr>
      </w:pPr>
      <w:r w:rsidRPr="00613D66">
        <w:rPr>
          <w:rFonts w:ascii="Calibri" w:eastAsia="Times New Roman" w:hAnsi="Calibri" w:cs="Calibri"/>
          <w:b/>
          <w:bCs/>
          <w:bdr w:val="none" w:sz="0" w:space="0" w:color="auto" w:frame="1"/>
        </w:rPr>
        <w:t>A:</w:t>
      </w:r>
      <w:r w:rsidRPr="00613D66">
        <w:rPr>
          <w:rFonts w:ascii="Calibri" w:eastAsia="Times New Roman" w:hAnsi="Calibri" w:cs="Calibri"/>
          <w:bdr w:val="none" w:sz="0" w:space="0" w:color="auto" w:frame="1"/>
        </w:rPr>
        <w:t xml:space="preserve"> </w:t>
      </w:r>
      <w:r w:rsidR="00613D66" w:rsidRPr="00613D66">
        <w:rPr>
          <w:rFonts w:ascii="Calibri" w:eastAsia="Times New Roman" w:hAnsi="Calibri" w:cs="Calibri"/>
          <w:bdr w:val="none" w:sz="0" w:space="0" w:color="auto" w:frame="1"/>
        </w:rPr>
        <w:t>Yes</w:t>
      </w:r>
      <w:r w:rsidR="00375732">
        <w:rPr>
          <w:rFonts w:ascii="Calibri" w:eastAsia="Times New Roman" w:hAnsi="Calibri" w:cs="Calibri"/>
          <w:bdr w:val="none" w:sz="0" w:space="0" w:color="auto" w:frame="1"/>
        </w:rPr>
        <w:t>, sub-grants may be proposed</w:t>
      </w:r>
      <w:bookmarkStart w:id="0" w:name="_GoBack"/>
      <w:bookmarkEnd w:id="0"/>
      <w:r w:rsidR="00613D66" w:rsidRPr="00613D66">
        <w:rPr>
          <w:rFonts w:ascii="Calibri" w:eastAsia="Times New Roman" w:hAnsi="Calibri" w:cs="Calibri"/>
          <w:bdr w:val="none" w:sz="0" w:space="0" w:color="auto" w:frame="1"/>
        </w:rPr>
        <w:t xml:space="preserve">. </w:t>
      </w:r>
      <w:r w:rsidRPr="00613D66">
        <w:rPr>
          <w:rFonts w:ascii="Calibri" w:eastAsia="Times New Roman" w:hAnsi="Calibri" w:cs="Calibri"/>
          <w:bdr w:val="none" w:sz="0" w:space="0" w:color="auto" w:frame="1"/>
        </w:rPr>
        <w:t>As required by 2 CFR 200, all costs must be reasonable, allocable, and allowable.</w:t>
      </w:r>
    </w:p>
    <w:p w14:paraId="4226AB76" w14:textId="77777777" w:rsidR="004E283A" w:rsidRPr="00A97B16" w:rsidRDefault="004E283A" w:rsidP="00A97B16">
      <w:pPr>
        <w:shd w:val="clear" w:color="auto" w:fill="FFFFFF"/>
        <w:spacing w:after="0" w:line="240" w:lineRule="auto"/>
        <w:rPr>
          <w:rFonts w:ascii="Times New Roman" w:eastAsia="Times New Roman" w:hAnsi="Times New Roman" w:cs="Times New Roman"/>
          <w:color w:val="000000" w:themeColor="text1"/>
          <w:sz w:val="24"/>
          <w:szCs w:val="24"/>
        </w:rPr>
      </w:pPr>
    </w:p>
    <w:p w14:paraId="7EC30954"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rPr>
        <w:t>Q:</w:t>
      </w:r>
      <w:r w:rsidRPr="00A97B16">
        <w:rPr>
          <w:rFonts w:ascii="Calibri" w:eastAsia="Times New Roman" w:hAnsi="Calibri" w:cs="Calibri"/>
          <w:color w:val="000000" w:themeColor="text1"/>
        </w:rPr>
        <w:t> We were hoping for clarification about sub-contracting.  In addition to consortium partners, the proposal may include sub-contractors some of whom could remain under 25k per annum and others above. To what extent does each and every sub-contractor need a DUNS?</w:t>
      </w:r>
    </w:p>
    <w:p w14:paraId="78A1F47E" w14:textId="49853DB4" w:rsidR="00A97B16" w:rsidRPr="000E103B" w:rsidRDefault="00A97B16" w:rsidP="00A97B16">
      <w:pPr>
        <w:shd w:val="clear" w:color="auto" w:fill="FFFFFF"/>
        <w:spacing w:after="0" w:line="240" w:lineRule="auto"/>
        <w:rPr>
          <w:rFonts w:ascii="Calibri" w:eastAsia="Times New Roman" w:hAnsi="Calibri" w:cs="Calibri"/>
          <w:color w:val="000000" w:themeColor="text1"/>
        </w:rPr>
      </w:pPr>
      <w:r w:rsidRPr="00A97B16">
        <w:rPr>
          <w:rFonts w:ascii="Calibri" w:eastAsia="Times New Roman" w:hAnsi="Calibri" w:cs="Calibri"/>
          <w:color w:val="000000" w:themeColor="text1"/>
        </w:rPr>
        <w:t>A: Sub-recipients are required to be registered in SAM.gov, prior to execution of sub-agreements.</w:t>
      </w:r>
      <w:r w:rsidR="004E283A" w:rsidRPr="000E103B">
        <w:rPr>
          <w:rFonts w:ascii="Calibri" w:eastAsia="Times New Roman" w:hAnsi="Calibri" w:cs="Calibri"/>
          <w:color w:val="000000" w:themeColor="text1"/>
        </w:rPr>
        <w:t xml:space="preserve"> </w:t>
      </w:r>
      <w:r w:rsidRPr="00A97B16">
        <w:rPr>
          <w:rFonts w:ascii="Calibri" w:eastAsia="Times New Roman" w:hAnsi="Calibri" w:cs="Calibri"/>
          <w:color w:val="000000" w:themeColor="text1"/>
        </w:rPr>
        <w:t xml:space="preserve"> There are limited exceptions provided under 2 CFR 25.110.</w:t>
      </w:r>
    </w:p>
    <w:p w14:paraId="782D6E38"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color w:val="000000" w:themeColor="text1"/>
        </w:rPr>
        <w:t> </w:t>
      </w:r>
    </w:p>
    <w:p w14:paraId="01EA62A4"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Q:</w:t>
      </w:r>
      <w:r w:rsidRPr="00A97B16">
        <w:rPr>
          <w:rFonts w:ascii="Calibri" w:eastAsia="Times New Roman" w:hAnsi="Calibri" w:cs="Calibri"/>
          <w:color w:val="000000" w:themeColor="text1"/>
          <w:bdr w:val="none" w:sz="0" w:space="0" w:color="auto" w:frame="1"/>
        </w:rPr>
        <w:t> Does the U.S. Department of State have guidelines or a template for the “Theory of Change” section of the application?</w:t>
      </w:r>
    </w:p>
    <w:p w14:paraId="17D6F0A4"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A:</w:t>
      </w:r>
      <w:r w:rsidRPr="00A97B16">
        <w:rPr>
          <w:rFonts w:ascii="Calibri" w:eastAsia="Times New Roman" w:hAnsi="Calibri" w:cs="Calibri"/>
          <w:color w:val="000000" w:themeColor="text1"/>
          <w:bdr w:val="none" w:sz="0" w:space="0" w:color="auto" w:frame="1"/>
        </w:rPr>
        <w:t> We do not.</w:t>
      </w:r>
    </w:p>
    <w:p w14:paraId="2BDA8CDD"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color w:val="000000" w:themeColor="text1"/>
        </w:rPr>
        <w:t> </w:t>
      </w:r>
    </w:p>
    <w:p w14:paraId="7A5AB720" w14:textId="77777777" w:rsidR="00A97B16" w:rsidRPr="00A97B16"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Q:</w:t>
      </w:r>
      <w:r w:rsidRPr="00A97B16">
        <w:rPr>
          <w:rFonts w:ascii="Calibri" w:eastAsia="Times New Roman" w:hAnsi="Calibri" w:cs="Calibri"/>
          <w:color w:val="000000" w:themeColor="text1"/>
          <w:bdr w:val="none" w:sz="0" w:space="0" w:color="auto" w:frame="1"/>
        </w:rPr>
        <w:t> In relation to Objective 2, does the U.S. Department of State consider judges, prosecutors, and associated staff to be “local government and security actors"?</w:t>
      </w:r>
    </w:p>
    <w:p w14:paraId="42F6562F" w14:textId="252EA664" w:rsidR="00FB6B4F" w:rsidRPr="000E103B" w:rsidRDefault="00A97B16" w:rsidP="00A97B16">
      <w:pPr>
        <w:shd w:val="clear" w:color="auto" w:fill="FFFFFF"/>
        <w:spacing w:after="0" w:line="240" w:lineRule="auto"/>
        <w:rPr>
          <w:rFonts w:ascii="Times New Roman" w:eastAsia="Times New Roman" w:hAnsi="Times New Roman" w:cs="Times New Roman"/>
          <w:color w:val="000000" w:themeColor="text1"/>
          <w:sz w:val="24"/>
          <w:szCs w:val="24"/>
        </w:rPr>
      </w:pPr>
      <w:r w:rsidRPr="00A97B16">
        <w:rPr>
          <w:rFonts w:ascii="Calibri" w:eastAsia="Times New Roman" w:hAnsi="Calibri" w:cs="Calibri"/>
          <w:b/>
          <w:bCs/>
          <w:color w:val="000000" w:themeColor="text1"/>
          <w:bdr w:val="none" w:sz="0" w:space="0" w:color="auto" w:frame="1"/>
        </w:rPr>
        <w:t>A:</w:t>
      </w:r>
      <w:r w:rsidRPr="00A97B16">
        <w:rPr>
          <w:rFonts w:ascii="Calibri" w:eastAsia="Times New Roman" w:hAnsi="Calibri" w:cs="Calibri"/>
          <w:color w:val="000000" w:themeColor="text1"/>
          <w:bdr w:val="none" w:sz="0" w:space="0" w:color="auto" w:frame="1"/>
        </w:rPr>
        <w:t> Yes.</w:t>
      </w:r>
    </w:p>
    <w:sectPr w:rsidR="00FB6B4F" w:rsidRPr="000E10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536CC" w14:textId="77777777" w:rsidR="00613D66" w:rsidRDefault="00613D66" w:rsidP="00613D66">
      <w:pPr>
        <w:spacing w:after="0" w:line="240" w:lineRule="auto"/>
      </w:pPr>
      <w:r>
        <w:separator/>
      </w:r>
    </w:p>
  </w:endnote>
  <w:endnote w:type="continuationSeparator" w:id="0">
    <w:p w14:paraId="5FEE5B0D" w14:textId="77777777" w:rsidR="00613D66" w:rsidRDefault="00613D66" w:rsidP="00613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77CD0" w14:textId="77777777" w:rsidR="00613D66" w:rsidRDefault="00613D66" w:rsidP="00613D66">
      <w:pPr>
        <w:spacing w:after="0" w:line="240" w:lineRule="auto"/>
      </w:pPr>
      <w:r>
        <w:separator/>
      </w:r>
    </w:p>
  </w:footnote>
  <w:footnote w:type="continuationSeparator" w:id="0">
    <w:p w14:paraId="15FDBE7C" w14:textId="77777777" w:rsidR="00613D66" w:rsidRDefault="00613D66" w:rsidP="00613D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39C"/>
    <w:rsid w:val="000E103B"/>
    <w:rsid w:val="0037148B"/>
    <w:rsid w:val="00375732"/>
    <w:rsid w:val="003A2726"/>
    <w:rsid w:val="004877FD"/>
    <w:rsid w:val="004E283A"/>
    <w:rsid w:val="005B5429"/>
    <w:rsid w:val="005C2436"/>
    <w:rsid w:val="00613D66"/>
    <w:rsid w:val="007141C2"/>
    <w:rsid w:val="007620C3"/>
    <w:rsid w:val="007D76F9"/>
    <w:rsid w:val="008B7A88"/>
    <w:rsid w:val="008E6B79"/>
    <w:rsid w:val="00922C9F"/>
    <w:rsid w:val="00A2270F"/>
    <w:rsid w:val="00A97B16"/>
    <w:rsid w:val="00C12B9E"/>
    <w:rsid w:val="00F82958"/>
    <w:rsid w:val="00FB6B4F"/>
    <w:rsid w:val="00FC439C"/>
    <w:rsid w:val="00FF0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A196C8"/>
  <w15:chartTrackingRefBased/>
  <w15:docId w15:val="{B5C49DD7-9EDD-4BA6-A6B2-F87E2AB7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C43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C439C"/>
  </w:style>
  <w:style w:type="character" w:customStyle="1" w:styleId="eop">
    <w:name w:val="eop"/>
    <w:basedOn w:val="DefaultParagraphFont"/>
    <w:rsid w:val="00FC439C"/>
  </w:style>
  <w:style w:type="paragraph" w:styleId="NormalWeb">
    <w:name w:val="Normal (Web)"/>
    <w:basedOn w:val="Normal"/>
    <w:uiPriority w:val="99"/>
    <w:semiHidden/>
    <w:unhideWhenUsed/>
    <w:rsid w:val="00FB6B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8972">
      <w:bodyDiv w:val="1"/>
      <w:marLeft w:val="0"/>
      <w:marRight w:val="0"/>
      <w:marTop w:val="0"/>
      <w:marBottom w:val="0"/>
      <w:divBdr>
        <w:top w:val="none" w:sz="0" w:space="0" w:color="auto"/>
        <w:left w:val="none" w:sz="0" w:space="0" w:color="auto"/>
        <w:bottom w:val="none" w:sz="0" w:space="0" w:color="auto"/>
        <w:right w:val="none" w:sz="0" w:space="0" w:color="auto"/>
      </w:divBdr>
      <w:divsChild>
        <w:div w:id="1186747380">
          <w:marLeft w:val="0"/>
          <w:marRight w:val="0"/>
          <w:marTop w:val="0"/>
          <w:marBottom w:val="0"/>
          <w:divBdr>
            <w:top w:val="none" w:sz="0" w:space="0" w:color="auto"/>
            <w:left w:val="none" w:sz="0" w:space="0" w:color="auto"/>
            <w:bottom w:val="none" w:sz="0" w:space="0" w:color="auto"/>
            <w:right w:val="none" w:sz="0" w:space="0" w:color="auto"/>
          </w:divBdr>
        </w:div>
        <w:div w:id="1305698084">
          <w:marLeft w:val="0"/>
          <w:marRight w:val="0"/>
          <w:marTop w:val="0"/>
          <w:marBottom w:val="0"/>
          <w:divBdr>
            <w:top w:val="none" w:sz="0" w:space="0" w:color="auto"/>
            <w:left w:val="none" w:sz="0" w:space="0" w:color="auto"/>
            <w:bottom w:val="none" w:sz="0" w:space="0" w:color="auto"/>
            <w:right w:val="none" w:sz="0" w:space="0" w:color="auto"/>
          </w:divBdr>
        </w:div>
        <w:div w:id="912666501">
          <w:marLeft w:val="0"/>
          <w:marRight w:val="0"/>
          <w:marTop w:val="0"/>
          <w:marBottom w:val="0"/>
          <w:divBdr>
            <w:top w:val="none" w:sz="0" w:space="0" w:color="auto"/>
            <w:left w:val="none" w:sz="0" w:space="0" w:color="auto"/>
            <w:bottom w:val="none" w:sz="0" w:space="0" w:color="auto"/>
            <w:right w:val="none" w:sz="0" w:space="0" w:color="auto"/>
          </w:divBdr>
          <w:divsChild>
            <w:div w:id="264072963">
              <w:marLeft w:val="0"/>
              <w:marRight w:val="0"/>
              <w:marTop w:val="0"/>
              <w:marBottom w:val="0"/>
              <w:divBdr>
                <w:top w:val="none" w:sz="0" w:space="0" w:color="auto"/>
                <w:left w:val="none" w:sz="0" w:space="0" w:color="auto"/>
                <w:bottom w:val="none" w:sz="0" w:space="0" w:color="auto"/>
                <w:right w:val="none" w:sz="0" w:space="0" w:color="auto"/>
              </w:divBdr>
            </w:div>
            <w:div w:id="1843081872">
              <w:marLeft w:val="0"/>
              <w:marRight w:val="0"/>
              <w:marTop w:val="0"/>
              <w:marBottom w:val="0"/>
              <w:divBdr>
                <w:top w:val="none" w:sz="0" w:space="0" w:color="auto"/>
                <w:left w:val="none" w:sz="0" w:space="0" w:color="auto"/>
                <w:bottom w:val="none" w:sz="0" w:space="0" w:color="auto"/>
                <w:right w:val="none" w:sz="0" w:space="0" w:color="auto"/>
              </w:divBdr>
            </w:div>
            <w:div w:id="1564367874">
              <w:marLeft w:val="0"/>
              <w:marRight w:val="0"/>
              <w:marTop w:val="0"/>
              <w:marBottom w:val="0"/>
              <w:divBdr>
                <w:top w:val="none" w:sz="0" w:space="0" w:color="auto"/>
                <w:left w:val="none" w:sz="0" w:space="0" w:color="auto"/>
                <w:bottom w:val="none" w:sz="0" w:space="0" w:color="auto"/>
                <w:right w:val="none" w:sz="0" w:space="0" w:color="auto"/>
              </w:divBdr>
            </w:div>
            <w:div w:id="1827278987">
              <w:marLeft w:val="0"/>
              <w:marRight w:val="0"/>
              <w:marTop w:val="0"/>
              <w:marBottom w:val="0"/>
              <w:divBdr>
                <w:top w:val="none" w:sz="0" w:space="0" w:color="auto"/>
                <w:left w:val="none" w:sz="0" w:space="0" w:color="auto"/>
                <w:bottom w:val="none" w:sz="0" w:space="0" w:color="auto"/>
                <w:right w:val="none" w:sz="0" w:space="0" w:color="auto"/>
              </w:divBdr>
            </w:div>
          </w:divsChild>
        </w:div>
        <w:div w:id="701590850">
          <w:marLeft w:val="0"/>
          <w:marRight w:val="0"/>
          <w:marTop w:val="0"/>
          <w:marBottom w:val="0"/>
          <w:divBdr>
            <w:top w:val="none" w:sz="0" w:space="0" w:color="auto"/>
            <w:left w:val="none" w:sz="0" w:space="0" w:color="auto"/>
            <w:bottom w:val="none" w:sz="0" w:space="0" w:color="auto"/>
            <w:right w:val="none" w:sz="0" w:space="0" w:color="auto"/>
          </w:divBdr>
        </w:div>
        <w:div w:id="424695422">
          <w:marLeft w:val="0"/>
          <w:marRight w:val="0"/>
          <w:marTop w:val="0"/>
          <w:marBottom w:val="0"/>
          <w:divBdr>
            <w:top w:val="none" w:sz="0" w:space="0" w:color="auto"/>
            <w:left w:val="none" w:sz="0" w:space="0" w:color="auto"/>
            <w:bottom w:val="none" w:sz="0" w:space="0" w:color="auto"/>
            <w:right w:val="none" w:sz="0" w:space="0" w:color="auto"/>
          </w:divBdr>
        </w:div>
        <w:div w:id="226841826">
          <w:marLeft w:val="0"/>
          <w:marRight w:val="0"/>
          <w:marTop w:val="0"/>
          <w:marBottom w:val="0"/>
          <w:divBdr>
            <w:top w:val="none" w:sz="0" w:space="0" w:color="auto"/>
            <w:left w:val="none" w:sz="0" w:space="0" w:color="auto"/>
            <w:bottom w:val="none" w:sz="0" w:space="0" w:color="auto"/>
            <w:right w:val="none" w:sz="0" w:space="0" w:color="auto"/>
          </w:divBdr>
          <w:divsChild>
            <w:div w:id="921911996">
              <w:marLeft w:val="0"/>
              <w:marRight w:val="0"/>
              <w:marTop w:val="0"/>
              <w:marBottom w:val="0"/>
              <w:divBdr>
                <w:top w:val="none" w:sz="0" w:space="0" w:color="auto"/>
                <w:left w:val="none" w:sz="0" w:space="0" w:color="auto"/>
                <w:bottom w:val="none" w:sz="0" w:space="0" w:color="auto"/>
                <w:right w:val="none" w:sz="0" w:space="0" w:color="auto"/>
              </w:divBdr>
            </w:div>
            <w:div w:id="1425953994">
              <w:marLeft w:val="0"/>
              <w:marRight w:val="0"/>
              <w:marTop w:val="0"/>
              <w:marBottom w:val="0"/>
              <w:divBdr>
                <w:top w:val="none" w:sz="0" w:space="0" w:color="auto"/>
                <w:left w:val="none" w:sz="0" w:space="0" w:color="auto"/>
                <w:bottom w:val="none" w:sz="0" w:space="0" w:color="auto"/>
                <w:right w:val="none" w:sz="0" w:space="0" w:color="auto"/>
              </w:divBdr>
            </w:div>
            <w:div w:id="1538155281">
              <w:marLeft w:val="0"/>
              <w:marRight w:val="0"/>
              <w:marTop w:val="0"/>
              <w:marBottom w:val="0"/>
              <w:divBdr>
                <w:top w:val="none" w:sz="0" w:space="0" w:color="auto"/>
                <w:left w:val="none" w:sz="0" w:space="0" w:color="auto"/>
                <w:bottom w:val="none" w:sz="0" w:space="0" w:color="auto"/>
                <w:right w:val="none" w:sz="0" w:space="0" w:color="auto"/>
              </w:divBdr>
            </w:div>
            <w:div w:id="824013726">
              <w:marLeft w:val="0"/>
              <w:marRight w:val="0"/>
              <w:marTop w:val="0"/>
              <w:marBottom w:val="0"/>
              <w:divBdr>
                <w:top w:val="none" w:sz="0" w:space="0" w:color="auto"/>
                <w:left w:val="none" w:sz="0" w:space="0" w:color="auto"/>
                <w:bottom w:val="none" w:sz="0" w:space="0" w:color="auto"/>
                <w:right w:val="none" w:sz="0" w:space="0" w:color="auto"/>
              </w:divBdr>
            </w:div>
            <w:div w:id="583880121">
              <w:marLeft w:val="0"/>
              <w:marRight w:val="0"/>
              <w:marTop w:val="0"/>
              <w:marBottom w:val="0"/>
              <w:divBdr>
                <w:top w:val="none" w:sz="0" w:space="0" w:color="auto"/>
                <w:left w:val="none" w:sz="0" w:space="0" w:color="auto"/>
                <w:bottom w:val="none" w:sz="0" w:space="0" w:color="auto"/>
                <w:right w:val="none" w:sz="0" w:space="0" w:color="auto"/>
              </w:divBdr>
            </w:div>
            <w:div w:id="1108888062">
              <w:marLeft w:val="0"/>
              <w:marRight w:val="0"/>
              <w:marTop w:val="0"/>
              <w:marBottom w:val="0"/>
              <w:divBdr>
                <w:top w:val="none" w:sz="0" w:space="0" w:color="auto"/>
                <w:left w:val="none" w:sz="0" w:space="0" w:color="auto"/>
                <w:bottom w:val="none" w:sz="0" w:space="0" w:color="auto"/>
                <w:right w:val="none" w:sz="0" w:space="0" w:color="auto"/>
              </w:divBdr>
            </w:div>
            <w:div w:id="722338914">
              <w:marLeft w:val="0"/>
              <w:marRight w:val="0"/>
              <w:marTop w:val="0"/>
              <w:marBottom w:val="0"/>
              <w:divBdr>
                <w:top w:val="none" w:sz="0" w:space="0" w:color="auto"/>
                <w:left w:val="none" w:sz="0" w:space="0" w:color="auto"/>
                <w:bottom w:val="none" w:sz="0" w:space="0" w:color="auto"/>
                <w:right w:val="none" w:sz="0" w:space="0" w:color="auto"/>
              </w:divBdr>
            </w:div>
            <w:div w:id="497622225">
              <w:marLeft w:val="0"/>
              <w:marRight w:val="0"/>
              <w:marTop w:val="0"/>
              <w:marBottom w:val="0"/>
              <w:divBdr>
                <w:top w:val="none" w:sz="0" w:space="0" w:color="auto"/>
                <w:left w:val="none" w:sz="0" w:space="0" w:color="auto"/>
                <w:bottom w:val="none" w:sz="0" w:space="0" w:color="auto"/>
                <w:right w:val="none" w:sz="0" w:space="0" w:color="auto"/>
              </w:divBdr>
            </w:div>
            <w:div w:id="298653465">
              <w:marLeft w:val="0"/>
              <w:marRight w:val="0"/>
              <w:marTop w:val="0"/>
              <w:marBottom w:val="0"/>
              <w:divBdr>
                <w:top w:val="none" w:sz="0" w:space="0" w:color="auto"/>
                <w:left w:val="none" w:sz="0" w:space="0" w:color="auto"/>
                <w:bottom w:val="none" w:sz="0" w:space="0" w:color="auto"/>
                <w:right w:val="none" w:sz="0" w:space="0" w:color="auto"/>
              </w:divBdr>
            </w:div>
            <w:div w:id="972250027">
              <w:marLeft w:val="0"/>
              <w:marRight w:val="0"/>
              <w:marTop w:val="0"/>
              <w:marBottom w:val="0"/>
              <w:divBdr>
                <w:top w:val="none" w:sz="0" w:space="0" w:color="auto"/>
                <w:left w:val="none" w:sz="0" w:space="0" w:color="auto"/>
                <w:bottom w:val="none" w:sz="0" w:space="0" w:color="auto"/>
                <w:right w:val="none" w:sz="0" w:space="0" w:color="auto"/>
              </w:divBdr>
            </w:div>
            <w:div w:id="1621256085">
              <w:marLeft w:val="0"/>
              <w:marRight w:val="0"/>
              <w:marTop w:val="0"/>
              <w:marBottom w:val="0"/>
              <w:divBdr>
                <w:top w:val="none" w:sz="0" w:space="0" w:color="auto"/>
                <w:left w:val="none" w:sz="0" w:space="0" w:color="auto"/>
                <w:bottom w:val="none" w:sz="0" w:space="0" w:color="auto"/>
                <w:right w:val="none" w:sz="0" w:space="0" w:color="auto"/>
              </w:divBdr>
            </w:div>
            <w:div w:id="1396783152">
              <w:marLeft w:val="0"/>
              <w:marRight w:val="0"/>
              <w:marTop w:val="0"/>
              <w:marBottom w:val="0"/>
              <w:divBdr>
                <w:top w:val="none" w:sz="0" w:space="0" w:color="auto"/>
                <w:left w:val="none" w:sz="0" w:space="0" w:color="auto"/>
                <w:bottom w:val="none" w:sz="0" w:space="0" w:color="auto"/>
                <w:right w:val="none" w:sz="0" w:space="0" w:color="auto"/>
              </w:divBdr>
            </w:div>
            <w:div w:id="228735477">
              <w:marLeft w:val="0"/>
              <w:marRight w:val="0"/>
              <w:marTop w:val="0"/>
              <w:marBottom w:val="0"/>
              <w:divBdr>
                <w:top w:val="none" w:sz="0" w:space="0" w:color="auto"/>
                <w:left w:val="none" w:sz="0" w:space="0" w:color="auto"/>
                <w:bottom w:val="none" w:sz="0" w:space="0" w:color="auto"/>
                <w:right w:val="none" w:sz="0" w:space="0" w:color="auto"/>
              </w:divBdr>
              <w:divsChild>
                <w:div w:id="859588612">
                  <w:marLeft w:val="0"/>
                  <w:marRight w:val="0"/>
                  <w:marTop w:val="0"/>
                  <w:marBottom w:val="0"/>
                  <w:divBdr>
                    <w:top w:val="none" w:sz="0" w:space="0" w:color="auto"/>
                    <w:left w:val="none" w:sz="0" w:space="0" w:color="auto"/>
                    <w:bottom w:val="none" w:sz="0" w:space="0" w:color="auto"/>
                    <w:right w:val="none" w:sz="0" w:space="0" w:color="auto"/>
                  </w:divBdr>
                </w:div>
                <w:div w:id="1583025936">
                  <w:marLeft w:val="0"/>
                  <w:marRight w:val="0"/>
                  <w:marTop w:val="0"/>
                  <w:marBottom w:val="0"/>
                  <w:divBdr>
                    <w:top w:val="none" w:sz="0" w:space="0" w:color="auto"/>
                    <w:left w:val="none" w:sz="0" w:space="0" w:color="auto"/>
                    <w:bottom w:val="none" w:sz="0" w:space="0" w:color="auto"/>
                    <w:right w:val="none" w:sz="0" w:space="0" w:color="auto"/>
                  </w:divBdr>
                </w:div>
                <w:div w:id="1418474959">
                  <w:marLeft w:val="0"/>
                  <w:marRight w:val="0"/>
                  <w:marTop w:val="0"/>
                  <w:marBottom w:val="0"/>
                  <w:divBdr>
                    <w:top w:val="none" w:sz="0" w:space="0" w:color="auto"/>
                    <w:left w:val="none" w:sz="0" w:space="0" w:color="auto"/>
                    <w:bottom w:val="none" w:sz="0" w:space="0" w:color="auto"/>
                    <w:right w:val="none" w:sz="0" w:space="0" w:color="auto"/>
                  </w:divBdr>
                </w:div>
                <w:div w:id="1655447942">
                  <w:marLeft w:val="0"/>
                  <w:marRight w:val="0"/>
                  <w:marTop w:val="0"/>
                  <w:marBottom w:val="0"/>
                  <w:divBdr>
                    <w:top w:val="none" w:sz="0" w:space="0" w:color="auto"/>
                    <w:left w:val="none" w:sz="0" w:space="0" w:color="auto"/>
                    <w:bottom w:val="none" w:sz="0" w:space="0" w:color="auto"/>
                    <w:right w:val="none" w:sz="0" w:space="0" w:color="auto"/>
                  </w:divBdr>
                </w:div>
                <w:div w:id="600145024">
                  <w:marLeft w:val="0"/>
                  <w:marRight w:val="0"/>
                  <w:marTop w:val="0"/>
                  <w:marBottom w:val="0"/>
                  <w:divBdr>
                    <w:top w:val="none" w:sz="0" w:space="0" w:color="auto"/>
                    <w:left w:val="none" w:sz="0" w:space="0" w:color="auto"/>
                    <w:bottom w:val="none" w:sz="0" w:space="0" w:color="auto"/>
                    <w:right w:val="none" w:sz="0" w:space="0" w:color="auto"/>
                  </w:divBdr>
                </w:div>
                <w:div w:id="1603685102">
                  <w:marLeft w:val="0"/>
                  <w:marRight w:val="0"/>
                  <w:marTop w:val="0"/>
                  <w:marBottom w:val="0"/>
                  <w:divBdr>
                    <w:top w:val="none" w:sz="0" w:space="0" w:color="auto"/>
                    <w:left w:val="none" w:sz="0" w:space="0" w:color="auto"/>
                    <w:bottom w:val="none" w:sz="0" w:space="0" w:color="auto"/>
                    <w:right w:val="none" w:sz="0" w:space="0" w:color="auto"/>
                  </w:divBdr>
                </w:div>
                <w:div w:id="591817202">
                  <w:marLeft w:val="0"/>
                  <w:marRight w:val="0"/>
                  <w:marTop w:val="0"/>
                  <w:marBottom w:val="0"/>
                  <w:divBdr>
                    <w:top w:val="none" w:sz="0" w:space="0" w:color="auto"/>
                    <w:left w:val="none" w:sz="0" w:space="0" w:color="auto"/>
                    <w:bottom w:val="none" w:sz="0" w:space="0" w:color="auto"/>
                    <w:right w:val="none" w:sz="0" w:space="0" w:color="auto"/>
                  </w:divBdr>
                </w:div>
              </w:divsChild>
            </w:div>
            <w:div w:id="280691900">
              <w:marLeft w:val="0"/>
              <w:marRight w:val="0"/>
              <w:marTop w:val="0"/>
              <w:marBottom w:val="0"/>
              <w:divBdr>
                <w:top w:val="none" w:sz="0" w:space="0" w:color="auto"/>
                <w:left w:val="none" w:sz="0" w:space="0" w:color="auto"/>
                <w:bottom w:val="none" w:sz="0" w:space="0" w:color="auto"/>
                <w:right w:val="none" w:sz="0" w:space="0" w:color="auto"/>
              </w:divBdr>
            </w:div>
            <w:div w:id="390077160">
              <w:marLeft w:val="0"/>
              <w:marRight w:val="0"/>
              <w:marTop w:val="0"/>
              <w:marBottom w:val="0"/>
              <w:divBdr>
                <w:top w:val="none" w:sz="0" w:space="0" w:color="auto"/>
                <w:left w:val="none" w:sz="0" w:space="0" w:color="auto"/>
                <w:bottom w:val="none" w:sz="0" w:space="0" w:color="auto"/>
                <w:right w:val="none" w:sz="0" w:space="0" w:color="auto"/>
              </w:divBdr>
            </w:div>
            <w:div w:id="913048177">
              <w:marLeft w:val="0"/>
              <w:marRight w:val="0"/>
              <w:marTop w:val="0"/>
              <w:marBottom w:val="0"/>
              <w:divBdr>
                <w:top w:val="none" w:sz="0" w:space="0" w:color="auto"/>
                <w:left w:val="none" w:sz="0" w:space="0" w:color="auto"/>
                <w:bottom w:val="none" w:sz="0" w:space="0" w:color="auto"/>
                <w:right w:val="none" w:sz="0" w:space="0" w:color="auto"/>
              </w:divBdr>
            </w:div>
            <w:div w:id="11057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5642">
      <w:bodyDiv w:val="1"/>
      <w:marLeft w:val="0"/>
      <w:marRight w:val="0"/>
      <w:marTop w:val="0"/>
      <w:marBottom w:val="0"/>
      <w:divBdr>
        <w:top w:val="none" w:sz="0" w:space="0" w:color="auto"/>
        <w:left w:val="none" w:sz="0" w:space="0" w:color="auto"/>
        <w:bottom w:val="none" w:sz="0" w:space="0" w:color="auto"/>
        <w:right w:val="none" w:sz="0" w:space="0" w:color="auto"/>
      </w:divBdr>
    </w:div>
    <w:div w:id="466747710">
      <w:bodyDiv w:val="1"/>
      <w:marLeft w:val="0"/>
      <w:marRight w:val="0"/>
      <w:marTop w:val="0"/>
      <w:marBottom w:val="0"/>
      <w:divBdr>
        <w:top w:val="none" w:sz="0" w:space="0" w:color="auto"/>
        <w:left w:val="none" w:sz="0" w:space="0" w:color="auto"/>
        <w:bottom w:val="none" w:sz="0" w:space="0" w:color="auto"/>
        <w:right w:val="none" w:sz="0" w:space="0" w:color="auto"/>
      </w:divBdr>
    </w:div>
    <w:div w:id="595285054">
      <w:bodyDiv w:val="1"/>
      <w:marLeft w:val="0"/>
      <w:marRight w:val="0"/>
      <w:marTop w:val="0"/>
      <w:marBottom w:val="0"/>
      <w:divBdr>
        <w:top w:val="none" w:sz="0" w:space="0" w:color="auto"/>
        <w:left w:val="none" w:sz="0" w:space="0" w:color="auto"/>
        <w:bottom w:val="none" w:sz="0" w:space="0" w:color="auto"/>
        <w:right w:val="none" w:sz="0" w:space="0" w:color="auto"/>
      </w:divBdr>
    </w:div>
    <w:div w:id="629241080">
      <w:bodyDiv w:val="1"/>
      <w:marLeft w:val="0"/>
      <w:marRight w:val="0"/>
      <w:marTop w:val="0"/>
      <w:marBottom w:val="0"/>
      <w:divBdr>
        <w:top w:val="none" w:sz="0" w:space="0" w:color="auto"/>
        <w:left w:val="none" w:sz="0" w:space="0" w:color="auto"/>
        <w:bottom w:val="none" w:sz="0" w:space="0" w:color="auto"/>
        <w:right w:val="none" w:sz="0" w:space="0" w:color="auto"/>
      </w:divBdr>
    </w:div>
    <w:div w:id="687831487">
      <w:bodyDiv w:val="1"/>
      <w:marLeft w:val="0"/>
      <w:marRight w:val="0"/>
      <w:marTop w:val="0"/>
      <w:marBottom w:val="0"/>
      <w:divBdr>
        <w:top w:val="none" w:sz="0" w:space="0" w:color="auto"/>
        <w:left w:val="none" w:sz="0" w:space="0" w:color="auto"/>
        <w:bottom w:val="none" w:sz="0" w:space="0" w:color="auto"/>
        <w:right w:val="none" w:sz="0" w:space="0" w:color="auto"/>
      </w:divBdr>
    </w:div>
    <w:div w:id="70328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973C906728141BBADE6BC345B57A3" ma:contentTypeVersion="7" ma:contentTypeDescription="Create a new document." ma:contentTypeScope="" ma:versionID="0cd48e07fb24c79794580cb98d937e8a">
  <xsd:schema xmlns:xsd="http://www.w3.org/2001/XMLSchema" xmlns:xs="http://www.w3.org/2001/XMLSchema" xmlns:p="http://schemas.microsoft.com/office/2006/metadata/properties" xmlns:ns3="ab61abf7-49d8-439d-9156-b2e0a8d55f05" targetNamespace="http://schemas.microsoft.com/office/2006/metadata/properties" ma:root="true" ma:fieldsID="9b607c53a104805cc9a0fb4e6e9e8761" ns3:_="">
    <xsd:import namespace="ab61abf7-49d8-439d-9156-b2e0a8d55f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1abf7-49d8-439d-9156-b2e0a8d55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AA8F1-3DE5-4CAF-A6DF-6CCFA3E78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1abf7-49d8-439d-9156-b2e0a8d55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A720E-5670-44B5-802C-B899F5CF0BD5}">
  <ds:schemaRefs>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microsoft.com/office/2006/metadata/properties"/>
    <ds:schemaRef ds:uri="http://schemas.openxmlformats.org/package/2006/metadata/core-properties"/>
    <ds:schemaRef ds:uri="ab61abf7-49d8-439d-9156-b2e0a8d55f05"/>
    <ds:schemaRef ds:uri="http://www.w3.org/XML/1998/namespace"/>
  </ds:schemaRefs>
</ds:datastoreItem>
</file>

<file path=customXml/itemProps3.xml><?xml version="1.0" encoding="utf-8"?>
<ds:datastoreItem xmlns:ds="http://schemas.openxmlformats.org/officeDocument/2006/customXml" ds:itemID="{5C98F690-3BF9-4D24-A4DC-9CD96C7D0B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Shorey</dc:creator>
  <cp:keywords/>
  <dc:description/>
  <cp:lastModifiedBy>Meghan Grzelak</cp:lastModifiedBy>
  <cp:revision>3</cp:revision>
  <dcterms:created xsi:type="dcterms:W3CDTF">2020-07-10T20:48:00Z</dcterms:created>
  <dcterms:modified xsi:type="dcterms:W3CDTF">2020-07-10T20:52:00Z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0x010100585973C906728141BBADE6BC345B57A3</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GrzelakMB@state.gov</vt:lpwstr>
  </property>
  <property fmtid="{D5CDD505-2E9C-101B-9397-08002B2CF9AE}" pid="6" name="MSIP_Label_1665d9ee-429a-4d5f-97cc-cfb56e044a6e_SetDate">
    <vt:lpwstr>2020-07-10T20:48:11.3451045Z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b8ffec59-09b8-4076-9ab0-841c49b3f771</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