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427" w:rsidRPr="00932427" w:rsidRDefault="00932427" w:rsidP="00932427">
      <w:pPr>
        <w:jc w:val="both"/>
        <w:rPr>
          <w:rFonts w:ascii="Times New Roman" w:hAnsi="Times New Roman"/>
          <w:b/>
          <w:bCs/>
          <w:sz w:val="24"/>
          <w:szCs w:val="24"/>
        </w:rPr>
      </w:pPr>
      <w:bookmarkStart w:id="0" w:name="_GoBack"/>
      <w:bookmarkEnd w:id="0"/>
    </w:p>
    <w:p w:rsidR="00932427" w:rsidRPr="00932427" w:rsidRDefault="00932427" w:rsidP="00932427">
      <w:pPr>
        <w:pStyle w:val="ListParagraph"/>
        <w:jc w:val="both"/>
        <w:rPr>
          <w:rFonts w:ascii="Times New Roman" w:hAnsi="Times New Roman"/>
          <w:sz w:val="24"/>
          <w:szCs w:val="24"/>
        </w:rPr>
      </w:pPr>
    </w:p>
    <w:p w:rsidR="00932427" w:rsidRPr="006C57D2" w:rsidRDefault="006C57D2" w:rsidP="006C57D2">
      <w:pPr>
        <w:pStyle w:val="ListParagraph"/>
        <w:numPr>
          <w:ilvl w:val="0"/>
          <w:numId w:val="4"/>
        </w:numPr>
        <w:rPr>
          <w:rFonts w:ascii="Times New Roman" w:hAnsi="Times New Roman"/>
          <w:b/>
          <w:sz w:val="24"/>
          <w:szCs w:val="24"/>
        </w:rPr>
      </w:pPr>
      <w:r>
        <w:rPr>
          <w:rFonts w:ascii="Times New Roman" w:hAnsi="Times New Roman"/>
          <w:b/>
          <w:sz w:val="24"/>
          <w:szCs w:val="24"/>
        </w:rPr>
        <w:t>Are t</w:t>
      </w:r>
      <w:r w:rsidRPr="006C57D2">
        <w:rPr>
          <w:rFonts w:ascii="Times New Roman" w:hAnsi="Times New Roman"/>
          <w:b/>
          <w:sz w:val="24"/>
          <w:szCs w:val="24"/>
        </w:rPr>
        <w:t xml:space="preserve">he National Competitions that are to be incorporated into the program are </w:t>
      </w:r>
      <w:r w:rsidR="000F67E6">
        <w:rPr>
          <w:rFonts w:ascii="Times New Roman" w:hAnsi="Times New Roman"/>
          <w:b/>
          <w:sz w:val="24"/>
          <w:szCs w:val="24"/>
        </w:rPr>
        <w:t>led</w:t>
      </w:r>
      <w:r>
        <w:rPr>
          <w:rFonts w:ascii="Times New Roman" w:hAnsi="Times New Roman"/>
          <w:b/>
          <w:sz w:val="24"/>
          <w:szCs w:val="24"/>
        </w:rPr>
        <w:t xml:space="preserve"> by ANCLO? </w:t>
      </w:r>
      <w:r w:rsidR="00932427" w:rsidRPr="006C57D2">
        <w:rPr>
          <w:rFonts w:ascii="Times New Roman" w:hAnsi="Times New Roman"/>
          <w:b/>
          <w:sz w:val="24"/>
          <w:szCs w:val="24"/>
        </w:rPr>
        <w:t>Does the ANCLO competition include the mediation skills as well? IF not then the implication is that there should be a National Mediation competition, separate from the ANCLO competition that the new applicants will be responsible to organize.</w:t>
      </w:r>
    </w:p>
    <w:p w:rsidR="00932427" w:rsidRPr="00E27C39" w:rsidRDefault="00932427" w:rsidP="00E27C39">
      <w:pPr>
        <w:jc w:val="both"/>
        <w:rPr>
          <w:rFonts w:ascii="Times New Roman" w:hAnsi="Times New Roman"/>
          <w:sz w:val="24"/>
          <w:szCs w:val="24"/>
          <w:highlight w:val="yellow"/>
        </w:rPr>
      </w:pPr>
    </w:p>
    <w:p w:rsidR="00932427" w:rsidRPr="00932427" w:rsidRDefault="006C57D2" w:rsidP="00932427">
      <w:pPr>
        <w:pStyle w:val="ListParagraph"/>
        <w:jc w:val="both"/>
        <w:rPr>
          <w:rFonts w:ascii="Times New Roman" w:hAnsi="Times New Roman"/>
          <w:bCs/>
          <w:sz w:val="24"/>
          <w:szCs w:val="24"/>
          <w:highlight w:val="yellow"/>
        </w:rPr>
      </w:pPr>
      <w:r w:rsidRPr="006C57D2">
        <w:rPr>
          <w:rFonts w:ascii="Times New Roman" w:hAnsi="Times New Roman"/>
          <w:b/>
          <w:bCs/>
          <w:sz w:val="24"/>
          <w:szCs w:val="24"/>
          <w:highlight w:val="yellow"/>
        </w:rPr>
        <w:t>INL A:</w:t>
      </w:r>
      <w:r>
        <w:rPr>
          <w:rFonts w:ascii="Times New Roman" w:hAnsi="Times New Roman"/>
          <w:bCs/>
          <w:sz w:val="24"/>
          <w:szCs w:val="24"/>
          <w:highlight w:val="yellow"/>
        </w:rPr>
        <w:t xml:space="preserve">  </w:t>
      </w:r>
      <w:r w:rsidR="00932427" w:rsidRPr="00932427">
        <w:rPr>
          <w:rFonts w:ascii="Times New Roman" w:hAnsi="Times New Roman"/>
          <w:bCs/>
          <w:sz w:val="24"/>
          <w:szCs w:val="24"/>
          <w:highlight w:val="yellow"/>
        </w:rPr>
        <w:t>The national competitions that are to be incorporated into the program are NOT lead by ANCLO.  The competitions are lead and organized by the grantee.  The grantee would be expected to “[t]</w:t>
      </w:r>
      <w:proofErr w:type="spellStart"/>
      <w:r w:rsidR="00932427" w:rsidRPr="00932427">
        <w:rPr>
          <w:rFonts w:ascii="Times New Roman" w:hAnsi="Times New Roman"/>
          <w:bCs/>
          <w:sz w:val="24"/>
          <w:szCs w:val="24"/>
          <w:highlight w:val="yellow"/>
        </w:rPr>
        <w:t>ake</w:t>
      </w:r>
      <w:proofErr w:type="spellEnd"/>
      <w:r w:rsidR="00932427" w:rsidRPr="00932427">
        <w:rPr>
          <w:rFonts w:ascii="Times New Roman" w:hAnsi="Times New Roman"/>
          <w:bCs/>
          <w:sz w:val="24"/>
          <w:szCs w:val="24"/>
          <w:highlight w:val="yellow"/>
        </w:rPr>
        <w:t xml:space="preserve"> a central, pro-active role in ANCLO” because they would effectively replace the existing leading institutions.</w:t>
      </w:r>
    </w:p>
    <w:p w:rsidR="00932427" w:rsidRPr="00932427" w:rsidRDefault="00932427" w:rsidP="00932427">
      <w:pPr>
        <w:pStyle w:val="ListParagraph"/>
        <w:jc w:val="both"/>
        <w:rPr>
          <w:rFonts w:ascii="Times New Roman" w:hAnsi="Times New Roman"/>
          <w:bCs/>
          <w:sz w:val="24"/>
          <w:szCs w:val="24"/>
          <w:highlight w:val="yellow"/>
        </w:rPr>
      </w:pPr>
    </w:p>
    <w:p w:rsidR="00932427" w:rsidRPr="00932427" w:rsidRDefault="00932427" w:rsidP="00932427">
      <w:pPr>
        <w:pStyle w:val="ListParagraph"/>
        <w:jc w:val="both"/>
        <w:rPr>
          <w:rFonts w:ascii="Times New Roman" w:hAnsi="Times New Roman"/>
          <w:bCs/>
          <w:sz w:val="24"/>
          <w:szCs w:val="24"/>
          <w:highlight w:val="yellow"/>
        </w:rPr>
      </w:pPr>
      <w:r w:rsidRPr="00932427">
        <w:rPr>
          <w:rFonts w:ascii="Times New Roman" w:hAnsi="Times New Roman"/>
          <w:bCs/>
          <w:sz w:val="24"/>
          <w:szCs w:val="24"/>
          <w:highlight w:val="yellow"/>
        </w:rPr>
        <w:t>As for mediation competitions, the grantee will also have to train, organize, promote and conduct the mock mediation in the same manner it would the mock trial competition.  That said, mock mediation competitions are newer, and therefore, not yet included in ANCLO.  The hope would be that the grantee could also incorporate elements of mock mediation competitions in ANCLO as a leading institution.</w:t>
      </w:r>
    </w:p>
    <w:p w:rsidR="00932427" w:rsidRPr="00932427" w:rsidRDefault="00932427" w:rsidP="00932427">
      <w:pPr>
        <w:pStyle w:val="ListParagraph"/>
        <w:jc w:val="both"/>
        <w:rPr>
          <w:rFonts w:ascii="Times New Roman" w:hAnsi="Times New Roman"/>
          <w:bCs/>
          <w:sz w:val="24"/>
          <w:szCs w:val="24"/>
          <w:highlight w:val="yellow"/>
        </w:rPr>
      </w:pPr>
    </w:p>
    <w:p w:rsidR="00932427" w:rsidRPr="00932427" w:rsidRDefault="00932427" w:rsidP="00932427">
      <w:pPr>
        <w:pStyle w:val="ListParagraph"/>
        <w:jc w:val="both"/>
        <w:rPr>
          <w:rFonts w:ascii="Times New Roman" w:hAnsi="Times New Roman"/>
          <w:bCs/>
          <w:sz w:val="24"/>
          <w:szCs w:val="24"/>
        </w:rPr>
      </w:pPr>
      <w:r w:rsidRPr="00932427">
        <w:rPr>
          <w:rFonts w:ascii="Times New Roman" w:hAnsi="Times New Roman"/>
          <w:bCs/>
          <w:sz w:val="24"/>
          <w:szCs w:val="24"/>
          <w:highlight w:val="yellow"/>
        </w:rPr>
        <w:t>To summarize, the grantee is expected to train, organize, promote and conduct BOTH the mock trial competition AND the mock mediation competition, each at a national level.</w:t>
      </w:r>
    </w:p>
    <w:p w:rsidR="00932427" w:rsidRPr="00932427" w:rsidRDefault="00932427" w:rsidP="00932427">
      <w:pPr>
        <w:ind w:left="720"/>
        <w:jc w:val="both"/>
        <w:rPr>
          <w:rFonts w:ascii="Times New Roman" w:eastAsia="Times New Roman" w:hAnsi="Times New Roman"/>
          <w:sz w:val="24"/>
          <w:szCs w:val="24"/>
          <w:highlight w:val="yellow"/>
        </w:rPr>
      </w:pPr>
    </w:p>
    <w:p w:rsidR="00932427" w:rsidRPr="006C57D2" w:rsidRDefault="00932427" w:rsidP="00932427">
      <w:pPr>
        <w:numPr>
          <w:ilvl w:val="0"/>
          <w:numId w:val="4"/>
        </w:numPr>
        <w:jc w:val="both"/>
        <w:rPr>
          <w:rFonts w:ascii="Times New Roman" w:eastAsia="Times New Roman" w:hAnsi="Times New Roman"/>
          <w:b/>
          <w:sz w:val="24"/>
          <w:szCs w:val="24"/>
        </w:rPr>
      </w:pPr>
      <w:r w:rsidRPr="006C57D2">
        <w:rPr>
          <w:rFonts w:ascii="Times New Roman" w:eastAsia="Times New Roman" w:hAnsi="Times New Roman"/>
          <w:b/>
          <w:sz w:val="24"/>
          <w:szCs w:val="24"/>
        </w:rPr>
        <w:t xml:space="preserve">According to the statement of work (SOW), we assume that the project is not responsible for financing the entire National Moot Court Competition, as this seems to be receiving financing from other sources or projects. Is this a correct assumption? </w:t>
      </w:r>
    </w:p>
    <w:p w:rsidR="00932427" w:rsidRPr="00932427" w:rsidRDefault="00932427" w:rsidP="00932427">
      <w:pPr>
        <w:ind w:left="720"/>
        <w:jc w:val="both"/>
        <w:rPr>
          <w:rFonts w:ascii="Times New Roman" w:eastAsia="Times New Roman" w:hAnsi="Times New Roman"/>
          <w:sz w:val="24"/>
          <w:szCs w:val="24"/>
          <w:highlight w:val="yellow"/>
        </w:rPr>
      </w:pPr>
    </w:p>
    <w:p w:rsidR="00932427" w:rsidRDefault="006C57D2" w:rsidP="00932427">
      <w:pPr>
        <w:ind w:left="720"/>
        <w:jc w:val="both"/>
        <w:rPr>
          <w:rFonts w:ascii="Times New Roman" w:eastAsia="Times New Roman" w:hAnsi="Times New Roman"/>
          <w:sz w:val="24"/>
          <w:szCs w:val="24"/>
        </w:rPr>
      </w:pPr>
      <w:r w:rsidRPr="006C57D2">
        <w:rPr>
          <w:rFonts w:ascii="Times New Roman" w:hAnsi="Times New Roman"/>
          <w:b/>
          <w:bCs/>
          <w:sz w:val="24"/>
          <w:szCs w:val="24"/>
          <w:highlight w:val="yellow"/>
        </w:rPr>
        <w:t>INL A</w:t>
      </w:r>
      <w:r>
        <w:rPr>
          <w:rFonts w:ascii="Times New Roman" w:hAnsi="Times New Roman"/>
          <w:bCs/>
          <w:sz w:val="24"/>
          <w:szCs w:val="24"/>
          <w:highlight w:val="yellow"/>
        </w:rPr>
        <w:t xml:space="preserve">:  </w:t>
      </w:r>
      <w:r>
        <w:rPr>
          <w:rFonts w:ascii="Times New Roman" w:eastAsia="Times New Roman" w:hAnsi="Times New Roman"/>
          <w:bCs/>
          <w:sz w:val="24"/>
          <w:szCs w:val="24"/>
          <w:highlight w:val="yellow"/>
        </w:rPr>
        <w:t>T</w:t>
      </w:r>
      <w:r w:rsidR="00932427" w:rsidRPr="00932427">
        <w:rPr>
          <w:rFonts w:ascii="Times New Roman" w:eastAsia="Times New Roman" w:hAnsi="Times New Roman"/>
          <w:bCs/>
          <w:sz w:val="24"/>
          <w:szCs w:val="24"/>
          <w:highlight w:val="yellow"/>
        </w:rPr>
        <w:t>his is not a correct assumption.</w:t>
      </w:r>
      <w:r w:rsidR="00932427" w:rsidRPr="00932427">
        <w:rPr>
          <w:rFonts w:ascii="Times New Roman" w:eastAsia="Times New Roman" w:hAnsi="Times New Roman"/>
          <w:sz w:val="24"/>
          <w:szCs w:val="24"/>
          <w:highlight w:val="yellow"/>
        </w:rPr>
        <w:t xml:space="preserve">  </w:t>
      </w:r>
      <w:r w:rsidR="00932427" w:rsidRPr="00932427">
        <w:rPr>
          <w:rFonts w:ascii="Times New Roman" w:eastAsia="Times New Roman" w:hAnsi="Times New Roman"/>
          <w:bCs/>
          <w:sz w:val="24"/>
          <w:szCs w:val="24"/>
          <w:highlight w:val="yellow"/>
        </w:rPr>
        <w:t>The grantee is expected to train, organize, promote and conduct both the mock trial competition and the mock mediation competition, each at a national level, and fund all activities related to these (including travel and logistics for all participants) with the amount awarded.</w:t>
      </w:r>
    </w:p>
    <w:p w:rsidR="00932427" w:rsidRDefault="00932427" w:rsidP="00932427">
      <w:pPr>
        <w:ind w:left="720"/>
        <w:jc w:val="both"/>
        <w:rPr>
          <w:rFonts w:ascii="Times New Roman" w:eastAsia="Times New Roman" w:hAnsi="Times New Roman"/>
          <w:sz w:val="24"/>
          <w:szCs w:val="24"/>
        </w:rPr>
      </w:pPr>
    </w:p>
    <w:p w:rsidR="00932427" w:rsidRPr="00932427" w:rsidRDefault="00932427" w:rsidP="00932427">
      <w:pPr>
        <w:ind w:left="720"/>
        <w:jc w:val="both"/>
        <w:rPr>
          <w:rFonts w:ascii="Times New Roman" w:eastAsia="Times New Roman" w:hAnsi="Times New Roman"/>
          <w:sz w:val="24"/>
          <w:szCs w:val="24"/>
          <w:highlight w:val="yellow"/>
        </w:rPr>
      </w:pPr>
      <w:r w:rsidRPr="00932427">
        <w:rPr>
          <w:rFonts w:ascii="Times New Roman" w:hAnsi="Times New Roman"/>
          <w:sz w:val="24"/>
          <w:szCs w:val="24"/>
        </w:rPr>
        <w:t xml:space="preserve">Otherwise, if the project must finance the National Moot Court Competition, should it cover the 32 Mexican states? </w:t>
      </w:r>
    </w:p>
    <w:p w:rsidR="00932427" w:rsidRPr="00932427" w:rsidRDefault="00932427" w:rsidP="00932427">
      <w:pPr>
        <w:ind w:left="708" w:firstLine="12"/>
        <w:jc w:val="both"/>
        <w:rPr>
          <w:rFonts w:ascii="Times New Roman" w:hAnsi="Times New Roman"/>
          <w:sz w:val="24"/>
          <w:szCs w:val="24"/>
        </w:rPr>
      </w:pPr>
    </w:p>
    <w:p w:rsidR="00932427" w:rsidRPr="00932427" w:rsidRDefault="006C57D2" w:rsidP="00932427">
      <w:pPr>
        <w:ind w:left="708" w:firstLine="12"/>
        <w:jc w:val="both"/>
        <w:rPr>
          <w:rFonts w:ascii="Times New Roman" w:hAnsi="Times New Roman"/>
          <w:sz w:val="24"/>
          <w:szCs w:val="24"/>
        </w:rPr>
      </w:pPr>
      <w:r w:rsidRPr="006C57D2">
        <w:rPr>
          <w:rFonts w:ascii="Times New Roman" w:hAnsi="Times New Roman"/>
          <w:b/>
          <w:bCs/>
          <w:sz w:val="24"/>
          <w:szCs w:val="24"/>
          <w:highlight w:val="yellow"/>
        </w:rPr>
        <w:t>INL A:</w:t>
      </w:r>
      <w:r>
        <w:rPr>
          <w:rFonts w:ascii="Times New Roman" w:hAnsi="Times New Roman"/>
          <w:bCs/>
          <w:sz w:val="24"/>
          <w:szCs w:val="24"/>
          <w:highlight w:val="yellow"/>
        </w:rPr>
        <w:t xml:space="preserve">  </w:t>
      </w:r>
      <w:r w:rsidR="00932427" w:rsidRPr="00932427">
        <w:rPr>
          <w:rFonts w:ascii="Times New Roman" w:hAnsi="Times New Roman"/>
          <w:bCs/>
          <w:sz w:val="24"/>
          <w:szCs w:val="24"/>
          <w:highlight w:val="yellow"/>
        </w:rPr>
        <w:t>The selected grantee(s) must finance both the National Moot Court Competition and the National Mock Mediation Competition, and cover as many as states as logical, and or feasible.  It is understandable that some smaller states may not have participants that are sufficiently prepared for a competition of this nature.</w:t>
      </w:r>
    </w:p>
    <w:p w:rsidR="00932427" w:rsidRPr="00932427" w:rsidRDefault="00932427" w:rsidP="00932427">
      <w:pPr>
        <w:jc w:val="both"/>
        <w:rPr>
          <w:rFonts w:ascii="Times New Roman" w:hAnsi="Times New Roman"/>
          <w:sz w:val="24"/>
          <w:szCs w:val="24"/>
        </w:rPr>
      </w:pPr>
      <w:r w:rsidRPr="00932427">
        <w:rPr>
          <w:rFonts w:ascii="Times New Roman" w:hAnsi="Times New Roman"/>
          <w:sz w:val="24"/>
          <w:szCs w:val="24"/>
        </w:rPr>
        <w:t> </w:t>
      </w:r>
    </w:p>
    <w:p w:rsidR="00932427" w:rsidRPr="006C57D2" w:rsidRDefault="00932427" w:rsidP="006C57D2">
      <w:pPr>
        <w:numPr>
          <w:ilvl w:val="0"/>
          <w:numId w:val="5"/>
        </w:numPr>
        <w:jc w:val="both"/>
        <w:rPr>
          <w:rFonts w:ascii="Times New Roman" w:eastAsia="Times New Roman" w:hAnsi="Times New Roman"/>
          <w:b/>
          <w:sz w:val="24"/>
          <w:szCs w:val="24"/>
        </w:rPr>
      </w:pPr>
      <w:r w:rsidRPr="006C57D2">
        <w:rPr>
          <w:rFonts w:ascii="Times New Roman" w:eastAsia="Times New Roman" w:hAnsi="Times New Roman"/>
          <w:b/>
          <w:sz w:val="24"/>
          <w:szCs w:val="24"/>
        </w:rPr>
        <w:t xml:space="preserve">The NOFO No. INL17GR0036-INLWHPMexico-05032017 sets forth in Objective Three, Activity Two, the following: “Take a central, pro-active role in the </w:t>
      </w:r>
      <w:proofErr w:type="spellStart"/>
      <w:r w:rsidRPr="006C57D2">
        <w:rPr>
          <w:rFonts w:ascii="Times New Roman" w:eastAsia="Times New Roman" w:hAnsi="Times New Roman"/>
          <w:b/>
          <w:i/>
          <w:iCs/>
          <w:sz w:val="24"/>
          <w:szCs w:val="24"/>
        </w:rPr>
        <w:t>Alianza</w:t>
      </w:r>
      <w:proofErr w:type="spellEnd"/>
      <w:r w:rsidRPr="006C57D2">
        <w:rPr>
          <w:rFonts w:ascii="Times New Roman" w:eastAsia="Times New Roman" w:hAnsi="Times New Roman"/>
          <w:b/>
          <w:i/>
          <w:iCs/>
          <w:sz w:val="24"/>
          <w:szCs w:val="24"/>
        </w:rPr>
        <w:t xml:space="preserve"> Nacional </w:t>
      </w:r>
      <w:proofErr w:type="spellStart"/>
      <w:r w:rsidRPr="006C57D2">
        <w:rPr>
          <w:rFonts w:ascii="Times New Roman" w:eastAsia="Times New Roman" w:hAnsi="Times New Roman"/>
          <w:b/>
          <w:i/>
          <w:iCs/>
          <w:sz w:val="24"/>
          <w:szCs w:val="24"/>
        </w:rPr>
        <w:t>por</w:t>
      </w:r>
      <w:proofErr w:type="spellEnd"/>
      <w:r w:rsidRPr="006C57D2">
        <w:rPr>
          <w:rFonts w:ascii="Times New Roman" w:eastAsia="Times New Roman" w:hAnsi="Times New Roman"/>
          <w:b/>
          <w:i/>
          <w:iCs/>
          <w:sz w:val="24"/>
          <w:szCs w:val="24"/>
        </w:rPr>
        <w:t xml:space="preserve"> las </w:t>
      </w:r>
      <w:proofErr w:type="spellStart"/>
      <w:r w:rsidRPr="006C57D2">
        <w:rPr>
          <w:rFonts w:ascii="Times New Roman" w:eastAsia="Times New Roman" w:hAnsi="Times New Roman"/>
          <w:b/>
          <w:i/>
          <w:iCs/>
          <w:sz w:val="24"/>
          <w:szCs w:val="24"/>
        </w:rPr>
        <w:t>Competencias</w:t>
      </w:r>
      <w:proofErr w:type="spellEnd"/>
      <w:r w:rsidRPr="006C57D2">
        <w:rPr>
          <w:rFonts w:ascii="Times New Roman" w:eastAsia="Times New Roman" w:hAnsi="Times New Roman"/>
          <w:b/>
          <w:i/>
          <w:iCs/>
          <w:sz w:val="24"/>
          <w:szCs w:val="24"/>
        </w:rPr>
        <w:t xml:space="preserve"> de </w:t>
      </w:r>
      <w:proofErr w:type="spellStart"/>
      <w:r w:rsidRPr="006C57D2">
        <w:rPr>
          <w:rFonts w:ascii="Times New Roman" w:eastAsia="Times New Roman" w:hAnsi="Times New Roman"/>
          <w:b/>
          <w:i/>
          <w:iCs/>
          <w:sz w:val="24"/>
          <w:szCs w:val="24"/>
        </w:rPr>
        <w:t>Litigación</w:t>
      </w:r>
      <w:proofErr w:type="spellEnd"/>
      <w:r w:rsidRPr="006C57D2">
        <w:rPr>
          <w:rFonts w:ascii="Times New Roman" w:eastAsia="Times New Roman" w:hAnsi="Times New Roman"/>
          <w:b/>
          <w:i/>
          <w:iCs/>
          <w:sz w:val="24"/>
          <w:szCs w:val="24"/>
        </w:rPr>
        <w:t xml:space="preserve"> Oral (ANCLO)…” </w:t>
      </w:r>
      <w:r w:rsidRPr="006C57D2">
        <w:rPr>
          <w:rFonts w:ascii="Times New Roman" w:eastAsia="Times New Roman" w:hAnsi="Times New Roman"/>
          <w:b/>
          <w:sz w:val="24"/>
          <w:szCs w:val="24"/>
        </w:rPr>
        <w:t> </w:t>
      </w:r>
      <w:proofErr w:type="spellStart"/>
      <w:r w:rsidRPr="006C57D2">
        <w:rPr>
          <w:rFonts w:ascii="Times New Roman" w:eastAsia="Times New Roman" w:hAnsi="Times New Roman"/>
          <w:b/>
          <w:sz w:val="24"/>
          <w:szCs w:val="24"/>
          <w:lang w:val="es-CO"/>
        </w:rPr>
        <w:t>The</w:t>
      </w:r>
      <w:proofErr w:type="spellEnd"/>
      <w:r w:rsidRPr="006C57D2">
        <w:rPr>
          <w:rFonts w:ascii="Times New Roman" w:eastAsia="Times New Roman" w:hAnsi="Times New Roman"/>
          <w:b/>
          <w:sz w:val="24"/>
          <w:szCs w:val="24"/>
          <w:lang w:val="es-CO"/>
        </w:rPr>
        <w:t xml:space="preserve"> </w:t>
      </w:r>
      <w:proofErr w:type="spellStart"/>
      <w:r w:rsidRPr="006C57D2">
        <w:rPr>
          <w:rFonts w:ascii="Times New Roman" w:eastAsia="Times New Roman" w:hAnsi="Times New Roman"/>
          <w:b/>
          <w:sz w:val="24"/>
          <w:szCs w:val="24"/>
          <w:lang w:val="es-CO"/>
        </w:rPr>
        <w:t>current</w:t>
      </w:r>
      <w:proofErr w:type="spellEnd"/>
      <w:r w:rsidRPr="006C57D2">
        <w:rPr>
          <w:rFonts w:ascii="Times New Roman" w:eastAsia="Times New Roman" w:hAnsi="Times New Roman"/>
          <w:b/>
          <w:sz w:val="24"/>
          <w:szCs w:val="24"/>
          <w:lang w:val="es-CO"/>
        </w:rPr>
        <w:t xml:space="preserve"> </w:t>
      </w:r>
      <w:proofErr w:type="spellStart"/>
      <w:r w:rsidRPr="006C57D2">
        <w:rPr>
          <w:rFonts w:ascii="Times New Roman" w:eastAsia="Times New Roman" w:hAnsi="Times New Roman"/>
          <w:b/>
          <w:sz w:val="24"/>
          <w:szCs w:val="24"/>
          <w:lang w:val="es-CO"/>
        </w:rPr>
        <w:t>members</w:t>
      </w:r>
      <w:proofErr w:type="spellEnd"/>
      <w:r w:rsidRPr="006C57D2">
        <w:rPr>
          <w:rFonts w:ascii="Times New Roman" w:eastAsia="Times New Roman" w:hAnsi="Times New Roman"/>
          <w:b/>
          <w:sz w:val="24"/>
          <w:szCs w:val="24"/>
          <w:lang w:val="es-CO"/>
        </w:rPr>
        <w:t xml:space="preserve"> of </w:t>
      </w:r>
      <w:proofErr w:type="spellStart"/>
      <w:r w:rsidRPr="006C57D2">
        <w:rPr>
          <w:rFonts w:ascii="Times New Roman" w:eastAsia="Times New Roman" w:hAnsi="Times New Roman"/>
          <w:b/>
          <w:sz w:val="24"/>
          <w:szCs w:val="24"/>
          <w:lang w:val="es-CO"/>
        </w:rPr>
        <w:t>the</w:t>
      </w:r>
      <w:proofErr w:type="spellEnd"/>
      <w:r w:rsidRPr="006C57D2">
        <w:rPr>
          <w:rFonts w:ascii="Times New Roman" w:eastAsia="Times New Roman" w:hAnsi="Times New Roman"/>
          <w:b/>
          <w:sz w:val="24"/>
          <w:szCs w:val="24"/>
          <w:lang w:val="es-CO"/>
        </w:rPr>
        <w:t xml:space="preserve"> ANCLO are </w:t>
      </w:r>
      <w:proofErr w:type="spellStart"/>
      <w:r w:rsidRPr="006C57D2">
        <w:rPr>
          <w:rFonts w:ascii="Times New Roman" w:eastAsia="Times New Roman" w:hAnsi="Times New Roman"/>
          <w:b/>
          <w:sz w:val="24"/>
          <w:szCs w:val="24"/>
          <w:lang w:val="es-CO"/>
        </w:rPr>
        <w:t>the</w:t>
      </w:r>
      <w:proofErr w:type="spellEnd"/>
      <w:r w:rsidRPr="006C57D2">
        <w:rPr>
          <w:rFonts w:ascii="Times New Roman" w:eastAsia="Times New Roman" w:hAnsi="Times New Roman"/>
          <w:b/>
          <w:sz w:val="24"/>
          <w:szCs w:val="24"/>
          <w:lang w:val="es-CO"/>
        </w:rPr>
        <w:t xml:space="preserve"> </w:t>
      </w:r>
      <w:r w:rsidRPr="006C57D2">
        <w:rPr>
          <w:rFonts w:ascii="Times New Roman" w:eastAsia="Times New Roman" w:hAnsi="Times New Roman"/>
          <w:b/>
          <w:i/>
          <w:iCs/>
          <w:sz w:val="24"/>
          <w:szCs w:val="24"/>
          <w:lang w:val="es-CO"/>
        </w:rPr>
        <w:t>Iniciativa para el Estado de Derecho</w:t>
      </w:r>
      <w:r w:rsidRPr="006C57D2">
        <w:rPr>
          <w:rFonts w:ascii="Times New Roman" w:eastAsia="Times New Roman" w:hAnsi="Times New Roman"/>
          <w:b/>
          <w:sz w:val="24"/>
          <w:szCs w:val="24"/>
          <w:lang w:val="es-CO"/>
        </w:rPr>
        <w:t xml:space="preserve">; California Western </w:t>
      </w:r>
      <w:proofErr w:type="spellStart"/>
      <w:r w:rsidRPr="006C57D2">
        <w:rPr>
          <w:rFonts w:ascii="Times New Roman" w:eastAsia="Times New Roman" w:hAnsi="Times New Roman"/>
          <w:b/>
          <w:sz w:val="24"/>
          <w:szCs w:val="24"/>
          <w:lang w:val="es-CO"/>
        </w:rPr>
        <w:t>School</w:t>
      </w:r>
      <w:proofErr w:type="spellEnd"/>
      <w:r w:rsidRPr="006C57D2">
        <w:rPr>
          <w:rFonts w:ascii="Times New Roman" w:eastAsia="Times New Roman" w:hAnsi="Times New Roman"/>
          <w:b/>
          <w:sz w:val="24"/>
          <w:szCs w:val="24"/>
          <w:lang w:val="es-CO"/>
        </w:rPr>
        <w:t xml:space="preserve"> of </w:t>
      </w:r>
      <w:proofErr w:type="spellStart"/>
      <w:r w:rsidRPr="006C57D2">
        <w:rPr>
          <w:rFonts w:ascii="Times New Roman" w:eastAsia="Times New Roman" w:hAnsi="Times New Roman"/>
          <w:b/>
          <w:sz w:val="24"/>
          <w:szCs w:val="24"/>
          <w:lang w:val="es-CO"/>
        </w:rPr>
        <w:t>Law</w:t>
      </w:r>
      <w:proofErr w:type="spellEnd"/>
      <w:r w:rsidRPr="006C57D2">
        <w:rPr>
          <w:rFonts w:ascii="Times New Roman" w:eastAsia="Times New Roman" w:hAnsi="Times New Roman"/>
          <w:b/>
          <w:sz w:val="24"/>
          <w:szCs w:val="24"/>
          <w:lang w:val="es-CO"/>
        </w:rPr>
        <w:t xml:space="preserve">/San Diego; </w:t>
      </w:r>
      <w:r w:rsidRPr="006C57D2">
        <w:rPr>
          <w:rFonts w:ascii="Times New Roman" w:eastAsia="Times New Roman" w:hAnsi="Times New Roman"/>
          <w:b/>
          <w:i/>
          <w:iCs/>
          <w:sz w:val="24"/>
          <w:szCs w:val="24"/>
          <w:lang w:val="es-CO"/>
        </w:rPr>
        <w:t xml:space="preserve">Instituto de Justicia Procesal Penal </w:t>
      </w:r>
      <w:r w:rsidRPr="006C57D2">
        <w:rPr>
          <w:rFonts w:ascii="Times New Roman" w:eastAsia="Times New Roman" w:hAnsi="Times New Roman"/>
          <w:b/>
          <w:sz w:val="24"/>
          <w:szCs w:val="24"/>
          <w:lang w:val="es-CO"/>
        </w:rPr>
        <w:t xml:space="preserve">(IIJP); </w:t>
      </w:r>
      <w:r w:rsidRPr="006C57D2">
        <w:rPr>
          <w:rFonts w:ascii="Times New Roman" w:eastAsia="Times New Roman" w:hAnsi="Times New Roman"/>
          <w:b/>
          <w:i/>
          <w:iCs/>
          <w:sz w:val="24"/>
          <w:szCs w:val="24"/>
          <w:lang w:val="es-CO"/>
        </w:rPr>
        <w:lastRenderedPageBreak/>
        <w:t>Instituto Nacional de Ciencias Penales (</w:t>
      </w:r>
      <w:r w:rsidRPr="006C57D2">
        <w:rPr>
          <w:rFonts w:ascii="Times New Roman" w:eastAsia="Times New Roman" w:hAnsi="Times New Roman"/>
          <w:b/>
          <w:sz w:val="24"/>
          <w:szCs w:val="24"/>
          <w:lang w:val="es-CO"/>
        </w:rPr>
        <w:t xml:space="preserve">INACIPE); and </w:t>
      </w:r>
      <w:proofErr w:type="spellStart"/>
      <w:r w:rsidRPr="006C57D2">
        <w:rPr>
          <w:rFonts w:ascii="Times New Roman" w:eastAsia="Times New Roman" w:hAnsi="Times New Roman"/>
          <w:b/>
          <w:sz w:val="24"/>
          <w:szCs w:val="24"/>
          <w:lang w:val="es-CO"/>
        </w:rPr>
        <w:t>the</w:t>
      </w:r>
      <w:proofErr w:type="spellEnd"/>
      <w:r w:rsidRPr="006C57D2">
        <w:rPr>
          <w:rFonts w:ascii="Times New Roman" w:eastAsia="Times New Roman" w:hAnsi="Times New Roman"/>
          <w:b/>
          <w:sz w:val="24"/>
          <w:szCs w:val="24"/>
          <w:lang w:val="es-CO"/>
        </w:rPr>
        <w:t xml:space="preserve"> </w:t>
      </w:r>
      <w:r w:rsidRPr="006C57D2">
        <w:rPr>
          <w:rFonts w:ascii="Times New Roman" w:eastAsia="Times New Roman" w:hAnsi="Times New Roman"/>
          <w:b/>
          <w:i/>
          <w:iCs/>
          <w:sz w:val="24"/>
          <w:szCs w:val="24"/>
          <w:lang w:val="es-CO"/>
        </w:rPr>
        <w:t>Tecnológico de Monterrey</w:t>
      </w:r>
      <w:r w:rsidRPr="006C57D2">
        <w:rPr>
          <w:rFonts w:ascii="Times New Roman" w:eastAsia="Times New Roman" w:hAnsi="Times New Roman"/>
          <w:b/>
          <w:sz w:val="24"/>
          <w:szCs w:val="24"/>
          <w:lang w:val="es-CO"/>
        </w:rPr>
        <w:t xml:space="preserve">. </w:t>
      </w:r>
      <w:r w:rsidRPr="006C57D2">
        <w:rPr>
          <w:rFonts w:ascii="Times New Roman" w:eastAsia="Times New Roman" w:hAnsi="Times New Roman"/>
          <w:b/>
          <w:sz w:val="24"/>
          <w:szCs w:val="24"/>
        </w:rPr>
        <w:t>Given that they are beneficiaries of the project, are these organizations eligible to submit proposals either jointly or individually?  What is the intended role of ANCLO in the Project?</w:t>
      </w:r>
    </w:p>
    <w:p w:rsidR="00932427" w:rsidRPr="00932427" w:rsidRDefault="00932427" w:rsidP="000F67E6">
      <w:pPr>
        <w:ind w:left="720"/>
        <w:jc w:val="both"/>
        <w:rPr>
          <w:rFonts w:ascii="Times New Roman" w:eastAsia="Times New Roman" w:hAnsi="Times New Roman"/>
          <w:sz w:val="24"/>
          <w:szCs w:val="24"/>
        </w:rPr>
      </w:pPr>
    </w:p>
    <w:p w:rsidR="00932427" w:rsidRPr="00932427" w:rsidRDefault="006C57D2" w:rsidP="00932427">
      <w:pPr>
        <w:ind w:left="720"/>
        <w:jc w:val="both"/>
        <w:rPr>
          <w:rFonts w:ascii="Times New Roman" w:hAnsi="Times New Roman"/>
          <w:bCs/>
          <w:sz w:val="24"/>
          <w:szCs w:val="24"/>
        </w:rPr>
      </w:pPr>
      <w:r w:rsidRPr="006C57D2">
        <w:rPr>
          <w:rFonts w:ascii="Times New Roman" w:hAnsi="Times New Roman"/>
          <w:b/>
          <w:bCs/>
          <w:sz w:val="24"/>
          <w:szCs w:val="24"/>
          <w:highlight w:val="yellow"/>
        </w:rPr>
        <w:t>INL A:</w:t>
      </w:r>
      <w:r>
        <w:rPr>
          <w:rFonts w:ascii="Times New Roman" w:hAnsi="Times New Roman"/>
          <w:bCs/>
          <w:sz w:val="24"/>
          <w:szCs w:val="24"/>
          <w:highlight w:val="yellow"/>
        </w:rPr>
        <w:t xml:space="preserve">  </w:t>
      </w:r>
      <w:r w:rsidR="00932427" w:rsidRPr="00932427">
        <w:rPr>
          <w:rFonts w:ascii="Times New Roman" w:hAnsi="Times New Roman"/>
          <w:bCs/>
          <w:sz w:val="24"/>
          <w:szCs w:val="24"/>
          <w:highlight w:val="yellow"/>
        </w:rPr>
        <w:t>ANCLO is an association, and its member</w:t>
      </w:r>
      <w:r>
        <w:rPr>
          <w:rFonts w:ascii="Times New Roman" w:hAnsi="Times New Roman"/>
          <w:bCs/>
          <w:sz w:val="24"/>
          <w:szCs w:val="24"/>
          <w:highlight w:val="yellow"/>
        </w:rPr>
        <w:t>s</w:t>
      </w:r>
      <w:r w:rsidR="00932427" w:rsidRPr="00932427">
        <w:rPr>
          <w:rFonts w:ascii="Times New Roman" w:hAnsi="Times New Roman"/>
          <w:bCs/>
          <w:sz w:val="24"/>
          <w:szCs w:val="24"/>
          <w:highlight w:val="yellow"/>
        </w:rPr>
        <w:t xml:space="preserve"> are not beneficiaries of this project.  However, its members are eligible to submit proposals either jointly or individually.  There is no intended role for ANCLO in the </w:t>
      </w:r>
      <w:r w:rsidR="00E27C39" w:rsidRPr="00932427">
        <w:rPr>
          <w:rFonts w:ascii="Times New Roman" w:hAnsi="Times New Roman"/>
          <w:bCs/>
          <w:sz w:val="24"/>
          <w:szCs w:val="24"/>
          <w:highlight w:val="yellow"/>
        </w:rPr>
        <w:t>project;</w:t>
      </w:r>
      <w:r w:rsidR="00932427" w:rsidRPr="00932427">
        <w:rPr>
          <w:rFonts w:ascii="Times New Roman" w:hAnsi="Times New Roman"/>
          <w:bCs/>
          <w:sz w:val="24"/>
          <w:szCs w:val="24"/>
          <w:highlight w:val="yellow"/>
        </w:rPr>
        <w:t xml:space="preserve"> rather the grantee is expected to “[t]</w:t>
      </w:r>
      <w:proofErr w:type="spellStart"/>
      <w:r w:rsidR="00932427" w:rsidRPr="00932427">
        <w:rPr>
          <w:rFonts w:ascii="Times New Roman" w:hAnsi="Times New Roman"/>
          <w:bCs/>
          <w:sz w:val="24"/>
          <w:szCs w:val="24"/>
          <w:highlight w:val="yellow"/>
        </w:rPr>
        <w:t>ake</w:t>
      </w:r>
      <w:proofErr w:type="spellEnd"/>
      <w:r w:rsidR="00932427" w:rsidRPr="00932427">
        <w:rPr>
          <w:rFonts w:ascii="Times New Roman" w:hAnsi="Times New Roman"/>
          <w:bCs/>
          <w:sz w:val="24"/>
          <w:szCs w:val="24"/>
          <w:highlight w:val="yellow"/>
        </w:rPr>
        <w:t xml:space="preserve"> a central, pro-active role in ANCLO” because they would effectively replace the existing leading institutions.</w:t>
      </w:r>
    </w:p>
    <w:p w:rsidR="00932427" w:rsidRPr="00932427" w:rsidRDefault="00932427" w:rsidP="00932427">
      <w:pPr>
        <w:jc w:val="both"/>
        <w:rPr>
          <w:rFonts w:ascii="Times New Roman" w:hAnsi="Times New Roman"/>
          <w:sz w:val="24"/>
          <w:szCs w:val="24"/>
        </w:rPr>
      </w:pPr>
      <w:r w:rsidRPr="00932427">
        <w:rPr>
          <w:rFonts w:ascii="Times New Roman" w:hAnsi="Times New Roman"/>
          <w:sz w:val="24"/>
          <w:szCs w:val="24"/>
        </w:rPr>
        <w:t> </w:t>
      </w:r>
    </w:p>
    <w:p w:rsidR="00932427" w:rsidRPr="000F67E6" w:rsidRDefault="00932427" w:rsidP="000F67E6">
      <w:pPr>
        <w:numPr>
          <w:ilvl w:val="0"/>
          <w:numId w:val="6"/>
        </w:numPr>
        <w:jc w:val="both"/>
        <w:rPr>
          <w:rFonts w:ascii="Times New Roman" w:eastAsia="Times New Roman" w:hAnsi="Times New Roman"/>
          <w:b/>
          <w:sz w:val="24"/>
          <w:szCs w:val="24"/>
        </w:rPr>
      </w:pPr>
      <w:r w:rsidRPr="000F67E6">
        <w:rPr>
          <w:rFonts w:ascii="Times New Roman" w:eastAsia="Times New Roman" w:hAnsi="Times New Roman"/>
          <w:b/>
          <w:sz w:val="24"/>
          <w:szCs w:val="24"/>
        </w:rPr>
        <w:t>Can bidders assume that even though formal sub-grant or other arrangements may not be proposed directly with the members of the alliance, that ANCLO will accept additional members and/or will allow additional organizations to play a central role in their activities? Or could bidders propose a different national alliance that will not necessarily be limited to the current members of the ANCLO that will coordinate its efforts with the ANCLO?</w:t>
      </w:r>
    </w:p>
    <w:p w:rsidR="00932427" w:rsidRPr="00932427" w:rsidRDefault="00932427" w:rsidP="00932427">
      <w:pPr>
        <w:ind w:left="720"/>
        <w:jc w:val="both"/>
        <w:rPr>
          <w:rFonts w:ascii="Times New Roman" w:eastAsia="Times New Roman" w:hAnsi="Times New Roman"/>
          <w:sz w:val="24"/>
          <w:szCs w:val="24"/>
        </w:rPr>
      </w:pPr>
    </w:p>
    <w:p w:rsidR="00932427" w:rsidRPr="00932427" w:rsidRDefault="006C57D2" w:rsidP="00932427">
      <w:pPr>
        <w:ind w:left="720"/>
        <w:jc w:val="both"/>
        <w:rPr>
          <w:rFonts w:ascii="Times New Roman" w:hAnsi="Times New Roman"/>
          <w:bCs/>
          <w:sz w:val="24"/>
          <w:szCs w:val="24"/>
        </w:rPr>
      </w:pPr>
      <w:r w:rsidRPr="006C57D2">
        <w:rPr>
          <w:rFonts w:ascii="Times New Roman" w:hAnsi="Times New Roman"/>
          <w:b/>
          <w:bCs/>
          <w:sz w:val="24"/>
          <w:szCs w:val="24"/>
          <w:highlight w:val="yellow"/>
        </w:rPr>
        <w:t>INL A:</w:t>
      </w:r>
      <w:r>
        <w:rPr>
          <w:rFonts w:ascii="Times New Roman" w:hAnsi="Times New Roman"/>
          <w:bCs/>
          <w:sz w:val="24"/>
          <w:szCs w:val="24"/>
          <w:highlight w:val="yellow"/>
        </w:rPr>
        <w:t xml:space="preserve">  </w:t>
      </w:r>
      <w:r w:rsidR="00932427" w:rsidRPr="00932427">
        <w:rPr>
          <w:rFonts w:ascii="Times New Roman" w:hAnsi="Times New Roman"/>
          <w:bCs/>
          <w:sz w:val="24"/>
          <w:szCs w:val="24"/>
          <w:highlight w:val="yellow"/>
        </w:rPr>
        <w:t>Sub-grants, and other sub-awards, may be proposed directly with the members of ANCLO.  However, the grantee is EXPECTED to “[t]</w:t>
      </w:r>
      <w:proofErr w:type="spellStart"/>
      <w:r w:rsidR="00932427" w:rsidRPr="00932427">
        <w:rPr>
          <w:rFonts w:ascii="Times New Roman" w:hAnsi="Times New Roman"/>
          <w:bCs/>
          <w:sz w:val="24"/>
          <w:szCs w:val="24"/>
          <w:highlight w:val="yellow"/>
        </w:rPr>
        <w:t>ake</w:t>
      </w:r>
      <w:proofErr w:type="spellEnd"/>
      <w:r w:rsidR="00932427" w:rsidRPr="00932427">
        <w:rPr>
          <w:rFonts w:ascii="Times New Roman" w:hAnsi="Times New Roman"/>
          <w:bCs/>
          <w:sz w:val="24"/>
          <w:szCs w:val="24"/>
          <w:highlight w:val="yellow"/>
        </w:rPr>
        <w:t xml:space="preserve"> a central, pro-active role in ANCLO” because they would effectively replace the existing leading institutions in the</w:t>
      </w:r>
      <w:r w:rsidR="00932427" w:rsidRPr="00932427">
        <w:rPr>
          <w:rFonts w:ascii="Times New Roman" w:hAnsi="Times New Roman"/>
          <w:sz w:val="24"/>
          <w:szCs w:val="24"/>
          <w:highlight w:val="yellow"/>
        </w:rPr>
        <w:t xml:space="preserve"> </w:t>
      </w:r>
      <w:r w:rsidR="00932427" w:rsidRPr="00932427">
        <w:rPr>
          <w:rFonts w:ascii="Times New Roman" w:hAnsi="Times New Roman"/>
          <w:bCs/>
          <w:sz w:val="24"/>
          <w:szCs w:val="24"/>
          <w:highlight w:val="yellow"/>
        </w:rPr>
        <w:t xml:space="preserve">training, organizing, promoting, and conducting both the mock trial competition and the mock mediation competition, each at a national </w:t>
      </w:r>
      <w:r w:rsidR="000F67E6" w:rsidRPr="00932427">
        <w:rPr>
          <w:rFonts w:ascii="Times New Roman" w:hAnsi="Times New Roman"/>
          <w:bCs/>
          <w:sz w:val="24"/>
          <w:szCs w:val="24"/>
          <w:highlight w:val="yellow"/>
        </w:rPr>
        <w:t>level.</w:t>
      </w:r>
      <w:r w:rsidR="00932427" w:rsidRPr="00932427">
        <w:rPr>
          <w:rFonts w:ascii="Times New Roman" w:hAnsi="Times New Roman"/>
          <w:bCs/>
          <w:sz w:val="24"/>
          <w:szCs w:val="24"/>
          <w:highlight w:val="yellow"/>
        </w:rPr>
        <w:t>  We would discourage proposing a different national alliance, since ANCLO will not be limited to the current members only.</w:t>
      </w:r>
    </w:p>
    <w:p w:rsidR="009454E0" w:rsidRPr="00932427" w:rsidRDefault="00D22D69" w:rsidP="00932427">
      <w:pPr>
        <w:jc w:val="both"/>
        <w:rPr>
          <w:rFonts w:ascii="Times New Roman" w:hAnsi="Times New Roman"/>
          <w:sz w:val="24"/>
          <w:szCs w:val="24"/>
        </w:rPr>
      </w:pPr>
    </w:p>
    <w:sectPr w:rsidR="009454E0" w:rsidRPr="0093242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F75" w:rsidRDefault="00660F75" w:rsidP="00660F75">
      <w:r>
        <w:separator/>
      </w:r>
    </w:p>
  </w:endnote>
  <w:endnote w:type="continuationSeparator" w:id="0">
    <w:p w:rsidR="00660F75" w:rsidRDefault="00660F75" w:rsidP="00660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0242392"/>
      <w:docPartObj>
        <w:docPartGallery w:val="Page Numbers (Bottom of Page)"/>
        <w:docPartUnique/>
      </w:docPartObj>
    </w:sdtPr>
    <w:sdtEndPr/>
    <w:sdtContent>
      <w:sdt>
        <w:sdtPr>
          <w:id w:val="-1669238322"/>
          <w:docPartObj>
            <w:docPartGallery w:val="Page Numbers (Top of Page)"/>
            <w:docPartUnique/>
          </w:docPartObj>
        </w:sdtPr>
        <w:sdtEndPr/>
        <w:sdtContent>
          <w:p w:rsidR="00305266" w:rsidRDefault="0030526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22D6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22D69">
              <w:rPr>
                <w:b/>
                <w:bCs/>
                <w:noProof/>
              </w:rPr>
              <w:t>2</w:t>
            </w:r>
            <w:r>
              <w:rPr>
                <w:b/>
                <w:bCs/>
                <w:sz w:val="24"/>
                <w:szCs w:val="24"/>
              </w:rPr>
              <w:fldChar w:fldCharType="end"/>
            </w:r>
          </w:p>
        </w:sdtContent>
      </w:sdt>
    </w:sdtContent>
  </w:sdt>
  <w:p w:rsidR="00305266" w:rsidRDefault="003052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F75" w:rsidRDefault="00660F75" w:rsidP="00660F75">
      <w:r>
        <w:separator/>
      </w:r>
    </w:p>
  </w:footnote>
  <w:footnote w:type="continuationSeparator" w:id="0">
    <w:p w:rsidR="00660F75" w:rsidRDefault="00660F75" w:rsidP="00660F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F75" w:rsidRPr="00932427" w:rsidRDefault="00660F75" w:rsidP="00660F75">
    <w:pPr>
      <w:jc w:val="center"/>
      <w:rPr>
        <w:rFonts w:ascii="Times New Roman" w:hAnsi="Times New Roman"/>
        <w:sz w:val="24"/>
        <w:szCs w:val="24"/>
      </w:rPr>
    </w:pPr>
    <w:r w:rsidRPr="00932427">
      <w:rPr>
        <w:rFonts w:ascii="Times New Roman" w:hAnsi="Times New Roman"/>
        <w:sz w:val="24"/>
        <w:szCs w:val="24"/>
      </w:rPr>
      <w:t xml:space="preserve">Questions and Answers – </w:t>
    </w:r>
    <w:r w:rsidR="00096CA9" w:rsidRPr="00932427">
      <w:rPr>
        <w:rFonts w:ascii="Times New Roman" w:hAnsi="Times New Roman"/>
        <w:sz w:val="24"/>
        <w:szCs w:val="24"/>
      </w:rPr>
      <w:t>June 2</w:t>
    </w:r>
    <w:r w:rsidRPr="00932427">
      <w:rPr>
        <w:rFonts w:ascii="Times New Roman" w:hAnsi="Times New Roman"/>
        <w:sz w:val="24"/>
        <w:szCs w:val="24"/>
      </w:rPr>
      <w:t>, 2017</w:t>
    </w:r>
  </w:p>
  <w:p w:rsidR="00195BC7" w:rsidRPr="00932427" w:rsidRDefault="00932427" w:rsidP="00660F75">
    <w:pPr>
      <w:jc w:val="center"/>
      <w:rPr>
        <w:rFonts w:ascii="Times New Roman" w:hAnsi="Times New Roman"/>
        <w:sz w:val="24"/>
        <w:szCs w:val="24"/>
      </w:rPr>
    </w:pPr>
    <w:r w:rsidRPr="00932427">
      <w:rPr>
        <w:rFonts w:ascii="Times New Roman" w:hAnsi="Times New Roman"/>
        <w:sz w:val="24"/>
        <w:szCs w:val="24"/>
        <w:shd w:val="clear" w:color="auto" w:fill="FFFFFF"/>
      </w:rPr>
      <w:t>Forging Security through Rule of Law: Oral Advocacy Skills and Mediation Training for National Mock Trial Competitions</w:t>
    </w:r>
    <w:r w:rsidR="00195BC7" w:rsidRPr="00932427">
      <w:rPr>
        <w:rFonts w:ascii="Times New Roman" w:hAnsi="Times New Roman"/>
        <w:sz w:val="24"/>
        <w:szCs w:val="24"/>
      </w:rPr>
      <w:t xml:space="preserve"> </w:t>
    </w:r>
  </w:p>
  <w:p w:rsidR="00660F75" w:rsidRPr="00932427" w:rsidRDefault="00660F75" w:rsidP="00660F75">
    <w:pPr>
      <w:jc w:val="center"/>
      <w:rPr>
        <w:rFonts w:ascii="Times New Roman" w:hAnsi="Times New Roman"/>
        <w:sz w:val="24"/>
        <w:szCs w:val="24"/>
      </w:rPr>
    </w:pPr>
    <w:r w:rsidRPr="00932427">
      <w:rPr>
        <w:rFonts w:ascii="Times New Roman" w:hAnsi="Times New Roman"/>
        <w:sz w:val="24"/>
        <w:szCs w:val="24"/>
      </w:rPr>
      <w:t>[</w:t>
    </w:r>
    <w:r w:rsidR="00D22D69">
      <w:t>INL 17 GR0036-INLWHP</w:t>
    </w:r>
    <w:r w:rsidR="00096CA9" w:rsidRPr="00932427">
      <w:t>Mexico-05032017</w:t>
    </w:r>
    <w:r w:rsidRPr="00932427">
      <w:rPr>
        <w:rFonts w:ascii="Times New Roman" w:hAnsi="Times New Roman"/>
        <w:sz w:val="24"/>
        <w:szCs w:val="24"/>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92298D"/>
    <w:multiLevelType w:val="multilevel"/>
    <w:tmpl w:val="225C99C6"/>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nsid w:val="3B9B78A4"/>
    <w:multiLevelType w:val="hybridMultilevel"/>
    <w:tmpl w:val="DF9C10B4"/>
    <w:lvl w:ilvl="0" w:tplc="34A27C60">
      <w:start w:val="1"/>
      <w:numFmt w:val="decimal"/>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9E22B0"/>
    <w:multiLevelType w:val="multilevel"/>
    <w:tmpl w:val="A3906DA2"/>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nsid w:val="547962B3"/>
    <w:multiLevelType w:val="multilevel"/>
    <w:tmpl w:val="5FB03E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9E9053D"/>
    <w:multiLevelType w:val="hybridMultilevel"/>
    <w:tmpl w:val="319EC79A"/>
    <w:lvl w:ilvl="0" w:tplc="45FA0092">
      <w:start w:val="1"/>
      <w:numFmt w:val="lowerLetter"/>
      <w:lvlText w:val="%1."/>
      <w:lvlJc w:val="left"/>
      <w:pPr>
        <w:ind w:left="1080" w:hanging="360"/>
      </w:pPr>
      <w:rPr>
        <w:rFonts w:hint="default"/>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F3F2047"/>
    <w:multiLevelType w:val="hybridMultilevel"/>
    <w:tmpl w:val="0568CAA4"/>
    <w:lvl w:ilvl="0" w:tplc="9E34C0D4">
      <w:start w:val="1"/>
      <w:numFmt w:val="lowerLetter"/>
      <w:lvlText w:val="%1."/>
      <w:lvlJc w:val="left"/>
      <w:pPr>
        <w:ind w:left="1080" w:hanging="360"/>
      </w:pPr>
      <w:rPr>
        <w:rFonts w:hint="default"/>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5"/>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14E"/>
    <w:rsid w:val="00021A97"/>
    <w:rsid w:val="00096CA9"/>
    <w:rsid w:val="000A315D"/>
    <w:rsid w:val="000F67E6"/>
    <w:rsid w:val="0014334D"/>
    <w:rsid w:val="0017163C"/>
    <w:rsid w:val="00190141"/>
    <w:rsid w:val="00195BC7"/>
    <w:rsid w:val="001A314E"/>
    <w:rsid w:val="002D1F57"/>
    <w:rsid w:val="00305266"/>
    <w:rsid w:val="004003CE"/>
    <w:rsid w:val="004471BA"/>
    <w:rsid w:val="00460B61"/>
    <w:rsid w:val="00464AD1"/>
    <w:rsid w:val="00503214"/>
    <w:rsid w:val="00660F75"/>
    <w:rsid w:val="006C57D2"/>
    <w:rsid w:val="007F3720"/>
    <w:rsid w:val="00832773"/>
    <w:rsid w:val="00932427"/>
    <w:rsid w:val="00AB0C8F"/>
    <w:rsid w:val="00BA6796"/>
    <w:rsid w:val="00BC4CDC"/>
    <w:rsid w:val="00D22D69"/>
    <w:rsid w:val="00D87D3C"/>
    <w:rsid w:val="00DC20F2"/>
    <w:rsid w:val="00E27C39"/>
    <w:rsid w:val="00EC1092"/>
    <w:rsid w:val="00F00BED"/>
    <w:rsid w:val="00F3120D"/>
    <w:rsid w:val="00FE6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42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314E"/>
    <w:pPr>
      <w:ind w:left="720"/>
      <w:contextualSpacing/>
    </w:pPr>
  </w:style>
  <w:style w:type="paragraph" w:styleId="Header">
    <w:name w:val="header"/>
    <w:basedOn w:val="Normal"/>
    <w:link w:val="HeaderChar"/>
    <w:uiPriority w:val="99"/>
    <w:unhideWhenUsed/>
    <w:rsid w:val="00660F75"/>
    <w:pPr>
      <w:tabs>
        <w:tab w:val="center" w:pos="4680"/>
        <w:tab w:val="right" w:pos="9360"/>
      </w:tabs>
    </w:pPr>
  </w:style>
  <w:style w:type="character" w:customStyle="1" w:styleId="HeaderChar">
    <w:name w:val="Header Char"/>
    <w:basedOn w:val="DefaultParagraphFont"/>
    <w:link w:val="Header"/>
    <w:uiPriority w:val="99"/>
    <w:rsid w:val="00660F75"/>
  </w:style>
  <w:style w:type="paragraph" w:styleId="Footer">
    <w:name w:val="footer"/>
    <w:basedOn w:val="Normal"/>
    <w:link w:val="FooterChar"/>
    <w:uiPriority w:val="99"/>
    <w:unhideWhenUsed/>
    <w:rsid w:val="00660F75"/>
    <w:pPr>
      <w:tabs>
        <w:tab w:val="center" w:pos="4680"/>
        <w:tab w:val="right" w:pos="9360"/>
      </w:tabs>
    </w:pPr>
  </w:style>
  <w:style w:type="character" w:customStyle="1" w:styleId="FooterChar">
    <w:name w:val="Footer Char"/>
    <w:basedOn w:val="DefaultParagraphFont"/>
    <w:link w:val="Footer"/>
    <w:uiPriority w:val="99"/>
    <w:rsid w:val="00660F75"/>
  </w:style>
  <w:style w:type="paragraph" w:styleId="BalloonText">
    <w:name w:val="Balloon Text"/>
    <w:basedOn w:val="Normal"/>
    <w:link w:val="BalloonTextChar"/>
    <w:uiPriority w:val="99"/>
    <w:semiHidden/>
    <w:unhideWhenUsed/>
    <w:rsid w:val="00660F75"/>
    <w:rPr>
      <w:rFonts w:ascii="Tahoma" w:hAnsi="Tahoma" w:cs="Tahoma"/>
      <w:sz w:val="16"/>
      <w:szCs w:val="16"/>
    </w:rPr>
  </w:style>
  <w:style w:type="character" w:customStyle="1" w:styleId="BalloonTextChar">
    <w:name w:val="Balloon Text Char"/>
    <w:basedOn w:val="DefaultParagraphFont"/>
    <w:link w:val="BalloonText"/>
    <w:uiPriority w:val="99"/>
    <w:semiHidden/>
    <w:rsid w:val="00660F75"/>
    <w:rPr>
      <w:rFonts w:ascii="Tahoma" w:hAnsi="Tahoma" w:cs="Tahoma"/>
      <w:sz w:val="16"/>
      <w:szCs w:val="16"/>
    </w:rPr>
  </w:style>
  <w:style w:type="character" w:customStyle="1" w:styleId="search-custom1">
    <w:name w:val="search-custom1"/>
    <w:basedOn w:val="DefaultParagraphFont"/>
    <w:rsid w:val="00195BC7"/>
    <w:rPr>
      <w:color w:val="3636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42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314E"/>
    <w:pPr>
      <w:ind w:left="720"/>
      <w:contextualSpacing/>
    </w:pPr>
  </w:style>
  <w:style w:type="paragraph" w:styleId="Header">
    <w:name w:val="header"/>
    <w:basedOn w:val="Normal"/>
    <w:link w:val="HeaderChar"/>
    <w:uiPriority w:val="99"/>
    <w:unhideWhenUsed/>
    <w:rsid w:val="00660F75"/>
    <w:pPr>
      <w:tabs>
        <w:tab w:val="center" w:pos="4680"/>
        <w:tab w:val="right" w:pos="9360"/>
      </w:tabs>
    </w:pPr>
  </w:style>
  <w:style w:type="character" w:customStyle="1" w:styleId="HeaderChar">
    <w:name w:val="Header Char"/>
    <w:basedOn w:val="DefaultParagraphFont"/>
    <w:link w:val="Header"/>
    <w:uiPriority w:val="99"/>
    <w:rsid w:val="00660F75"/>
  </w:style>
  <w:style w:type="paragraph" w:styleId="Footer">
    <w:name w:val="footer"/>
    <w:basedOn w:val="Normal"/>
    <w:link w:val="FooterChar"/>
    <w:uiPriority w:val="99"/>
    <w:unhideWhenUsed/>
    <w:rsid w:val="00660F75"/>
    <w:pPr>
      <w:tabs>
        <w:tab w:val="center" w:pos="4680"/>
        <w:tab w:val="right" w:pos="9360"/>
      </w:tabs>
    </w:pPr>
  </w:style>
  <w:style w:type="character" w:customStyle="1" w:styleId="FooterChar">
    <w:name w:val="Footer Char"/>
    <w:basedOn w:val="DefaultParagraphFont"/>
    <w:link w:val="Footer"/>
    <w:uiPriority w:val="99"/>
    <w:rsid w:val="00660F75"/>
  </w:style>
  <w:style w:type="paragraph" w:styleId="BalloonText">
    <w:name w:val="Balloon Text"/>
    <w:basedOn w:val="Normal"/>
    <w:link w:val="BalloonTextChar"/>
    <w:uiPriority w:val="99"/>
    <w:semiHidden/>
    <w:unhideWhenUsed/>
    <w:rsid w:val="00660F75"/>
    <w:rPr>
      <w:rFonts w:ascii="Tahoma" w:hAnsi="Tahoma" w:cs="Tahoma"/>
      <w:sz w:val="16"/>
      <w:szCs w:val="16"/>
    </w:rPr>
  </w:style>
  <w:style w:type="character" w:customStyle="1" w:styleId="BalloonTextChar">
    <w:name w:val="Balloon Text Char"/>
    <w:basedOn w:val="DefaultParagraphFont"/>
    <w:link w:val="BalloonText"/>
    <w:uiPriority w:val="99"/>
    <w:semiHidden/>
    <w:rsid w:val="00660F75"/>
    <w:rPr>
      <w:rFonts w:ascii="Tahoma" w:hAnsi="Tahoma" w:cs="Tahoma"/>
      <w:sz w:val="16"/>
      <w:szCs w:val="16"/>
    </w:rPr>
  </w:style>
  <w:style w:type="character" w:customStyle="1" w:styleId="search-custom1">
    <w:name w:val="search-custom1"/>
    <w:basedOn w:val="DefaultParagraphFont"/>
    <w:rsid w:val="00195BC7"/>
    <w:rPr>
      <w:color w:val="3636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693035">
      <w:bodyDiv w:val="1"/>
      <w:marLeft w:val="0"/>
      <w:marRight w:val="0"/>
      <w:marTop w:val="0"/>
      <w:marBottom w:val="0"/>
      <w:divBdr>
        <w:top w:val="none" w:sz="0" w:space="0" w:color="auto"/>
        <w:left w:val="none" w:sz="0" w:space="0" w:color="auto"/>
        <w:bottom w:val="none" w:sz="0" w:space="0" w:color="auto"/>
        <w:right w:val="none" w:sz="0" w:space="0" w:color="auto"/>
      </w:divBdr>
    </w:div>
    <w:div w:id="1462961142">
      <w:bodyDiv w:val="1"/>
      <w:marLeft w:val="0"/>
      <w:marRight w:val="0"/>
      <w:marTop w:val="0"/>
      <w:marBottom w:val="0"/>
      <w:divBdr>
        <w:top w:val="none" w:sz="0" w:space="0" w:color="auto"/>
        <w:left w:val="none" w:sz="0" w:space="0" w:color="auto"/>
        <w:bottom w:val="none" w:sz="0" w:space="0" w:color="auto"/>
        <w:right w:val="none" w:sz="0" w:space="0" w:color="auto"/>
      </w:divBdr>
    </w:div>
    <w:div w:id="1516378933">
      <w:bodyDiv w:val="1"/>
      <w:marLeft w:val="0"/>
      <w:marRight w:val="0"/>
      <w:marTop w:val="0"/>
      <w:marBottom w:val="0"/>
      <w:divBdr>
        <w:top w:val="none" w:sz="0" w:space="0" w:color="auto"/>
        <w:left w:val="none" w:sz="0" w:space="0" w:color="auto"/>
        <w:bottom w:val="none" w:sz="0" w:space="0" w:color="auto"/>
        <w:right w:val="none" w:sz="0" w:space="0" w:color="auto"/>
      </w:divBdr>
    </w:div>
    <w:div w:id="200732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4241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Bruder, Shannon</dc:creator>
  <cp:lastModifiedBy>"%username%"</cp:lastModifiedBy>
  <cp:revision>8</cp:revision>
  <cp:lastPrinted>2017-05-31T20:35:00Z</cp:lastPrinted>
  <dcterms:created xsi:type="dcterms:W3CDTF">2017-06-02T20:25:00Z</dcterms:created>
  <dcterms:modified xsi:type="dcterms:W3CDTF">2017-06-02T20:50:00Z</dcterms:modified>
</cp:coreProperties>
</file>