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8C255" w14:textId="14DC345F" w:rsidR="001434CC" w:rsidRPr="00744249" w:rsidRDefault="00744249">
      <w:pPr>
        <w:rPr>
          <w:rFonts w:ascii="Times New Roman" w:hAnsi="Times New Roman" w:cs="Times New Roman"/>
        </w:rPr>
      </w:pPr>
      <w:r w:rsidRPr="00744249">
        <w:rPr>
          <w:rFonts w:ascii="Times New Roman" w:hAnsi="Times New Roman" w:cs="Times New Roman"/>
        </w:rPr>
        <w:t>NOFO CK21-2104 Amendments – May 11, 202</w:t>
      </w:r>
      <w:r w:rsidR="00AA2FA1">
        <w:rPr>
          <w:rFonts w:ascii="Times New Roman" w:hAnsi="Times New Roman" w:cs="Times New Roman"/>
        </w:rPr>
        <w:t>1</w:t>
      </w:r>
    </w:p>
    <w:p w14:paraId="41851FED" w14:textId="2B268D88" w:rsidR="00744249" w:rsidRPr="00744249" w:rsidRDefault="00744249">
      <w:pPr>
        <w:rPr>
          <w:rFonts w:ascii="Times New Roman" w:hAnsi="Times New Roman" w:cs="Times New Roman"/>
        </w:rPr>
      </w:pPr>
    </w:p>
    <w:p w14:paraId="55B8BF8C" w14:textId="0B0C367A" w:rsidR="00744249" w:rsidRPr="00744249" w:rsidRDefault="00744249" w:rsidP="00744249">
      <w:pPr>
        <w:rPr>
          <w:rFonts w:ascii="Times New Roman" w:hAnsi="Times New Roman" w:cs="Times New Roman"/>
          <w:b/>
          <w:bCs/>
          <w:sz w:val="21"/>
          <w:szCs w:val="21"/>
          <w:u w:val="single"/>
        </w:rPr>
      </w:pPr>
      <w:r w:rsidRPr="00744249">
        <w:rPr>
          <w:rFonts w:ascii="Times New Roman" w:hAnsi="Times New Roman" w:cs="Times New Roman"/>
          <w:b/>
          <w:bCs/>
          <w:sz w:val="21"/>
          <w:szCs w:val="21"/>
          <w:u w:val="single"/>
        </w:rPr>
        <w:t>Amendment under 10. Project Narrative/Section H. Other Information</w:t>
      </w:r>
    </w:p>
    <w:p w14:paraId="2B993441" w14:textId="63F86C7C" w:rsidR="00744249" w:rsidRDefault="00744249" w:rsidP="00744249">
      <w:pPr>
        <w:pStyle w:val="Default"/>
        <w:spacing w:line="252" w:lineRule="auto"/>
        <w:rPr>
          <w:sz w:val="21"/>
          <w:szCs w:val="21"/>
        </w:rPr>
      </w:pPr>
      <w:r w:rsidRPr="00744249">
        <w:rPr>
          <w:sz w:val="21"/>
          <w:szCs w:val="21"/>
        </w:rPr>
        <w:t xml:space="preserve">Due to the multiple components, the </w:t>
      </w:r>
      <w:r w:rsidRPr="00744249">
        <w:rPr>
          <w:b/>
          <w:bCs/>
          <w:color w:val="FF0000"/>
          <w:sz w:val="21"/>
          <w:szCs w:val="21"/>
        </w:rPr>
        <w:t>Project Narrative will be allowed a maximum of 60 pages</w:t>
      </w:r>
      <w:r w:rsidR="003A31C9">
        <w:rPr>
          <w:b/>
          <w:bCs/>
          <w:color w:val="FF0000"/>
          <w:sz w:val="21"/>
          <w:szCs w:val="21"/>
        </w:rPr>
        <w:t xml:space="preserve"> </w:t>
      </w:r>
      <w:r w:rsidR="003A31C9" w:rsidRPr="003A31C9">
        <w:rPr>
          <w:b/>
          <w:bCs/>
          <w:color w:val="auto"/>
          <w:sz w:val="21"/>
          <w:szCs w:val="21"/>
        </w:rPr>
        <w:t>(20 pages per Component)</w:t>
      </w:r>
      <w:r w:rsidRPr="003A31C9">
        <w:rPr>
          <w:color w:val="auto"/>
          <w:sz w:val="21"/>
          <w:szCs w:val="21"/>
        </w:rPr>
        <w:t xml:space="preserve">, </w:t>
      </w:r>
      <w:r w:rsidRPr="00744249">
        <w:rPr>
          <w:sz w:val="21"/>
          <w:szCs w:val="21"/>
        </w:rPr>
        <w:t>single spaced, 12-point font, 1-inch margins, and should have all pages numbered.</w:t>
      </w:r>
      <w:r>
        <w:rPr>
          <w:sz w:val="21"/>
          <w:szCs w:val="21"/>
        </w:rPr>
        <w:t xml:space="preserve">  </w:t>
      </w:r>
    </w:p>
    <w:p w14:paraId="01106A5C" w14:textId="6E92A362" w:rsidR="00744249" w:rsidRDefault="00744249">
      <w:pPr>
        <w:rPr>
          <w:rFonts w:ascii="Times New Roman" w:hAnsi="Times New Roman" w:cs="Times New Roman"/>
        </w:rPr>
      </w:pPr>
    </w:p>
    <w:p w14:paraId="00837649" w14:textId="14AC87D8" w:rsidR="00744249" w:rsidRDefault="00744249" w:rsidP="00744249">
      <w:pPr>
        <w:rPr>
          <w:rFonts w:ascii="Times New Roman" w:hAnsi="Times New Roman" w:cs="Times New Roman"/>
          <w:b/>
          <w:bCs/>
          <w:sz w:val="21"/>
          <w:szCs w:val="21"/>
          <w:u w:val="single"/>
        </w:rPr>
      </w:pPr>
      <w:r w:rsidRPr="00744249">
        <w:rPr>
          <w:rFonts w:ascii="Times New Roman" w:hAnsi="Times New Roman" w:cs="Times New Roman"/>
          <w:b/>
          <w:bCs/>
          <w:sz w:val="21"/>
          <w:szCs w:val="21"/>
          <w:u w:val="single"/>
        </w:rPr>
        <w:t xml:space="preserve">Amendment under </w:t>
      </w:r>
      <w:r>
        <w:rPr>
          <w:rFonts w:ascii="Times New Roman" w:hAnsi="Times New Roman" w:cs="Times New Roman"/>
          <w:b/>
          <w:bCs/>
          <w:sz w:val="21"/>
          <w:szCs w:val="21"/>
          <w:u w:val="single"/>
        </w:rPr>
        <w:t>C</w:t>
      </w:r>
      <w:r w:rsidRPr="00744249">
        <w:rPr>
          <w:rFonts w:ascii="Times New Roman" w:hAnsi="Times New Roman" w:cs="Times New Roman"/>
          <w:b/>
          <w:bCs/>
          <w:sz w:val="21"/>
          <w:szCs w:val="21"/>
          <w:u w:val="single"/>
        </w:rPr>
        <w:t xml:space="preserve">. </w:t>
      </w:r>
      <w:r>
        <w:rPr>
          <w:rFonts w:ascii="Times New Roman" w:hAnsi="Times New Roman" w:cs="Times New Roman"/>
          <w:b/>
          <w:bCs/>
          <w:sz w:val="21"/>
          <w:szCs w:val="21"/>
          <w:u w:val="single"/>
        </w:rPr>
        <w:t>Eligibility Information/1. Eligible Applicants</w:t>
      </w:r>
    </w:p>
    <w:p w14:paraId="2AE5FA98" w14:textId="6DDC82B0" w:rsidR="00744249" w:rsidRDefault="00744249" w:rsidP="00744249">
      <w:pPr>
        <w:rPr>
          <w:rFonts w:ascii="Times New Roman" w:hAnsi="Times New Roman" w:cs="Times New Roman"/>
          <w:sz w:val="21"/>
          <w:szCs w:val="21"/>
        </w:rPr>
      </w:pPr>
      <w:r w:rsidRPr="00744249">
        <w:rPr>
          <w:rFonts w:ascii="Times New Roman" w:hAnsi="Times New Roman" w:cs="Times New Roman"/>
          <w:sz w:val="21"/>
          <w:szCs w:val="21"/>
        </w:rPr>
        <w:t>Eligibility Categor</w:t>
      </w:r>
      <w:r>
        <w:rPr>
          <w:rFonts w:ascii="Times New Roman" w:hAnsi="Times New Roman" w:cs="Times New Roman"/>
          <w:sz w:val="21"/>
          <w:szCs w:val="21"/>
        </w:rPr>
        <w:t>y:</w:t>
      </w:r>
    </w:p>
    <w:p w14:paraId="071D2BB1" w14:textId="0076B64B"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State Governments</w:t>
      </w:r>
    </w:p>
    <w:p w14:paraId="653C067A" w14:textId="19E59622"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County Governments</w:t>
      </w:r>
    </w:p>
    <w:p w14:paraId="17BD555E" w14:textId="7828F4A2"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City or Township Governments</w:t>
      </w:r>
    </w:p>
    <w:p w14:paraId="563DD912" w14:textId="6A544F49"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Special District Governments</w:t>
      </w:r>
    </w:p>
    <w:p w14:paraId="3F7289A6" w14:textId="03342968"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Independent School Districts</w:t>
      </w:r>
    </w:p>
    <w:p w14:paraId="032530A9" w14:textId="3907480E"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Public and State Controlled Institutions of Higher Education</w:t>
      </w:r>
    </w:p>
    <w:p w14:paraId="1AFC50C0" w14:textId="67641DC5"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Native American Tribal Governments (Federally Recognized)</w:t>
      </w:r>
    </w:p>
    <w:p w14:paraId="06D702DC" w14:textId="13E4C0E6" w:rsid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Public Housing Authorities/Indian Housing Authorities</w:t>
      </w:r>
    </w:p>
    <w:p w14:paraId="49C8E243" w14:textId="62527302"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Native American Tribal Organizations (Other than Federally recognized Tribal Governments)</w:t>
      </w:r>
    </w:p>
    <w:p w14:paraId="1012FB5B" w14:textId="5D71028C"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Nonprofits having a 501(c)(3) status with the IRS, other than institutions of higher education</w:t>
      </w:r>
    </w:p>
    <w:p w14:paraId="009DD76B" w14:textId="28EA63C2"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Nonprofits without 501(c)(3) status with the IRS, other than institutions of higher education</w:t>
      </w:r>
    </w:p>
    <w:p w14:paraId="4301CA11" w14:textId="3626A327"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Private Institutions of Higher Education</w:t>
      </w:r>
    </w:p>
    <w:p w14:paraId="034DD335" w14:textId="7BBD8A33"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For Profit Organizations other than Small Businesses</w:t>
      </w:r>
    </w:p>
    <w:p w14:paraId="316BBEDD" w14:textId="266F2917"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Small Businesses</w:t>
      </w:r>
    </w:p>
    <w:p w14:paraId="118813D3" w14:textId="011F465B"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Others (see text field entitled “Additional Information on Eligibility” for clarification)</w:t>
      </w:r>
    </w:p>
    <w:p w14:paraId="27DAD326" w14:textId="2072E301" w:rsidR="00744249" w:rsidRDefault="00744249" w:rsidP="00744249">
      <w:pPr>
        <w:ind w:left="2880"/>
        <w:rPr>
          <w:rFonts w:ascii="Times New Roman" w:hAnsi="Times New Roman" w:cs="Times New Roman"/>
          <w:sz w:val="21"/>
          <w:szCs w:val="21"/>
        </w:rPr>
      </w:pPr>
      <w:r>
        <w:rPr>
          <w:rFonts w:ascii="Times New Roman" w:hAnsi="Times New Roman" w:cs="Times New Roman"/>
          <w:sz w:val="21"/>
          <w:szCs w:val="21"/>
        </w:rPr>
        <w:t>Unrestricted (i.e. open to any type of entity above), subject to any clarification in text field entitled “Additional Information on Eligibility”</w:t>
      </w:r>
    </w:p>
    <w:p w14:paraId="5A1E6708" w14:textId="77777777" w:rsidR="00744249" w:rsidRDefault="00744249" w:rsidP="00744249">
      <w:pPr>
        <w:rPr>
          <w:rFonts w:ascii="Times New Roman" w:hAnsi="Times New Roman" w:cs="Times New Roman"/>
          <w:sz w:val="21"/>
          <w:szCs w:val="21"/>
        </w:rPr>
      </w:pPr>
    </w:p>
    <w:p w14:paraId="727B6EA8" w14:textId="5B63865B" w:rsidR="00744249" w:rsidRDefault="00744249" w:rsidP="00744249">
      <w:pPr>
        <w:rPr>
          <w:rFonts w:ascii="Times New Roman" w:hAnsi="Times New Roman" w:cs="Times New Roman"/>
          <w:sz w:val="21"/>
          <w:szCs w:val="21"/>
        </w:rPr>
      </w:pPr>
      <w:r>
        <w:rPr>
          <w:rFonts w:ascii="Times New Roman" w:hAnsi="Times New Roman" w:cs="Times New Roman"/>
          <w:sz w:val="21"/>
          <w:szCs w:val="21"/>
        </w:rPr>
        <w:t>Additional Eligibility Category:</w:t>
      </w:r>
    </w:p>
    <w:p w14:paraId="142632D8" w14:textId="76CEF332" w:rsidR="00744249" w:rsidRDefault="00744249" w:rsidP="00744249">
      <w:pPr>
        <w:rPr>
          <w:rFonts w:ascii="Times New Roman" w:hAnsi="Times New Roman" w:cs="Times New Roman"/>
          <w:sz w:val="21"/>
          <w:szCs w:val="21"/>
        </w:rPr>
      </w:pPr>
      <w:r>
        <w:rPr>
          <w:rFonts w:ascii="Times New Roman" w:hAnsi="Times New Roman" w:cs="Times New Roman"/>
          <w:sz w:val="21"/>
          <w:szCs w:val="21"/>
        </w:rPr>
        <w:t>Government Organizations</w:t>
      </w:r>
    </w:p>
    <w:p w14:paraId="7C54B122" w14:textId="25FF2A30" w:rsidR="00744249" w:rsidRDefault="00744249" w:rsidP="00ED4055">
      <w:pPr>
        <w:ind w:left="2880"/>
        <w:rPr>
          <w:rFonts w:ascii="Times New Roman" w:hAnsi="Times New Roman" w:cs="Times New Roman"/>
          <w:sz w:val="21"/>
          <w:szCs w:val="21"/>
        </w:rPr>
      </w:pPr>
      <w:r>
        <w:rPr>
          <w:rFonts w:ascii="Times New Roman" w:hAnsi="Times New Roman" w:cs="Times New Roman"/>
          <w:sz w:val="21"/>
          <w:szCs w:val="21"/>
        </w:rPr>
        <w:t>State Governments or their bona fide agents (includes the District of Col</w:t>
      </w:r>
      <w:r w:rsidR="00ED4055">
        <w:rPr>
          <w:rFonts w:ascii="Times New Roman" w:hAnsi="Times New Roman" w:cs="Times New Roman"/>
          <w:sz w:val="21"/>
          <w:szCs w:val="21"/>
        </w:rPr>
        <w:t>u</w:t>
      </w:r>
      <w:r>
        <w:rPr>
          <w:rFonts w:ascii="Times New Roman" w:hAnsi="Times New Roman" w:cs="Times New Roman"/>
          <w:sz w:val="21"/>
          <w:szCs w:val="21"/>
        </w:rPr>
        <w:t>mbia</w:t>
      </w:r>
    </w:p>
    <w:p w14:paraId="490247E2" w14:textId="2DB82573" w:rsidR="00ED4055" w:rsidRDefault="00ED4055" w:rsidP="00ED4055">
      <w:pPr>
        <w:ind w:left="2880"/>
        <w:rPr>
          <w:rFonts w:ascii="Times New Roman" w:hAnsi="Times New Roman" w:cs="Times New Roman"/>
          <w:sz w:val="21"/>
          <w:szCs w:val="21"/>
        </w:rPr>
      </w:pPr>
      <w:r>
        <w:rPr>
          <w:rFonts w:ascii="Times New Roman" w:hAnsi="Times New Roman" w:cs="Times New Roman"/>
          <w:sz w:val="21"/>
          <w:szCs w:val="21"/>
        </w:rPr>
        <w:lastRenderedPageBreak/>
        <w:t>Local Governments or their bona fide agents</w:t>
      </w:r>
    </w:p>
    <w:p w14:paraId="0C8174C9" w14:textId="1D8BCD67" w:rsidR="00ED4055" w:rsidRDefault="00ED4055" w:rsidP="00ED4055">
      <w:pPr>
        <w:ind w:left="2880"/>
        <w:rPr>
          <w:rFonts w:ascii="Times New Roman" w:hAnsi="Times New Roman" w:cs="Times New Roman"/>
          <w:sz w:val="21"/>
          <w:szCs w:val="21"/>
        </w:rPr>
      </w:pPr>
      <w:r>
        <w:rPr>
          <w:rFonts w:ascii="Times New Roman" w:hAnsi="Times New Roman" w:cs="Times New Roman"/>
          <w:sz w:val="21"/>
          <w:szCs w:val="21"/>
        </w:rPr>
        <w:t>Territorial Governments or their bona fide agents in the Commonwealth of Puerto Rico, the Virgin Islands, the Commonwealth of the Northern Mariana Islands, American Samoa, Guam, the Federated States of Micronesia, the Republic of the Marshall Islands, and the Republic of Palau.</w:t>
      </w:r>
    </w:p>
    <w:p w14:paraId="1753B932" w14:textId="56A84B3B" w:rsidR="00ED4055" w:rsidRDefault="00ED4055" w:rsidP="00ED4055">
      <w:pPr>
        <w:ind w:left="2880"/>
        <w:rPr>
          <w:rFonts w:ascii="Times New Roman" w:hAnsi="Times New Roman" w:cs="Times New Roman"/>
          <w:sz w:val="21"/>
          <w:szCs w:val="21"/>
        </w:rPr>
      </w:pPr>
      <w:r>
        <w:rPr>
          <w:rFonts w:ascii="Times New Roman" w:hAnsi="Times New Roman" w:cs="Times New Roman"/>
          <w:sz w:val="21"/>
          <w:szCs w:val="21"/>
        </w:rPr>
        <w:t>State controlled institutions of higher education</w:t>
      </w:r>
    </w:p>
    <w:p w14:paraId="115B0435" w14:textId="551E76F5" w:rsidR="00ED4055" w:rsidRDefault="00ED4055" w:rsidP="00ED4055">
      <w:pPr>
        <w:ind w:left="2880"/>
        <w:rPr>
          <w:rFonts w:ascii="Times New Roman" w:hAnsi="Times New Roman" w:cs="Times New Roman"/>
          <w:sz w:val="21"/>
          <w:szCs w:val="21"/>
        </w:rPr>
      </w:pPr>
      <w:r>
        <w:rPr>
          <w:rFonts w:ascii="Times New Roman" w:hAnsi="Times New Roman" w:cs="Times New Roman"/>
          <w:sz w:val="21"/>
          <w:szCs w:val="21"/>
        </w:rPr>
        <w:t>American Indian or Alaska Native tribal governments (federally recognized or state-recognized)</w:t>
      </w:r>
    </w:p>
    <w:p w14:paraId="0CC6754A" w14:textId="0BF139AF" w:rsidR="00ED4055" w:rsidRDefault="00ED4055" w:rsidP="00ED4055">
      <w:pPr>
        <w:rPr>
          <w:rFonts w:ascii="Times New Roman" w:hAnsi="Times New Roman" w:cs="Times New Roman"/>
          <w:sz w:val="21"/>
          <w:szCs w:val="21"/>
        </w:rPr>
      </w:pPr>
      <w:r>
        <w:rPr>
          <w:rFonts w:ascii="Times New Roman" w:hAnsi="Times New Roman" w:cs="Times New Roman"/>
          <w:sz w:val="21"/>
          <w:szCs w:val="21"/>
        </w:rPr>
        <w:t>Non-Government Organizations:</w:t>
      </w:r>
    </w:p>
    <w:p w14:paraId="403E941D" w14:textId="7408C844" w:rsidR="00ED4055" w:rsidRDefault="00ED4055" w:rsidP="00ED4055">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American Indian or Alaska native tribally designated organizations</w:t>
      </w:r>
    </w:p>
    <w:p w14:paraId="0FF7C547" w14:textId="2F25E7E7" w:rsidR="00ED4055" w:rsidRDefault="00ED4055" w:rsidP="00ED4055">
      <w:pPr>
        <w:rPr>
          <w:rFonts w:ascii="Times New Roman" w:hAnsi="Times New Roman" w:cs="Times New Roman"/>
          <w:sz w:val="21"/>
          <w:szCs w:val="21"/>
        </w:rPr>
      </w:pPr>
      <w:r>
        <w:rPr>
          <w:rFonts w:ascii="Times New Roman" w:hAnsi="Times New Roman" w:cs="Times New Roman"/>
          <w:sz w:val="21"/>
          <w:szCs w:val="21"/>
        </w:rPr>
        <w:t>Other:</w:t>
      </w:r>
      <w:r>
        <w:rPr>
          <w:rFonts w:ascii="Times New Roman" w:hAnsi="Times New Roman" w:cs="Times New Roman"/>
          <w:sz w:val="21"/>
          <w:szCs w:val="21"/>
        </w:rPr>
        <w:tab/>
      </w:r>
      <w:r>
        <w:rPr>
          <w:rFonts w:ascii="Times New Roman" w:hAnsi="Times New Roman" w:cs="Times New Roman"/>
          <w:sz w:val="21"/>
          <w:szCs w:val="21"/>
        </w:rPr>
        <w:tab/>
      </w:r>
    </w:p>
    <w:p w14:paraId="5C3E4622" w14:textId="3F716594" w:rsidR="00ED4055" w:rsidRDefault="00ED4055" w:rsidP="00ED4055">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Ministries of Health</w:t>
      </w:r>
    </w:p>
    <w:p w14:paraId="5621670C" w14:textId="0B4A8215" w:rsidR="00744249" w:rsidRPr="00744249" w:rsidRDefault="00744249" w:rsidP="00744249">
      <w:pPr>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p>
    <w:p w14:paraId="6EA2FDBC" w14:textId="445F9210" w:rsidR="004E0804" w:rsidRPr="004E0804" w:rsidRDefault="004E0804" w:rsidP="004E0804">
      <w:pPr>
        <w:rPr>
          <w:rFonts w:ascii="Times New Roman" w:hAnsi="Times New Roman" w:cs="Times New Roman"/>
          <w:b/>
          <w:bCs/>
          <w:sz w:val="21"/>
          <w:szCs w:val="21"/>
          <w:u w:val="single"/>
        </w:rPr>
      </w:pPr>
      <w:r w:rsidRPr="004E0804">
        <w:rPr>
          <w:rFonts w:ascii="Times New Roman" w:hAnsi="Times New Roman" w:cs="Times New Roman"/>
          <w:b/>
          <w:bCs/>
          <w:sz w:val="21"/>
          <w:szCs w:val="21"/>
          <w:u w:val="single"/>
        </w:rPr>
        <w:t>Amendment under ii. Applicant Evaluation and Performance Measurement Plan/e. CDC Monitoring and Accountability Approach</w:t>
      </w:r>
    </w:p>
    <w:p w14:paraId="144161C6" w14:textId="76856374" w:rsidR="004E0804" w:rsidRPr="004E0804" w:rsidRDefault="004E0804" w:rsidP="004E0804">
      <w:pPr>
        <w:pStyle w:val="Heading4"/>
        <w:rPr>
          <w:rFonts w:ascii="Times New Roman" w:eastAsia="Times New Roman" w:hAnsi="Times New Roman" w:cs="Times New Roman"/>
          <w:sz w:val="21"/>
          <w:szCs w:val="21"/>
        </w:rPr>
      </w:pPr>
      <w:bookmarkStart w:id="0" w:name="_Toc66081252"/>
      <w:r w:rsidRPr="004E0804">
        <w:rPr>
          <w:rFonts w:ascii="Times New Roman" w:eastAsia="Times New Roman" w:hAnsi="Times New Roman" w:cs="Times New Roman"/>
          <w:sz w:val="21"/>
          <w:szCs w:val="21"/>
        </w:rPr>
        <w:t>f. CDC Program Support to Recipients</w:t>
      </w:r>
      <w:bookmarkEnd w:id="0"/>
    </w:p>
    <w:p w14:paraId="7645543F" w14:textId="77777777" w:rsidR="004E0804" w:rsidRPr="004E0804" w:rsidRDefault="004E0804" w:rsidP="004E0804">
      <w:pPr>
        <w:pStyle w:val="Heading4"/>
        <w:rPr>
          <w:rFonts w:ascii="Times New Roman" w:hAnsi="Times New Roman" w:cs="Times New Roman"/>
          <w:i/>
          <w:iCs/>
          <w:sz w:val="21"/>
          <w:szCs w:val="21"/>
        </w:rPr>
      </w:pPr>
    </w:p>
    <w:p w14:paraId="506FFDBA" w14:textId="615DDB9B" w:rsidR="004E0804" w:rsidRPr="004E0804" w:rsidRDefault="004E0804" w:rsidP="004E0804">
      <w:pPr>
        <w:rPr>
          <w:rFonts w:ascii="Times New Roman" w:hAnsi="Times New Roman" w:cs="Times New Roman"/>
          <w:sz w:val="21"/>
          <w:szCs w:val="21"/>
        </w:rPr>
      </w:pPr>
      <w:r w:rsidRPr="004E0804">
        <w:rPr>
          <w:rFonts w:ascii="Times New Roman" w:hAnsi="Times New Roman" w:cs="Times New Roman"/>
          <w:sz w:val="21"/>
          <w:szCs w:val="21"/>
        </w:rPr>
        <w:t>In this cooperative agreement, CDC staff will be substantially involved in program activities beyond routine grant monitoring.  Project Officers and subject matter experts from CDC’s Division of Healthcare Quality Promotion will work with subject matter experts from other CDC Divisions to serve as technical monitors for specific activities, segments, or aspects of awards made through this NOFO.</w:t>
      </w:r>
    </w:p>
    <w:p w14:paraId="7365A029" w14:textId="77777777" w:rsidR="004E0804" w:rsidRPr="004E0804" w:rsidRDefault="004E0804" w:rsidP="004E0804">
      <w:pPr>
        <w:rPr>
          <w:rFonts w:ascii="Times New Roman" w:hAnsi="Times New Roman" w:cs="Times New Roman"/>
          <w:sz w:val="21"/>
          <w:szCs w:val="21"/>
        </w:rPr>
      </w:pPr>
      <w:r w:rsidRPr="004E0804">
        <w:rPr>
          <w:rFonts w:ascii="Times New Roman" w:hAnsi="Times New Roman" w:cs="Times New Roman"/>
          <w:sz w:val="21"/>
          <w:szCs w:val="21"/>
        </w:rPr>
        <w:t>Specific CDC activities in this program include:</w:t>
      </w:r>
    </w:p>
    <w:p w14:paraId="1CBE2BB3" w14:textId="77777777" w:rsidR="004E0804" w:rsidRPr="004E0804" w:rsidRDefault="004E0804" w:rsidP="004E0804">
      <w:pPr>
        <w:pStyle w:val="ListParagraph"/>
        <w:numPr>
          <w:ilvl w:val="0"/>
          <w:numId w:val="1"/>
        </w:numPr>
        <w:rPr>
          <w:rFonts w:eastAsia="Times New Roman"/>
          <w:sz w:val="21"/>
          <w:szCs w:val="21"/>
        </w:rPr>
      </w:pPr>
      <w:r w:rsidRPr="004E0804">
        <w:rPr>
          <w:rFonts w:ascii="Times New Roman" w:eastAsia="Times New Roman" w:hAnsi="Times New Roman" w:cs="Times New Roman"/>
          <w:sz w:val="21"/>
          <w:szCs w:val="21"/>
        </w:rPr>
        <w:t>Organizing an initial orientation meeting with the recipient for a briefing on applicable U.S. Government and HHS/CDC expectations, regulations and management requirements, and report formats and contents</w:t>
      </w:r>
    </w:p>
    <w:p w14:paraId="469F2D98" w14:textId="77777777" w:rsidR="004E0804" w:rsidRPr="004E0804" w:rsidRDefault="004E0804" w:rsidP="004E0804">
      <w:pPr>
        <w:pStyle w:val="ListParagraph"/>
        <w:numPr>
          <w:ilvl w:val="0"/>
          <w:numId w:val="1"/>
        </w:numPr>
        <w:rPr>
          <w:rFonts w:eastAsia="Times New Roman"/>
          <w:sz w:val="21"/>
          <w:szCs w:val="21"/>
        </w:rPr>
      </w:pPr>
      <w:r w:rsidRPr="004E0804">
        <w:rPr>
          <w:rFonts w:ascii="Times New Roman" w:eastAsia="Times New Roman" w:hAnsi="Times New Roman" w:cs="Times New Roman"/>
          <w:sz w:val="21"/>
          <w:szCs w:val="21"/>
        </w:rPr>
        <w:t>Providing technical oversight for all activities under the award</w:t>
      </w:r>
    </w:p>
    <w:p w14:paraId="63A50991" w14:textId="77777777" w:rsidR="004E0804" w:rsidRPr="004E0804" w:rsidRDefault="004E0804" w:rsidP="004E0804">
      <w:pPr>
        <w:pStyle w:val="ListParagraph"/>
        <w:numPr>
          <w:ilvl w:val="0"/>
          <w:numId w:val="1"/>
        </w:numPr>
        <w:rPr>
          <w:rFonts w:eastAsia="Times New Roman"/>
          <w:sz w:val="21"/>
          <w:szCs w:val="21"/>
        </w:rPr>
      </w:pPr>
      <w:r w:rsidRPr="004E0804">
        <w:rPr>
          <w:rFonts w:ascii="Times New Roman" w:eastAsia="Times New Roman" w:hAnsi="Times New Roman" w:cs="Times New Roman"/>
          <w:sz w:val="21"/>
          <w:szCs w:val="21"/>
        </w:rPr>
        <w:t>Facilitate connections between recipients and CDC country offices, CDC-funded implementing partners, and other CDC partners operating in areas where the recipient is conducting activities, as warranted</w:t>
      </w:r>
    </w:p>
    <w:p w14:paraId="4D6CE85A" w14:textId="77777777" w:rsidR="004E0804" w:rsidRPr="004E0804" w:rsidRDefault="004E0804" w:rsidP="004E0804">
      <w:pPr>
        <w:pStyle w:val="ListParagraph"/>
        <w:numPr>
          <w:ilvl w:val="0"/>
          <w:numId w:val="1"/>
        </w:numPr>
        <w:rPr>
          <w:rFonts w:eastAsia="Times New Roman"/>
          <w:sz w:val="21"/>
          <w:szCs w:val="21"/>
        </w:rPr>
      </w:pPr>
      <w:r w:rsidRPr="004E0804">
        <w:rPr>
          <w:rFonts w:ascii="Times New Roman" w:eastAsia="Times New Roman" w:hAnsi="Times New Roman" w:cs="Times New Roman"/>
          <w:sz w:val="21"/>
          <w:szCs w:val="21"/>
        </w:rPr>
        <w:t>Facilitating communication across recipients through webinars and in-person meetings to advance the sharing of information and expertise in AMR detection and response and HAI prevention activities</w:t>
      </w:r>
    </w:p>
    <w:p w14:paraId="661A9504" w14:textId="77777777" w:rsidR="004E0804" w:rsidRPr="004E0804" w:rsidRDefault="004E0804" w:rsidP="004E0804">
      <w:pPr>
        <w:pStyle w:val="ListParagraph"/>
        <w:numPr>
          <w:ilvl w:val="0"/>
          <w:numId w:val="1"/>
        </w:numPr>
        <w:rPr>
          <w:rFonts w:eastAsia="Times New Roman"/>
          <w:sz w:val="21"/>
          <w:szCs w:val="21"/>
        </w:rPr>
      </w:pPr>
      <w:r w:rsidRPr="004E0804">
        <w:rPr>
          <w:rFonts w:ascii="Times New Roman" w:eastAsia="Times New Roman" w:hAnsi="Times New Roman" w:cs="Times New Roman"/>
          <w:sz w:val="21"/>
          <w:szCs w:val="21"/>
        </w:rPr>
        <w:t>Collaborating with the recipient on designing and implementing the activities described in this NOFO, including but not limited to the provision of technical assistance to develop program activities, data management and analysis, laboratory testing practices and quality assurance, implementation of surveillance systems, and developing infection control and outbreak response systems</w:t>
      </w:r>
    </w:p>
    <w:p w14:paraId="24D3AFDE" w14:textId="1241D8C5" w:rsidR="004E0804" w:rsidRPr="004E0804" w:rsidRDefault="004E0804" w:rsidP="004E0804">
      <w:pPr>
        <w:pStyle w:val="ListParagraph"/>
        <w:numPr>
          <w:ilvl w:val="0"/>
          <w:numId w:val="1"/>
        </w:numPr>
        <w:rPr>
          <w:rFonts w:eastAsia="Times New Roman"/>
          <w:sz w:val="21"/>
          <w:szCs w:val="21"/>
        </w:rPr>
      </w:pPr>
      <w:r w:rsidRPr="004E0804">
        <w:rPr>
          <w:rFonts w:ascii="Times New Roman" w:eastAsia="Times New Roman" w:hAnsi="Times New Roman" w:cs="Times New Roman"/>
          <w:sz w:val="21"/>
          <w:szCs w:val="21"/>
        </w:rPr>
        <w:t>Providing technical assistance, as mutually agreed upon, and revising technical assistance needs annually during validation of work plans and budgets.  This may include expert technical assistance and targeted training activities in specialized activities, including laboratory techniques and quality assurance, implementation of infection control protocols, and development of surveillance protocols</w:t>
      </w:r>
    </w:p>
    <w:p w14:paraId="0A92E83B" w14:textId="05651777" w:rsidR="00744249" w:rsidRPr="004E0804" w:rsidRDefault="004E0804" w:rsidP="004E0804">
      <w:pPr>
        <w:pStyle w:val="ListParagraph"/>
        <w:numPr>
          <w:ilvl w:val="0"/>
          <w:numId w:val="1"/>
        </w:numPr>
        <w:rPr>
          <w:rFonts w:eastAsia="Times New Roman"/>
          <w:sz w:val="21"/>
          <w:szCs w:val="21"/>
        </w:rPr>
      </w:pPr>
      <w:r w:rsidRPr="004E0804">
        <w:rPr>
          <w:rFonts w:ascii="Times New Roman" w:eastAsia="Times New Roman" w:hAnsi="Times New Roman" w:cs="Times New Roman"/>
          <w:sz w:val="21"/>
          <w:szCs w:val="21"/>
        </w:rPr>
        <w:t>Serving as co-authors on manuscripts and dissemination products developed as part of the project</w:t>
      </w:r>
    </w:p>
    <w:sectPr w:rsidR="00744249" w:rsidRPr="004E08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CD343C" w14:textId="77777777" w:rsidR="00C33165" w:rsidRDefault="00C33165" w:rsidP="00ED4055">
      <w:pPr>
        <w:spacing w:after="0" w:line="240" w:lineRule="auto"/>
      </w:pPr>
      <w:r>
        <w:separator/>
      </w:r>
    </w:p>
  </w:endnote>
  <w:endnote w:type="continuationSeparator" w:id="0">
    <w:p w14:paraId="25C9E58B" w14:textId="77777777" w:rsidR="00C33165" w:rsidRDefault="00C33165" w:rsidP="00ED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589BDD" w14:textId="77777777" w:rsidR="00C33165" w:rsidRDefault="00C33165" w:rsidP="00ED4055">
      <w:pPr>
        <w:spacing w:after="0" w:line="240" w:lineRule="auto"/>
      </w:pPr>
      <w:r>
        <w:separator/>
      </w:r>
    </w:p>
  </w:footnote>
  <w:footnote w:type="continuationSeparator" w:id="0">
    <w:p w14:paraId="3E3403B7" w14:textId="77777777" w:rsidR="00C33165" w:rsidRDefault="00C33165" w:rsidP="00ED4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870FC3"/>
    <w:multiLevelType w:val="hybridMultilevel"/>
    <w:tmpl w:val="FFFFFFFF"/>
    <w:lvl w:ilvl="0" w:tplc="CFDE277E">
      <w:start w:val="1"/>
      <w:numFmt w:val="bullet"/>
      <w:lvlText w:val=""/>
      <w:lvlJc w:val="left"/>
      <w:pPr>
        <w:ind w:left="720" w:hanging="360"/>
      </w:pPr>
      <w:rPr>
        <w:rFonts w:ascii="Symbol" w:hAnsi="Symbol" w:hint="default"/>
      </w:rPr>
    </w:lvl>
    <w:lvl w:ilvl="1" w:tplc="6D70BBDE">
      <w:start w:val="1"/>
      <w:numFmt w:val="bullet"/>
      <w:lvlText w:val="o"/>
      <w:lvlJc w:val="left"/>
      <w:pPr>
        <w:ind w:left="1440" w:hanging="360"/>
      </w:pPr>
      <w:rPr>
        <w:rFonts w:ascii="Courier New" w:hAnsi="Courier New" w:cs="Times New Roman" w:hint="default"/>
      </w:rPr>
    </w:lvl>
    <w:lvl w:ilvl="2" w:tplc="C616EDD8">
      <w:start w:val="1"/>
      <w:numFmt w:val="bullet"/>
      <w:lvlText w:val=""/>
      <w:lvlJc w:val="left"/>
      <w:pPr>
        <w:ind w:left="2160" w:hanging="360"/>
      </w:pPr>
      <w:rPr>
        <w:rFonts w:ascii="Wingdings" w:hAnsi="Wingdings" w:hint="default"/>
      </w:rPr>
    </w:lvl>
    <w:lvl w:ilvl="3" w:tplc="29E0E1DC">
      <w:start w:val="1"/>
      <w:numFmt w:val="bullet"/>
      <w:lvlText w:val=""/>
      <w:lvlJc w:val="left"/>
      <w:pPr>
        <w:ind w:left="2880" w:hanging="360"/>
      </w:pPr>
      <w:rPr>
        <w:rFonts w:ascii="Symbol" w:hAnsi="Symbol" w:hint="default"/>
      </w:rPr>
    </w:lvl>
    <w:lvl w:ilvl="4" w:tplc="4914F582">
      <w:start w:val="1"/>
      <w:numFmt w:val="bullet"/>
      <w:lvlText w:val="o"/>
      <w:lvlJc w:val="left"/>
      <w:pPr>
        <w:ind w:left="3600" w:hanging="360"/>
      </w:pPr>
      <w:rPr>
        <w:rFonts w:ascii="Courier New" w:hAnsi="Courier New" w:cs="Times New Roman" w:hint="default"/>
      </w:rPr>
    </w:lvl>
    <w:lvl w:ilvl="5" w:tplc="30F0C21E">
      <w:start w:val="1"/>
      <w:numFmt w:val="bullet"/>
      <w:lvlText w:val=""/>
      <w:lvlJc w:val="left"/>
      <w:pPr>
        <w:ind w:left="4320" w:hanging="360"/>
      </w:pPr>
      <w:rPr>
        <w:rFonts w:ascii="Wingdings" w:hAnsi="Wingdings" w:hint="default"/>
      </w:rPr>
    </w:lvl>
    <w:lvl w:ilvl="6" w:tplc="9CB07FAC">
      <w:start w:val="1"/>
      <w:numFmt w:val="bullet"/>
      <w:lvlText w:val=""/>
      <w:lvlJc w:val="left"/>
      <w:pPr>
        <w:ind w:left="5040" w:hanging="360"/>
      </w:pPr>
      <w:rPr>
        <w:rFonts w:ascii="Symbol" w:hAnsi="Symbol" w:hint="default"/>
      </w:rPr>
    </w:lvl>
    <w:lvl w:ilvl="7" w:tplc="62E085B0">
      <w:start w:val="1"/>
      <w:numFmt w:val="bullet"/>
      <w:lvlText w:val="o"/>
      <w:lvlJc w:val="left"/>
      <w:pPr>
        <w:ind w:left="5760" w:hanging="360"/>
      </w:pPr>
      <w:rPr>
        <w:rFonts w:ascii="Courier New" w:hAnsi="Courier New" w:cs="Times New Roman" w:hint="default"/>
      </w:rPr>
    </w:lvl>
    <w:lvl w:ilvl="8" w:tplc="41388B8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9"/>
    <w:rsid w:val="003A31C9"/>
    <w:rsid w:val="004E0804"/>
    <w:rsid w:val="00744249"/>
    <w:rsid w:val="00A3680A"/>
    <w:rsid w:val="00AA2FA1"/>
    <w:rsid w:val="00C33165"/>
    <w:rsid w:val="00DC758F"/>
    <w:rsid w:val="00ED4055"/>
    <w:rsid w:val="00F25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1D6321"/>
  <w15:chartTrackingRefBased/>
  <w15:docId w15:val="{C9ABB793-EB9B-4FC5-A9E5-89D77A5D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unhideWhenUsed/>
    <w:qFormat/>
    <w:rsid w:val="004E0804"/>
    <w:pPr>
      <w:autoSpaceDE w:val="0"/>
      <w:autoSpaceDN w:val="0"/>
      <w:spacing w:after="0" w:line="240" w:lineRule="auto"/>
      <w:outlineLvl w:val="3"/>
    </w:pPr>
    <w:rPr>
      <w:rFonts w:ascii="TimesNewRomanPS-BoldMT" w:hAnsi="TimesNewRomanPS-BoldMT" w:cs="Calibr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744249"/>
    <w:pPr>
      <w:autoSpaceDE w:val="0"/>
      <w:autoSpaceDN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4E0804"/>
    <w:rPr>
      <w:rFonts w:ascii="TimesNewRomanPS-BoldMT" w:hAnsi="TimesNewRomanPS-BoldMT" w:cs="Calibri"/>
      <w:b/>
      <w:bCs/>
      <w:color w:val="000000"/>
    </w:rPr>
  </w:style>
  <w:style w:type="paragraph" w:styleId="ListParagraph">
    <w:name w:val="List Paragraph"/>
    <w:basedOn w:val="Normal"/>
    <w:uiPriority w:val="34"/>
    <w:qFormat/>
    <w:rsid w:val="004E0804"/>
    <w:pPr>
      <w:spacing w:after="200" w:line="276" w:lineRule="auto"/>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834856">
      <w:bodyDiv w:val="1"/>
      <w:marLeft w:val="0"/>
      <w:marRight w:val="0"/>
      <w:marTop w:val="0"/>
      <w:marBottom w:val="0"/>
      <w:divBdr>
        <w:top w:val="none" w:sz="0" w:space="0" w:color="auto"/>
        <w:left w:val="none" w:sz="0" w:space="0" w:color="auto"/>
        <w:bottom w:val="none" w:sz="0" w:space="0" w:color="auto"/>
        <w:right w:val="none" w:sz="0" w:space="0" w:color="auto"/>
      </w:divBdr>
    </w:div>
    <w:div w:id="113274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Outin-Blenman, Sajata (CDC/DDID/NCEZID/DHQP)</dc:creator>
  <cp:keywords/>
  <dc:description/>
  <cp:lastModifiedBy>Comick, Nicole (CDC/OCOO/OFR/OGS)</cp:lastModifiedBy>
  <cp:revision>2</cp:revision>
  <dcterms:created xsi:type="dcterms:W3CDTF">2021-06-02T20:43:00Z</dcterms:created>
  <dcterms:modified xsi:type="dcterms:W3CDTF">2021-06-02T20:43:00Z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2021-05-11T12:50:24Z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74aa92d8-0093-46a7-b0d9-c5797a5e0ae6</vt:lpwstr>
  </property>
  <property fmtid="{D5CDD505-2E9C-101B-9397-08002B2CF9AE}" pid="8" name="MSIP_Label_7b94a7b8-f06c-4dfe-bdcc-9b548fd58c31_ContentBits">
    <vt:lpwstr>0</vt:lpwstr>
  </property>
</Properties>
</file>