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6286" w:rsidR="00356286" w:rsidP="005B40DC" w:rsidRDefault="00356286" w14:paraId="2D77A18D" w14:textId="7F7AB67F">
      <w:pPr>
        <w:jc w:val="center"/>
        <w:rPr>
          <w:rFonts w:cs="Times New Roman"/>
          <w:b/>
          <w:bCs/>
          <w:szCs w:val="28"/>
          <w:u w:val="single"/>
        </w:rPr>
      </w:pPr>
      <w:r w:rsidRPr="00356286">
        <w:rPr>
          <w:rFonts w:cs="Times New Roman"/>
          <w:b/>
          <w:bCs/>
          <w:szCs w:val="28"/>
          <w:u w:val="single"/>
        </w:rPr>
        <w:t>Questions and Answers for NOFO DFOP0018502</w:t>
      </w:r>
    </w:p>
    <w:p w:rsidRPr="00356286" w:rsidR="00356286" w:rsidP="3EF478D2" w:rsidRDefault="00356286" w14:paraId="2BB42456" w14:textId="21BA5BF7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3EF478D2" w:rsidR="00356286">
        <w:rPr>
          <w:rFonts w:cs="Times New Roman"/>
        </w:rPr>
        <w:t>The CT Program Outcome(s)</w:t>
      </w:r>
      <w:r w:rsidRPr="3EF478D2" w:rsidR="50516946">
        <w:rPr>
          <w:rFonts w:cs="Times New Roman"/>
        </w:rPr>
        <w:t xml:space="preserve"> </w:t>
      </w:r>
      <w:r w:rsidRPr="3EF478D2" w:rsidR="00356286">
        <w:rPr>
          <w:rFonts w:cs="Times New Roman"/>
        </w:rPr>
        <w:t xml:space="preserve">section all </w:t>
      </w:r>
      <w:r w:rsidRPr="3EF478D2" w:rsidR="00356286">
        <w:rPr>
          <w:rFonts w:cs="Times New Roman"/>
        </w:rPr>
        <w:t>refer</w:t>
      </w:r>
      <w:r w:rsidRPr="3EF478D2" w:rsidR="00356286">
        <w:rPr>
          <w:rFonts w:cs="Times New Roman"/>
        </w:rPr>
        <w:t xml:space="preserve"> to either (a) adoption of U.S. techniques/standards or (b) protection of U.S. citizens and interests.</w:t>
      </w:r>
      <w:r w:rsidRPr="3EF478D2" w:rsidR="00356286">
        <w:rPr>
          <w:rFonts w:cs="Times New Roman"/>
        </w:rPr>
        <w:t xml:space="preserve">  </w:t>
      </w:r>
      <w:r w:rsidRPr="3EF478D2" w:rsidR="00356286">
        <w:rPr>
          <w:rFonts w:cs="Times New Roman"/>
        </w:rPr>
        <w:t>Is the intention for COOP programs to support U.S. persons/entities, or to apply U.S. standards to foreign persons/entities?</w:t>
      </w:r>
    </w:p>
    <w:p w:rsidR="00711AD8" w:rsidP="00C50409" w:rsidRDefault="00C50409" w14:paraId="07D13743" w14:textId="52691C6D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  <w:b/>
          <w:bCs/>
          <w:szCs w:val="28"/>
        </w:rPr>
      </w:pPr>
      <w:r w:rsidRPr="00C50409">
        <w:rPr>
          <w:rFonts w:cs="Times New Roman"/>
          <w:b/>
          <w:bCs/>
          <w:szCs w:val="28"/>
        </w:rPr>
        <w:t>This program will support foreign persons and entities in alignment with U.S. counterterrorism policy and objectives.</w:t>
      </w:r>
    </w:p>
    <w:p w:rsidRPr="00C50409" w:rsidR="00C50409" w:rsidP="00C50409" w:rsidRDefault="00C50409" w14:paraId="226A41CF" w14:textId="77777777">
      <w:pPr>
        <w:pStyle w:val="ListParagraph"/>
        <w:spacing w:after="0" w:line="240" w:lineRule="auto"/>
        <w:ind w:left="1440"/>
        <w:rPr>
          <w:rFonts w:cs="Times New Roman"/>
          <w:b/>
          <w:bCs/>
          <w:szCs w:val="28"/>
        </w:rPr>
      </w:pPr>
    </w:p>
    <w:p w:rsidR="00356286" w:rsidP="00711AD8" w:rsidRDefault="00356286" w14:paraId="251BC2D4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Please could you confirm if there are any priority countries within the priority region?</w:t>
      </w:r>
    </w:p>
    <w:p w:rsidR="00711AD8" w:rsidP="00C50409" w:rsidRDefault="00C50409" w14:paraId="7530B206" w14:textId="631FEF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The applicant should identify and justify beneficiary countries based on the proposed approach and understanding of the problem set. 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Areas of interest include the Indo-Pacific and Western Hemisphere; however, proposals are not limited to those regions, as stated in the NOFO.</w:t>
      </w:r>
    </w:p>
    <w:p w:rsidRPr="00C50409" w:rsidR="00C50409" w:rsidP="00C50409" w:rsidRDefault="00C50409" w14:paraId="0F4EC057" w14:textId="77777777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3EF478D2" w:rsidRDefault="00356286" w14:paraId="350E1350" w14:textId="79925EBE">
      <w:pPr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3EF478D2" w:rsidR="00356286">
        <w:rPr>
          <w:rFonts w:eastAsia="Times New Roman" w:cs="Times New Roman"/>
          <w:color w:val="000000"/>
          <w:kern w:val="0"/>
          <w14:ligatures w14:val="none"/>
        </w:rPr>
        <w:t xml:space="preserve">Are bids expected to target </w:t>
      </w:r>
      <w:r w:rsidRPr="3EF478D2" w:rsidR="00356286">
        <w:rPr>
          <w:rFonts w:eastAsia="Times New Roman" w:cs="Times New Roman"/>
          <w:color w:val="000000"/>
          <w:kern w:val="0"/>
          <w14:ligatures w14:val="none"/>
        </w:rPr>
        <w:t xml:space="preserve">more</w:t>
      </w:r>
      <w:r w:rsidRPr="3EF478D2" w:rsidR="00356286">
        <w:rPr>
          <w:rFonts w:eastAsia="Times New Roman" w:cs="Times New Roman"/>
          <w:color w:val="000000" w:themeColor="text1" w:themeTint="FF" w:themeShade="FF"/>
        </w:rPr>
        <w:t xml:space="preserve"> than one country or region? If they only target one country/region, are bids eligible to apply for the full award amount?</w:t>
      </w:r>
    </w:p>
    <w:p w:rsidR="00711AD8" w:rsidP="3EF478D2" w:rsidRDefault="00C50409" w14:paraId="442B5D26" w14:textId="4C3972E5">
      <w:pPr>
        <w:pStyle w:val="ListParagraph"/>
        <w:numPr>
          <w:ilvl w:val="1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b w:val="1"/>
          <w:bCs w:val="1"/>
          <w:color w:val="000000"/>
          <w:kern w:val="0"/>
          <w14:ligatures w14:val="none"/>
        </w:rPr>
      </w:pPr>
      <w:r w:rsidRPr="3EF478D2" w:rsidR="00C50409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The NOFO does not require applicants to target more than one country or region.</w:t>
      </w:r>
      <w:r w:rsidRPr="3EF478D2" w:rsidR="00C50409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 </w:t>
      </w:r>
      <w:r w:rsidRPr="3EF478D2" w:rsidR="00C50409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Applicants should propose and justify the geographic scope most appropriate to their approach and the problem set.</w:t>
      </w:r>
      <w:r w:rsidRPr="3EF478D2" w:rsidR="00C50409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 </w:t>
      </w:r>
      <w:r w:rsidRPr="3EF478D2" w:rsidR="00C50409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Similarly, applicants are not required to request the full award amount; however, proposed budgets should be commensurate with the scope of activities and anticipated results.</w:t>
      </w:r>
    </w:p>
    <w:p w:rsidRPr="00C50409" w:rsidR="00C50409" w:rsidP="00C50409" w:rsidRDefault="00C50409" w14:paraId="55D898D4" w14:textId="77777777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7807A4CC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Are there priority FTOs (jihadist networks, drug cartels or individual extremists) that the bid should target in the priority regions or elsewhere?</w:t>
      </w:r>
    </w:p>
    <w:p w:rsidR="00711AD8" w:rsidP="00711AD8" w:rsidRDefault="00C50409" w14:paraId="1DA0B678" w14:textId="5B27097B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The NOFO does not identify specific priority FTOs. 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Applicants should identify and justify priority FTOs based on regional context and their understanding of the problem set.</w:t>
      </w:r>
    </w:p>
    <w:p w:rsidRPr="00C50409" w:rsidR="00C50409" w:rsidP="00C50409" w:rsidRDefault="00C50409" w14:paraId="2098FEED" w14:textId="77777777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584A23EA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While specific entities / agencies will depend on the country, are there any priority law enforcement units that should be targeted for capacity building in identification, investigation or prosecution efforts?</w:t>
      </w:r>
    </w:p>
    <w:p w:rsidR="00711AD8" w:rsidP="00711AD8" w:rsidRDefault="00711AD8" w14:paraId="7485DF46" w14:textId="03A38AC1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711AD8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Based on the NOFO, CT does not identify specific law enforcement units or agencies that must be targeted. </w:t>
      </w:r>
      <w:r w:rsid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Pr="00711AD8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Instead, applicants are expected to propose and justify the most </w:t>
      </w:r>
      <w:r w:rsidRPr="00711AD8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lastRenderedPageBreak/>
        <w:t>appropriate counterparts based on the online recruitment threat environment and institutional context in the selected countries.</w:t>
      </w:r>
    </w:p>
    <w:p w:rsidRPr="00711AD8" w:rsidR="00C50409" w:rsidP="00C50409" w:rsidRDefault="00C50409" w14:paraId="341403F1" w14:textId="77777777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2F50A0F3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Can equipment be provided as part of the program if it supports capacity building efforts? If so, is there a limit to the budget amount that can be apportioned to equipment?</w:t>
      </w:r>
    </w:p>
    <w:p w:rsidR="00281A27" w:rsidP="3EF478D2" w:rsidRDefault="00281A27" w14:paraId="503562A9" w14:textId="1E1EF4F5">
      <w:pPr>
        <w:numPr>
          <w:ilvl w:val="1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b w:val="1"/>
          <w:bCs w:val="1"/>
          <w:color w:val="000000"/>
          <w:kern w:val="0"/>
          <w14:ligatures w14:val="none"/>
        </w:rPr>
      </w:pP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Yes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, e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quipment may be included if it is necessary to achieve the program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objectives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and is clearly tied to proposed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activities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.</w:t>
      </w:r>
      <w:r w:rsidRPr="3EF478D2" w:rsidR="00C50409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The NOFO does not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establish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a specific cap on equipment costs; however, all costs must be reasonable, necessary, and well justified in relation to the proposed activities and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anticipated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results.</w:t>
      </w:r>
    </w:p>
    <w:p w:rsidRPr="00281A27" w:rsidR="00C50409" w:rsidP="00C50409" w:rsidRDefault="00C50409" w14:paraId="349671D6" w14:textId="77777777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433B550E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Can bidders include private sector partners (e.g. coordination with social media companies)?</w:t>
      </w:r>
    </w:p>
    <w:p w:rsidR="00711AD8" w:rsidP="00711AD8" w:rsidRDefault="00281A27" w14:paraId="222D2F5D" w14:textId="3F50D7A3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Yes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, th</w:t>
      </w: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e NOFO encourages engagement with industry.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 </w:t>
      </w: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Applicants may include private sector partners, such as social media and technology companies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.  Your proposal should clearly detail how their </w:t>
      </w: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support</w:t>
      </w:r>
      <w:r w:rsidR="005B40D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aligns with</w:t>
      </w: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the program’s objectives and outcomes.</w:t>
      </w:r>
      <w:r w:rsidRPr="00711AD8" w:rsidR="00711AD8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</w:p>
    <w:p w:rsidRPr="00711AD8" w:rsidR="00C50409" w:rsidP="00C50409" w:rsidRDefault="00C50409" w14:paraId="4EA04C49" w14:textId="77777777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563ADE90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Beyond the DOS State Agency Strategic Plan and National Security Strategy objectives, are there any specific program-level objectives required to support achievement of CT Program Outcomes?</w:t>
      </w:r>
    </w:p>
    <w:p w:rsidR="00281A27" w:rsidP="20AF4BF6" w:rsidRDefault="00281A27" w14:paraId="5B9C8E12" w14:textId="5B13C8E4">
      <w:pPr>
        <w:numPr>
          <w:ilvl w:val="1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b w:val="1"/>
          <w:bCs w:val="1"/>
          <w:color w:val="000000"/>
          <w:kern w:val="0"/>
          <w14:ligatures w14:val="none"/>
        </w:rPr>
      </w:pP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Beyond alignment with the </w:t>
      </w:r>
      <w:r w:rsidRPr="0CEA27DD" w:rsidR="29374F63">
        <w:rPr>
          <w:rFonts w:eastAsia="Times New Roman" w:cs="Times New Roman"/>
          <w:b w:val="1"/>
          <w:bCs w:val="1"/>
          <w:color w:val="000000" w:themeColor="text1" w:themeTint="FF" w:themeShade="FF"/>
        </w:rPr>
        <w:t xml:space="preserve">NOFO’s listed 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National Security Strategy and Department of State Agency Strategic Plan</w:t>
      </w:r>
      <w:r w:rsidRPr="0CEA27DD" w:rsidR="2E2B5D9F">
        <w:rPr>
          <w:rFonts w:eastAsia="Times New Roman" w:cs="Times New Roman"/>
          <w:b w:val="1"/>
          <w:bCs w:val="1"/>
          <w:color w:val="000000" w:themeColor="text1" w:themeTint="FF" w:themeShade="FF"/>
        </w:rPr>
        <w:t xml:space="preserve"> goals and </w:t>
      </w:r>
      <w:r w:rsidRPr="0CEA27DD" w:rsidR="2E2B5D9F">
        <w:rPr>
          <w:rFonts w:eastAsia="Times New Roman" w:cs="Times New Roman"/>
          <w:b w:val="1"/>
          <w:bCs w:val="1"/>
          <w:color w:val="000000" w:themeColor="text1" w:themeTint="FF" w:themeShade="FF"/>
        </w:rPr>
        <w:t>objectives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, </w:t>
      </w:r>
      <w:r w:rsidRPr="20AF4BF6" w:rsidR="38148F78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proposals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should 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demonstrate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how their proposed activities contribute to the CT Program Outcomes 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identified</w:t>
      </w:r>
      <w:r w:rsidRPr="20AF4BF6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in the NOFO.</w:t>
      </w:r>
    </w:p>
    <w:p w:rsidRPr="00281A27" w:rsidR="00C50409" w:rsidP="00C50409" w:rsidRDefault="00C50409" w14:paraId="42CF67CD" w14:textId="77777777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2B792A68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Are bidders expected to submit official permission letters from host governments as part of the proposal?</w:t>
      </w:r>
    </w:p>
    <w:p w:rsidR="00C50409" w:rsidP="00C50409" w:rsidRDefault="00281A27" w14:paraId="5DFD3D6C" w14:textId="1355556B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5B40D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Official permission letters are only required if they are necessary for the proposed program activities. </w:t>
      </w:r>
      <w:r w:rsidRPr="005B40DC" w:rsid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Pr="005B40D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As stated in the NOFO, applicants should include official permission letters, </w:t>
      </w:r>
      <w:r w:rsidRPr="005B40DC">
        <w:rPr>
          <w:rFonts w:eastAsia="Times New Roman" w:cs="Times New Roman"/>
          <w:b/>
          <w:bCs/>
          <w:i/>
          <w:iCs/>
          <w:color w:val="000000"/>
          <w:kern w:val="0"/>
          <w:szCs w:val="28"/>
          <w14:ligatures w14:val="none"/>
        </w:rPr>
        <w:t>if required</w:t>
      </w:r>
      <w:r w:rsidRPr="005B40D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, for program implementation. </w:t>
      </w:r>
      <w:r w:rsidRPr="005B40DC" w:rsid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</w:p>
    <w:p w:rsidRPr="005B40DC" w:rsidR="005B40DC" w:rsidP="005B40DC" w:rsidRDefault="005B40DC" w14:paraId="51A34BF6" w14:textId="77777777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625CA76E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Please could you confirm if tables, graphs, graphics, workplan, etc. can have font size 10 instead to be included in the proposal narrative?</w:t>
      </w:r>
    </w:p>
    <w:p w:rsidR="00281A27" w:rsidP="3EF478D2" w:rsidRDefault="00281A27" w14:paraId="374C7E44" w14:textId="6C9409A8">
      <w:pPr>
        <w:numPr>
          <w:ilvl w:val="1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="Times New Roman"/>
          <w:b w:val="1"/>
          <w:bCs w:val="1"/>
          <w:color w:val="000000"/>
          <w:kern w:val="0"/>
          <w14:ligatures w14:val="none"/>
        </w:rPr>
      </w:pP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The NOFO specifies that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proposal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documents </w:t>
      </w:r>
      <w:r w:rsidRPr="3EF478D2" w:rsidR="728BA0A4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must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be single-spaced, 12-point Times New Roman font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.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 xml:space="preserve">  </w:t>
      </w:r>
      <w:r w:rsidRPr="3EF478D2" w:rsidR="00281A27">
        <w:rPr>
          <w:rFonts w:eastAsia="Times New Roman" w:cs="Times New Roman"/>
          <w:b w:val="1"/>
          <w:bCs w:val="1"/>
          <w:color w:val="000000"/>
          <w:kern w:val="0"/>
          <w14:ligatures w14:val="none"/>
        </w:rPr>
        <w:t>However, applicants may use a smaller font size in tables, graphs, graphics, workplans, and similar visual elements, provided the content remains clear and legible.</w:t>
      </w:r>
    </w:p>
    <w:p w:rsidRPr="00281A27" w:rsidR="00C50409" w:rsidP="3EF478D2" w:rsidRDefault="00C50409" w14:paraId="0CEBE53F" w14:textId="77777777">
      <w:pPr>
        <w:shd w:val="clear" w:color="auto" w:fill="FFFFFF" w:themeFill="background1"/>
        <w:spacing w:after="0" w:line="240" w:lineRule="auto"/>
        <w:ind w:left="0"/>
        <w:textAlignment w:val="baseline"/>
        <w:rPr>
          <w:rFonts w:eastAsia="Times New Roman" w:cs="Times New Roman"/>
          <w:b w:val="1"/>
          <w:bCs w:val="1"/>
          <w:color w:val="000000"/>
          <w:kern w:val="0"/>
          <w14:ligatures w14:val="none"/>
        </w:rPr>
      </w:pPr>
    </w:p>
    <w:p w:rsidR="00356286" w:rsidP="00711AD8" w:rsidRDefault="00356286" w14:paraId="17900406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Please could you confirm the font size for footnotes?</w:t>
      </w:r>
    </w:p>
    <w:p w:rsidR="00281A27" w:rsidP="00281A27" w:rsidRDefault="00281A27" w14:paraId="5FD954E0" w14:textId="3B1E62C0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The NOFO does not specify a font size for footnotes.</w:t>
      </w:r>
      <w:r w:rsidR="005B40D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 </w:t>
      </w:r>
      <w:r w:rsidRPr="00281A27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Applicants should ensure that footnotes are clear and legible and otherwise comply with the formatting requirements outlined in the NOFO.</w:t>
      </w:r>
    </w:p>
    <w:p w:rsidRPr="00281A27" w:rsidR="00C50409" w:rsidP="00C50409" w:rsidRDefault="00C50409" w14:paraId="61E2B82F" w14:textId="77777777">
      <w:pPr>
        <w:shd w:val="clear" w:color="auto" w:fill="FFFFFF"/>
        <w:spacing w:after="0" w:line="240" w:lineRule="auto"/>
        <w:ind w:left="1440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</w:p>
    <w:p w:rsidR="00356286" w:rsidP="00711AD8" w:rsidRDefault="00356286" w14:paraId="0AF72496" w14:textId="17BF394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>Please could you confirm if there is a daily rate cap for consultants or SMEs?</w:t>
      </w:r>
      <w:r w:rsidR="005B40D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</w:t>
      </w:r>
      <w:r w:rsidRPr="00356286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If yes, what is the cap?</w:t>
      </w:r>
    </w:p>
    <w:p w:rsidRPr="00C50409" w:rsidR="00281A27" w:rsidP="00281A27" w:rsidRDefault="00C50409" w14:paraId="064E515A" w14:textId="302B12B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The NOFO does not establish a daily rate cap for consultants or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SMEs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. 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Applicants should ensure that all consultant costs are well 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justified and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commensurate with the proposed level of effort and expertise. </w:t>
      </w:r>
      <w:r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Pr="00C5040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Proposed costs will be evaluated as part of the overall budget review.</w:t>
      </w:r>
    </w:p>
    <w:p w:rsidRPr="00281A27" w:rsidR="00356286" w:rsidP="00281A27" w:rsidRDefault="00356286" w14:paraId="23A22470" w14:textId="00169DEC">
      <w:pPr>
        <w:spacing w:after="0" w:line="240" w:lineRule="auto"/>
        <w:rPr>
          <w:b/>
          <w:bCs/>
        </w:rPr>
      </w:pPr>
    </w:p>
    <w:sectPr w:rsidRPr="00281A27" w:rsidR="003562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724D"/>
    <w:multiLevelType w:val="multilevel"/>
    <w:tmpl w:val="959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DD62D66"/>
    <w:multiLevelType w:val="hybridMultilevel"/>
    <w:tmpl w:val="914E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01732"/>
    <w:multiLevelType w:val="multilevel"/>
    <w:tmpl w:val="5AC6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318874">
    <w:abstractNumId w:val="2"/>
  </w:num>
  <w:num w:numId="2" w16cid:durableId="448861663">
    <w:abstractNumId w:val="1"/>
  </w:num>
  <w:num w:numId="3" w16cid:durableId="147437357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86"/>
    <w:rsid w:val="0015252C"/>
    <w:rsid w:val="00281A27"/>
    <w:rsid w:val="00356286"/>
    <w:rsid w:val="005B40DC"/>
    <w:rsid w:val="00711AD8"/>
    <w:rsid w:val="00C04845"/>
    <w:rsid w:val="00C26EA3"/>
    <w:rsid w:val="00C50409"/>
    <w:rsid w:val="00D13100"/>
    <w:rsid w:val="00F0747C"/>
    <w:rsid w:val="00F30B98"/>
    <w:rsid w:val="0CEA27DD"/>
    <w:rsid w:val="20AF4BF6"/>
    <w:rsid w:val="29374F63"/>
    <w:rsid w:val="2E2B5D9F"/>
    <w:rsid w:val="315E6970"/>
    <w:rsid w:val="38148F78"/>
    <w:rsid w:val="3EF478D2"/>
    <w:rsid w:val="50516946"/>
    <w:rsid w:val="540B328D"/>
    <w:rsid w:val="5D5C3CB7"/>
    <w:rsid w:val="6BD2741C"/>
    <w:rsid w:val="728BA0A4"/>
    <w:rsid w:val="7C62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326E"/>
  <w15:chartTrackingRefBased/>
  <w15:docId w15:val="{F36AEE42-8C85-46D7-B2F8-110B3D4D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2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2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28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28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28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286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28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28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28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62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62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6286"/>
    <w:rPr>
      <w:rFonts w:asciiTheme="minorHAnsi" w:hAnsiTheme="minorHAnsi" w:eastAsiaTheme="majorEastAsia" w:cstheme="majorBidi"/>
      <w:color w:val="0F4761" w:themeColor="accent1" w:themeShade="BF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628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628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628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6286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628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6286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2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62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286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6286"/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2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6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2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6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2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4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04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openxmlformats.org/officeDocument/2006/relationships/customXml" Target="../customXml/item4.xml" Id="rId1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2" ma:contentTypeDescription="Create a new document." ma:contentTypeScope="" ma:versionID="30df536e8ce8cbd1227f8e1d074fc706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b6ccc7208c95d3658db3a11192c128ce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bdbf6-6090-41e6-9226-f60a63a8a4d1">
      <Terms xmlns="http://schemas.microsoft.com/office/infopath/2007/PartnerControls"/>
    </lcf76f155ced4ddcb4097134ff3c332f>
    <TaxCatchAll xmlns="ea92db80-b0ca-4fcb-bfd9-e77afbc7ed20" xsi:nil="true"/>
    <Country_x002f_Region_x002f_Global xmlns="526bdbf6-6090-41e6-9226-f60a63a8a4d1" xsi:nil="true"/>
  </documentManagement>
</p:properties>
</file>

<file path=customXml/itemProps1.xml><?xml version="1.0" encoding="utf-8"?>
<ds:datastoreItem xmlns:ds="http://schemas.openxmlformats.org/officeDocument/2006/customXml" ds:itemID="{93FBED6F-9731-4ED8-AB9E-6833CE457B76}"/>
</file>

<file path=customXml/itemProps2.xml><?xml version="1.0" encoding="utf-8"?>
<ds:datastoreItem xmlns:ds="http://schemas.openxmlformats.org/officeDocument/2006/customXml" ds:itemID="{5FBF60E8-00D3-4BF5-9EA0-7539CE9C3279}"/>
</file>

<file path=customXml/itemProps3.xml><?xml version="1.0" encoding="utf-8"?>
<ds:datastoreItem xmlns:ds="http://schemas.openxmlformats.org/officeDocument/2006/customXml" ds:itemID="{20B950C3-392B-493F-BC33-60F1F88DCAC9}"/>
</file>

<file path=customXml/itemProps4.xml><?xml version="1.0" encoding="utf-8"?>
<ds:datastoreItem xmlns:ds="http://schemas.openxmlformats.org/officeDocument/2006/customXml" ds:itemID="{D2547656-8706-4E0B-9F08-7FD1610993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Corson, Kaitlyn L</dc:creator>
  <keywords/>
  <dc:description/>
  <lastModifiedBy>Corson, Kaitlyn L</lastModifiedBy>
  <revision>6</revision>
  <dcterms:created xsi:type="dcterms:W3CDTF">2026-06-15T15:08:00.0000000Z</dcterms:created>
  <dcterms:modified xsi:type="dcterms:W3CDTF">2026-06-17T19:31:38.2231865Z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2026-06-15T15:48:55Z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74a9e81c-8257-4632-94b3-73757fde894b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ContentTypeId">
    <vt:lpwstr>0x010100EBC3BE4A6AE11C4F817B4BD2A0D95531</vt:lpwstr>
  </property>
  <property fmtid="{D5CDD505-2E9C-101B-9397-08002B2CF9AE}" pid="11" name="MediaServiceImageTags">
    <vt:lpwstr/>
  </property>
</Properties>
</file>