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1544AE69" w:rsidR="00BA69FA" w:rsidRDefault="15C92538" w:rsidP="06F58BB5">
      <w:pPr>
        <w:rPr>
          <w:rFonts w:ascii="Times New Roman" w:eastAsia="Times New Roman" w:hAnsi="Times New Roman" w:cs="Times New Roman"/>
          <w:b/>
          <w:bCs/>
          <w:color w:val="323130"/>
          <w:sz w:val="24"/>
          <w:szCs w:val="24"/>
        </w:rPr>
      </w:pPr>
      <w:r w:rsidRPr="06F58BB5">
        <w:rPr>
          <w:rFonts w:ascii="Times New Roman" w:eastAsia="Times New Roman" w:hAnsi="Times New Roman" w:cs="Times New Roman"/>
          <w:b/>
          <w:bCs/>
          <w:color w:val="323130"/>
          <w:sz w:val="24"/>
          <w:szCs w:val="24"/>
        </w:rPr>
        <w:t xml:space="preserve">Questions for NOFO Opportunity Number: </w:t>
      </w:r>
      <w:bookmarkStart w:id="0" w:name="_GoBack"/>
      <w:r w:rsidR="00A06B6B" w:rsidRPr="00A06B6B">
        <w:rPr>
          <w:rFonts w:ascii="Times New Roman" w:eastAsia="Times New Roman" w:hAnsi="Times New Roman" w:cs="Times New Roman"/>
          <w:b/>
          <w:bCs/>
          <w:color w:val="323130"/>
          <w:sz w:val="24"/>
          <w:szCs w:val="24"/>
        </w:rPr>
        <w:t>SFOP0007230</w:t>
      </w:r>
      <w:bookmarkEnd w:id="0"/>
    </w:p>
    <w:p w14:paraId="59CE89D4" w14:textId="143292B8" w:rsidR="3BBCBE7E" w:rsidRDefault="00A06B6B" w:rsidP="06F58BB5">
      <w:pPr>
        <w:rPr>
          <w:rFonts w:ascii="Times New Roman" w:eastAsia="Times New Roman" w:hAnsi="Times New Roman" w:cs="Times New Roman"/>
          <w:b/>
          <w:bCs/>
          <w:color w:val="323130"/>
          <w:sz w:val="24"/>
          <w:szCs w:val="24"/>
        </w:rPr>
      </w:pPr>
      <w:r>
        <w:rPr>
          <w:rFonts w:ascii="Times New Roman" w:eastAsia="Times New Roman" w:hAnsi="Times New Roman" w:cs="Times New Roman"/>
          <w:b/>
          <w:bCs/>
          <w:color w:val="323130"/>
          <w:sz w:val="24"/>
          <w:szCs w:val="24"/>
        </w:rPr>
        <w:t>August 12, 2020</w:t>
      </w:r>
    </w:p>
    <w:p w14:paraId="75398BA5" w14:textId="3A8A3DF2" w:rsidR="00E51FA3" w:rsidRDefault="00E51FA3" w:rsidP="00E51FA3">
      <w:pPr>
        <w:pStyle w:val="NormalWeb"/>
        <w:shd w:val="clear" w:color="auto" w:fill="FFFFFF"/>
        <w:jc w:val="both"/>
        <w:rPr>
          <w:color w:val="323130"/>
        </w:rPr>
      </w:pPr>
      <w:r>
        <w:rPr>
          <w:color w:val="323130"/>
        </w:rPr>
        <w:t>1. </w:t>
      </w:r>
      <w:r w:rsidR="00A06B6B" w:rsidRPr="00A06B6B">
        <w:rPr>
          <w:b/>
          <w:bCs/>
          <w:color w:val="323130"/>
        </w:rPr>
        <w:t>The solicitation mentions, "the geographic focus of this project should be Latin America, Asia, Eastern Europe, or can be global."  Would a proposal focused on West African organized crime fit the scope of this notice of funding opportunity?</w:t>
      </w:r>
      <w:r>
        <w:rPr>
          <w:color w:val="C82613"/>
        </w:rPr>
        <w:t>​</w:t>
      </w:r>
    </w:p>
    <w:p w14:paraId="4D1EA787" w14:textId="22E46EBA" w:rsidR="00E51FA3" w:rsidRPr="00B62627" w:rsidRDefault="00E51FA3" w:rsidP="00B62627">
      <w:pPr>
        <w:jc w:val="both"/>
        <w:rPr>
          <w:i/>
          <w:iCs/>
          <w:color w:val="FF0000"/>
        </w:rPr>
      </w:pPr>
      <w:r>
        <w:rPr>
          <w:i/>
          <w:iCs/>
          <w:color w:val="FF0000"/>
        </w:rPr>
        <w:t xml:space="preserve">The NOFO states, “Eligible organizations may include: (U.S. based non-profit/non-governmental organizations (NGOs) or </w:t>
      </w:r>
      <w:r>
        <w:rPr>
          <w:i/>
          <w:iCs/>
          <w:color w:val="FF0000"/>
          <w:u w:val="single"/>
        </w:rPr>
        <w:t>educational institutions having a 501(c)(3) status</w:t>
      </w:r>
      <w:r>
        <w:rPr>
          <w:i/>
          <w:iCs/>
          <w:color w:val="FF0000"/>
        </w:rPr>
        <w:t xml:space="preserve"> with the IRS or overseas-based non-profit/non-governmental organizations (NGOs) or private/state educational institutions. See complete eligibility criteria below.”</w:t>
      </w:r>
      <w:r w:rsidR="00B62627">
        <w:rPr>
          <w:i/>
          <w:iCs/>
          <w:color w:val="FF0000"/>
        </w:rPr>
        <w:t xml:space="preserve"> If your institution does not fit the criteria, then you will ineligible to apply. </w:t>
      </w:r>
    </w:p>
    <w:p w14:paraId="2C0DD098" w14:textId="77777777" w:rsidR="00E51FA3" w:rsidRDefault="00E51FA3" w:rsidP="00E51FA3">
      <w:pPr>
        <w:pStyle w:val="NormalWeb"/>
        <w:shd w:val="clear" w:color="auto" w:fill="FFFFFF"/>
        <w:jc w:val="both"/>
        <w:rPr>
          <w:color w:val="323130"/>
        </w:rPr>
      </w:pPr>
      <w:r>
        <w:rPr>
          <w:color w:val="323130"/>
        </w:rPr>
        <w:t>2. </w:t>
      </w:r>
      <w:r>
        <w:rPr>
          <w:b/>
          <w:bCs/>
          <w:color w:val="323130"/>
        </w:rPr>
        <w:t>General: </w:t>
      </w:r>
      <w:r>
        <w:rPr>
          <w:color w:val="323130"/>
        </w:rPr>
        <w:t>The NOFO clearly identifies Eastern Europe, Central Europe, and Western Balkans as three regions of interest. Can you explain how you are defining these regions (e.g. what countries are you including/excluding from these regions)? </w:t>
      </w:r>
    </w:p>
    <w:p w14:paraId="363E4CF0" w14:textId="02EB1813" w:rsidR="00E51FA3" w:rsidRDefault="00A06B6B" w:rsidP="00E51FA3">
      <w:pPr>
        <w:jc w:val="both"/>
        <w:rPr>
          <w:color w:val="000000"/>
        </w:rPr>
      </w:pPr>
      <w:r w:rsidRPr="00A06B6B">
        <w:rPr>
          <w:i/>
          <w:iCs/>
          <w:color w:val="FF0000"/>
          <w:shd w:val="clear" w:color="auto" w:fill="FFFFFF"/>
        </w:rPr>
        <w:t>INL encourages applicants to prepare concrete proposals based on their expertise and background on this issue.  While INL will consider proposals with global geographic scope, at this time INL considers Latin America, Asia, and Eastern Europe to be priority regions for this project.</w:t>
      </w:r>
    </w:p>
    <w:p w14:paraId="027EC484" w14:textId="7716D0F0" w:rsidR="06F58BB5" w:rsidRPr="00D04928" w:rsidRDefault="06F58BB5" w:rsidP="00E51FA3">
      <w:pPr>
        <w:jc w:val="both"/>
        <w:rPr>
          <w:rFonts w:ascii="Times New Roman" w:eastAsia="Times New Roman" w:hAnsi="Times New Roman" w:cs="Times New Roman"/>
          <w:sz w:val="24"/>
          <w:szCs w:val="24"/>
        </w:rPr>
      </w:pPr>
    </w:p>
    <w:sectPr w:rsidR="06F58BB5" w:rsidRPr="00D049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14D25" w14:textId="77777777" w:rsidR="00D04928" w:rsidRDefault="00D04928" w:rsidP="00D04928">
      <w:pPr>
        <w:spacing w:after="0" w:line="240" w:lineRule="auto"/>
      </w:pPr>
      <w:r>
        <w:separator/>
      </w:r>
    </w:p>
  </w:endnote>
  <w:endnote w:type="continuationSeparator" w:id="0">
    <w:p w14:paraId="6D9E438A" w14:textId="77777777" w:rsidR="00D04928" w:rsidRDefault="00D04928" w:rsidP="00D0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EC437" w14:textId="77777777" w:rsidR="00D04928" w:rsidRDefault="00D04928" w:rsidP="00D04928">
      <w:pPr>
        <w:spacing w:after="0" w:line="240" w:lineRule="auto"/>
      </w:pPr>
      <w:r>
        <w:separator/>
      </w:r>
    </w:p>
  </w:footnote>
  <w:footnote w:type="continuationSeparator" w:id="0">
    <w:p w14:paraId="09B7AFC2" w14:textId="77777777" w:rsidR="00D04928" w:rsidRDefault="00D04928" w:rsidP="00D04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4582"/>
    <w:multiLevelType w:val="hybridMultilevel"/>
    <w:tmpl w:val="7C8C9C12"/>
    <w:lvl w:ilvl="0" w:tplc="C79084AC">
      <w:start w:val="1"/>
      <w:numFmt w:val="bullet"/>
      <w:lvlText w:val=""/>
      <w:lvlJc w:val="left"/>
      <w:pPr>
        <w:ind w:left="720" w:hanging="360"/>
      </w:pPr>
      <w:rPr>
        <w:rFonts w:ascii="Symbol" w:hAnsi="Symbol" w:hint="default"/>
      </w:rPr>
    </w:lvl>
    <w:lvl w:ilvl="1" w:tplc="3946BB40">
      <w:start w:val="1"/>
      <w:numFmt w:val="bullet"/>
      <w:lvlText w:val="o"/>
      <w:lvlJc w:val="left"/>
      <w:pPr>
        <w:ind w:left="1440" w:hanging="360"/>
      </w:pPr>
      <w:rPr>
        <w:rFonts w:ascii="Courier New" w:hAnsi="Courier New" w:hint="default"/>
      </w:rPr>
    </w:lvl>
    <w:lvl w:ilvl="2" w:tplc="400A20DA">
      <w:start w:val="1"/>
      <w:numFmt w:val="bullet"/>
      <w:lvlText w:val=""/>
      <w:lvlJc w:val="left"/>
      <w:pPr>
        <w:ind w:left="2160" w:hanging="360"/>
      </w:pPr>
      <w:rPr>
        <w:rFonts w:ascii="Wingdings" w:hAnsi="Wingdings" w:hint="default"/>
      </w:rPr>
    </w:lvl>
    <w:lvl w:ilvl="3" w:tplc="B274A148">
      <w:start w:val="1"/>
      <w:numFmt w:val="bullet"/>
      <w:lvlText w:val=""/>
      <w:lvlJc w:val="left"/>
      <w:pPr>
        <w:ind w:left="2880" w:hanging="360"/>
      </w:pPr>
      <w:rPr>
        <w:rFonts w:ascii="Symbol" w:hAnsi="Symbol" w:hint="default"/>
      </w:rPr>
    </w:lvl>
    <w:lvl w:ilvl="4" w:tplc="AE266CEC">
      <w:start w:val="1"/>
      <w:numFmt w:val="bullet"/>
      <w:lvlText w:val="o"/>
      <w:lvlJc w:val="left"/>
      <w:pPr>
        <w:ind w:left="3600" w:hanging="360"/>
      </w:pPr>
      <w:rPr>
        <w:rFonts w:ascii="Courier New" w:hAnsi="Courier New" w:hint="default"/>
      </w:rPr>
    </w:lvl>
    <w:lvl w:ilvl="5" w:tplc="F0F20258">
      <w:start w:val="1"/>
      <w:numFmt w:val="bullet"/>
      <w:lvlText w:val=""/>
      <w:lvlJc w:val="left"/>
      <w:pPr>
        <w:ind w:left="4320" w:hanging="360"/>
      </w:pPr>
      <w:rPr>
        <w:rFonts w:ascii="Wingdings" w:hAnsi="Wingdings" w:hint="default"/>
      </w:rPr>
    </w:lvl>
    <w:lvl w:ilvl="6" w:tplc="451A4D4E">
      <w:start w:val="1"/>
      <w:numFmt w:val="bullet"/>
      <w:lvlText w:val=""/>
      <w:lvlJc w:val="left"/>
      <w:pPr>
        <w:ind w:left="5040" w:hanging="360"/>
      </w:pPr>
      <w:rPr>
        <w:rFonts w:ascii="Symbol" w:hAnsi="Symbol" w:hint="default"/>
      </w:rPr>
    </w:lvl>
    <w:lvl w:ilvl="7" w:tplc="251ACF12">
      <w:start w:val="1"/>
      <w:numFmt w:val="bullet"/>
      <w:lvlText w:val="o"/>
      <w:lvlJc w:val="left"/>
      <w:pPr>
        <w:ind w:left="5760" w:hanging="360"/>
      </w:pPr>
      <w:rPr>
        <w:rFonts w:ascii="Courier New" w:hAnsi="Courier New" w:hint="default"/>
      </w:rPr>
    </w:lvl>
    <w:lvl w:ilvl="8" w:tplc="A03E1130">
      <w:start w:val="1"/>
      <w:numFmt w:val="bullet"/>
      <w:lvlText w:val=""/>
      <w:lvlJc w:val="left"/>
      <w:pPr>
        <w:ind w:left="6480" w:hanging="360"/>
      </w:pPr>
      <w:rPr>
        <w:rFonts w:ascii="Wingdings" w:hAnsi="Wingdings" w:hint="default"/>
      </w:rPr>
    </w:lvl>
  </w:abstractNum>
  <w:abstractNum w:abstractNumId="1" w15:restartNumberingAfterBreak="0">
    <w:nsid w:val="359967DB"/>
    <w:multiLevelType w:val="hybridMultilevel"/>
    <w:tmpl w:val="06A2E426"/>
    <w:lvl w:ilvl="0" w:tplc="286C3CBC">
      <w:start w:val="1"/>
      <w:numFmt w:val="decimal"/>
      <w:lvlText w:val="%1."/>
      <w:lvlJc w:val="left"/>
      <w:pPr>
        <w:ind w:left="720" w:hanging="360"/>
      </w:pPr>
    </w:lvl>
    <w:lvl w:ilvl="1" w:tplc="6EF65F64">
      <w:start w:val="1"/>
      <w:numFmt w:val="lowerLetter"/>
      <w:lvlText w:val="%2."/>
      <w:lvlJc w:val="left"/>
      <w:pPr>
        <w:ind w:left="1440" w:hanging="360"/>
      </w:pPr>
    </w:lvl>
    <w:lvl w:ilvl="2" w:tplc="FCBEAF20">
      <w:start w:val="1"/>
      <w:numFmt w:val="lowerRoman"/>
      <w:lvlText w:val="%3."/>
      <w:lvlJc w:val="right"/>
      <w:pPr>
        <w:ind w:left="2160" w:hanging="180"/>
      </w:pPr>
    </w:lvl>
    <w:lvl w:ilvl="3" w:tplc="CDBA01EE">
      <w:start w:val="1"/>
      <w:numFmt w:val="decimal"/>
      <w:lvlText w:val="%4."/>
      <w:lvlJc w:val="left"/>
      <w:pPr>
        <w:ind w:left="2880" w:hanging="360"/>
      </w:pPr>
    </w:lvl>
    <w:lvl w:ilvl="4" w:tplc="5CE08D94">
      <w:start w:val="1"/>
      <w:numFmt w:val="lowerLetter"/>
      <w:lvlText w:val="%5."/>
      <w:lvlJc w:val="left"/>
      <w:pPr>
        <w:ind w:left="3600" w:hanging="360"/>
      </w:pPr>
    </w:lvl>
    <w:lvl w:ilvl="5" w:tplc="D9FC1BAA">
      <w:start w:val="1"/>
      <w:numFmt w:val="lowerRoman"/>
      <w:lvlText w:val="%6."/>
      <w:lvlJc w:val="right"/>
      <w:pPr>
        <w:ind w:left="4320" w:hanging="180"/>
      </w:pPr>
    </w:lvl>
    <w:lvl w:ilvl="6" w:tplc="A3CE88EA">
      <w:start w:val="1"/>
      <w:numFmt w:val="decimal"/>
      <w:lvlText w:val="%7."/>
      <w:lvlJc w:val="left"/>
      <w:pPr>
        <w:ind w:left="5040" w:hanging="360"/>
      </w:pPr>
    </w:lvl>
    <w:lvl w:ilvl="7" w:tplc="FC88781A">
      <w:start w:val="1"/>
      <w:numFmt w:val="lowerLetter"/>
      <w:lvlText w:val="%8."/>
      <w:lvlJc w:val="left"/>
      <w:pPr>
        <w:ind w:left="5760" w:hanging="360"/>
      </w:pPr>
    </w:lvl>
    <w:lvl w:ilvl="8" w:tplc="F476F83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ECA179"/>
    <w:rsid w:val="0057FBAA"/>
    <w:rsid w:val="005E6AA0"/>
    <w:rsid w:val="00A06B6B"/>
    <w:rsid w:val="00B62627"/>
    <w:rsid w:val="00BA69FA"/>
    <w:rsid w:val="00D04928"/>
    <w:rsid w:val="00E51FA3"/>
    <w:rsid w:val="01B1F654"/>
    <w:rsid w:val="0385D21F"/>
    <w:rsid w:val="052BAF1C"/>
    <w:rsid w:val="06F58BB5"/>
    <w:rsid w:val="08D10D0C"/>
    <w:rsid w:val="0B7B0AA8"/>
    <w:rsid w:val="0D3DA4D3"/>
    <w:rsid w:val="0E938F1C"/>
    <w:rsid w:val="0F522D91"/>
    <w:rsid w:val="13E9BB49"/>
    <w:rsid w:val="152C3780"/>
    <w:rsid w:val="15C92538"/>
    <w:rsid w:val="17FFB44A"/>
    <w:rsid w:val="1A94D40B"/>
    <w:rsid w:val="1AF598FA"/>
    <w:rsid w:val="1C32C9F9"/>
    <w:rsid w:val="1CECA179"/>
    <w:rsid w:val="1ED5F371"/>
    <w:rsid w:val="2176CBF4"/>
    <w:rsid w:val="23F80B88"/>
    <w:rsid w:val="2E206731"/>
    <w:rsid w:val="33261EB4"/>
    <w:rsid w:val="3385FCD4"/>
    <w:rsid w:val="3478A8C5"/>
    <w:rsid w:val="35FBBB6B"/>
    <w:rsid w:val="3AA1EB11"/>
    <w:rsid w:val="3B6EB5E0"/>
    <w:rsid w:val="3B76E8DF"/>
    <w:rsid w:val="3BAE555D"/>
    <w:rsid w:val="3BBCBE7E"/>
    <w:rsid w:val="3DFE384E"/>
    <w:rsid w:val="3F88DBF3"/>
    <w:rsid w:val="42DB55EE"/>
    <w:rsid w:val="44DA1D2B"/>
    <w:rsid w:val="456CAA36"/>
    <w:rsid w:val="48E048EE"/>
    <w:rsid w:val="4AD8AC8B"/>
    <w:rsid w:val="525359E1"/>
    <w:rsid w:val="537213D6"/>
    <w:rsid w:val="53A9B3DD"/>
    <w:rsid w:val="5584BEE1"/>
    <w:rsid w:val="55DBBECA"/>
    <w:rsid w:val="5616F416"/>
    <w:rsid w:val="5B636066"/>
    <w:rsid w:val="5CDF9B1E"/>
    <w:rsid w:val="60121886"/>
    <w:rsid w:val="626F1A20"/>
    <w:rsid w:val="635A45A2"/>
    <w:rsid w:val="66013243"/>
    <w:rsid w:val="66B09EA2"/>
    <w:rsid w:val="69B48F36"/>
    <w:rsid w:val="6A3AC70F"/>
    <w:rsid w:val="6ADF0046"/>
    <w:rsid w:val="6BDD5019"/>
    <w:rsid w:val="6EE35D33"/>
    <w:rsid w:val="6F4CABB0"/>
    <w:rsid w:val="6FDBBA1B"/>
    <w:rsid w:val="704C1288"/>
    <w:rsid w:val="708DB946"/>
    <w:rsid w:val="71C4BA1F"/>
    <w:rsid w:val="766EC439"/>
    <w:rsid w:val="78649BF4"/>
    <w:rsid w:val="7933FC50"/>
    <w:rsid w:val="7CFA6764"/>
    <w:rsid w:val="7E89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ECA179"/>
  <w15:chartTrackingRefBased/>
  <w15:docId w15:val="{7F5C2DC1-4835-4B67-878B-46015538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1FA3"/>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Kourtni N</dc:creator>
  <cp:keywords/>
  <dc:description/>
  <cp:lastModifiedBy>Washington, Najar D</cp:lastModifiedBy>
  <cp:revision>2</cp:revision>
  <dcterms:created xsi:type="dcterms:W3CDTF">2020-08-12T19:36:00Z</dcterms:created>
  <dcterms:modified xsi:type="dcterms:W3CDTF">2020-08-12T19:36:00Z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2020-06-29T15:26:51.2066425Z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88f333c0-9fef-4b7e-bb93-d98a511f9e50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