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4BF4231F" w14:textId="77777777" w:rsidR="002F5776" w:rsidRDefault="002F5776" w:rsidP="00406C30">
      <w:pPr>
        <w:pStyle w:val="Title"/>
        <w:ind w:left="720" w:hanging="720"/>
        <w:jc w:val="left"/>
        <w:rPr>
          <w:rFonts w:asciiTheme="minorHAnsi" w:hAnsiTheme="minorHAnsi"/>
          <w:highlight w:val="lightGray"/>
        </w:rPr>
      </w:pPr>
    </w:p>
    <w:p w14:paraId="7A612A1E" w14:textId="6DFFF296" w:rsidR="00D56B55" w:rsidRPr="00F45C68" w:rsidRDefault="00762CF9" w:rsidP="003F4AF4">
      <w:pPr>
        <w:pStyle w:val="Heading1"/>
        <w:spacing w:after="240"/>
        <w:rPr>
          <w:rFonts w:asciiTheme="minorHAnsi" w:hAnsiTheme="minorHAnsi"/>
        </w:rPr>
      </w:pPr>
      <w:r>
        <w:rPr>
          <w:rFonts w:asciiTheme="minorHAnsi" w:hAnsiTheme="minorHAnsi"/>
        </w:rPr>
        <w:t>Endangered Species Recovery Implementation</w:t>
      </w:r>
    </w:p>
    <w:p w14:paraId="7F32930C" w14:textId="5A823875" w:rsidR="003F4AF4" w:rsidRDefault="003F4AF4" w:rsidP="0069639B">
      <w:pPr>
        <w:pStyle w:val="Title"/>
        <w:spacing w:after="240"/>
        <w:rPr>
          <w:rFonts w:asciiTheme="minorHAnsi" w:hAnsiTheme="minorHAnsi"/>
          <w:b w:val="0"/>
          <w:sz w:val="22"/>
          <w:szCs w:val="22"/>
        </w:rPr>
      </w:pPr>
      <w:r>
        <w:rPr>
          <w:rFonts w:asciiTheme="minorHAnsi" w:hAnsiTheme="minorHAnsi"/>
          <w:sz w:val="22"/>
          <w:szCs w:val="22"/>
        </w:rPr>
        <w:t xml:space="preserve">Notice of Funding Opportunity Number: </w:t>
      </w:r>
      <w:r w:rsidR="00370FDE">
        <w:rPr>
          <w:rFonts w:ascii="Times" w:hAnsi="Times" w:cs="Times"/>
          <w:color w:val="000000"/>
        </w:rPr>
        <w:t>F19AS00174</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1DDF289D"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762CF9" w:rsidRPr="00762CF9">
        <w:rPr>
          <w:rFonts w:asciiTheme="minorHAnsi" w:hAnsiTheme="minorHAnsi"/>
          <w:b w:val="0"/>
          <w:sz w:val="22"/>
          <w:szCs w:val="22"/>
        </w:rPr>
        <w:t>Pacific Islands Fish and Wildlife Office</w:t>
      </w:r>
    </w:p>
    <w:p w14:paraId="37F256E4" w14:textId="57ABDFDD"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762CF9">
        <w:rPr>
          <w:rFonts w:asciiTheme="minorHAnsi" w:hAnsiTheme="minorHAnsi"/>
          <w:b w:val="0"/>
          <w:sz w:val="22"/>
          <w:szCs w:val="22"/>
        </w:rPr>
        <w:t>Mariana Crow Monitoring</w:t>
      </w:r>
    </w:p>
    <w:p w14:paraId="7C39043E" w14:textId="27EF599C"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762CF9" w:rsidRPr="00762CF9">
        <w:rPr>
          <w:rFonts w:asciiTheme="minorHAnsi" w:hAnsiTheme="minorHAnsi"/>
          <w:b w:val="0"/>
          <w:sz w:val="22"/>
          <w:szCs w:val="22"/>
        </w:rPr>
        <w:t>15.657</w:t>
      </w:r>
    </w:p>
    <w:p w14:paraId="597473D9" w14:textId="60DF146D" w:rsidR="00A52265" w:rsidRPr="00B97301" w:rsidRDefault="00A15D51" w:rsidP="00B97301">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B97301" w:rsidRPr="00B97301">
        <w:rPr>
          <w:b w:val="0"/>
        </w:rPr>
        <w:t>Endangered Species Act of 1973, 16 U.S.C. 1531 et. seq. as amended</w:t>
      </w:r>
      <w:r w:rsidR="00B97301" w:rsidRPr="00B97301">
        <w:rPr>
          <w:rFonts w:asciiTheme="minorHAnsi" w:hAnsiTheme="minorHAnsi"/>
          <w:b w:val="0"/>
          <w:sz w:val="22"/>
          <w:szCs w:val="22"/>
          <w:highlight w:val="cyan"/>
        </w:rPr>
        <w:t xml:space="preserve"> </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B97301">
        <w:rPr>
          <w:rFonts w:asciiTheme="minorHAnsi" w:eastAsia="Calibri" w:hAnsiTheme="minorHAnsi" w:cs="Calibri"/>
          <w:sz w:val="22"/>
          <w:szCs w:val="22"/>
        </w:rPr>
        <w:t xml:space="preserve">on average </w:t>
      </w:r>
      <w:r w:rsidR="006B0A3B" w:rsidRPr="00B97301">
        <w:rPr>
          <w:rFonts w:asciiTheme="minorHAnsi" w:eastAsia="Calibri" w:hAnsiTheme="minorHAnsi" w:cs="Calibri"/>
          <w:sz w:val="22"/>
          <w:szCs w:val="22"/>
        </w:rPr>
        <w:t xml:space="preserve">about </w:t>
      </w:r>
      <w:r w:rsidR="002C2EFD" w:rsidRPr="00B97301">
        <w:rPr>
          <w:rFonts w:asciiTheme="minorHAnsi" w:eastAsia="Calibri" w:hAnsiTheme="minorHAnsi" w:cs="Calibri"/>
          <w:sz w:val="22"/>
          <w:szCs w:val="22"/>
        </w:rPr>
        <w:t>40</w:t>
      </w:r>
      <w:r w:rsidRPr="00B97301">
        <w:rPr>
          <w:rFonts w:asciiTheme="minorHAnsi" w:eastAsia="Calibri" w:hAnsiTheme="minorHAnsi" w:cs="Calibri"/>
          <w:sz w:val="22"/>
          <w:szCs w:val="22"/>
        </w:rPr>
        <w:t xml:space="preserve"> hours to complete an initial application, </w:t>
      </w:r>
      <w:r w:rsidR="00C516D7" w:rsidRPr="00B97301">
        <w:rPr>
          <w:rFonts w:asciiTheme="minorHAnsi" w:eastAsia="Calibri" w:hAnsiTheme="minorHAnsi" w:cs="Calibri"/>
          <w:sz w:val="22"/>
          <w:szCs w:val="22"/>
        </w:rPr>
        <w:t xml:space="preserve">about </w:t>
      </w:r>
      <w:r w:rsidR="002C2EFD" w:rsidRPr="00B97301">
        <w:rPr>
          <w:rFonts w:asciiTheme="minorHAnsi" w:eastAsia="Calibri" w:hAnsiTheme="minorHAnsi" w:cs="Calibri"/>
          <w:sz w:val="22"/>
          <w:szCs w:val="22"/>
        </w:rPr>
        <w:t>3</w:t>
      </w:r>
      <w:r w:rsidRPr="00B97301">
        <w:rPr>
          <w:rFonts w:asciiTheme="minorHAnsi" w:eastAsia="Calibri" w:hAnsiTheme="minorHAnsi" w:cs="Calibri"/>
          <w:sz w:val="22"/>
          <w:szCs w:val="22"/>
        </w:rPr>
        <w:t xml:space="preserve"> hours to revise the terms of an award, and </w:t>
      </w:r>
      <w:r w:rsidR="00C516D7" w:rsidRPr="00B97301">
        <w:rPr>
          <w:rFonts w:asciiTheme="minorHAnsi" w:eastAsia="Calibri" w:hAnsiTheme="minorHAnsi" w:cs="Calibri"/>
          <w:sz w:val="22"/>
          <w:szCs w:val="22"/>
        </w:rPr>
        <w:t xml:space="preserve">about </w:t>
      </w:r>
      <w:r w:rsidR="002C2EFD" w:rsidRPr="00B97301">
        <w:rPr>
          <w:rFonts w:asciiTheme="minorHAnsi" w:eastAsia="Calibri" w:hAnsiTheme="minorHAnsi" w:cs="Calibri"/>
          <w:sz w:val="22"/>
          <w:szCs w:val="22"/>
        </w:rPr>
        <w:t>8</w:t>
      </w:r>
      <w:r w:rsidRPr="00B97301">
        <w:rPr>
          <w:rFonts w:asciiTheme="minorHAnsi" w:eastAsia="Calibri" w:hAnsiTheme="minorHAnsi" w:cs="Calibri"/>
          <w:sz w:val="22"/>
          <w:szCs w:val="22"/>
        </w:rPr>
        <w:t xml:space="preserve"> hours </w:t>
      </w:r>
      <w:r w:rsidR="002C2EFD" w:rsidRPr="00B97301">
        <w:rPr>
          <w:rFonts w:asciiTheme="minorHAnsi" w:eastAsia="Calibri" w:hAnsiTheme="minorHAnsi" w:cs="Calibri"/>
          <w:sz w:val="22"/>
          <w:szCs w:val="22"/>
        </w:rPr>
        <w:t>per</w:t>
      </w:r>
      <w:r w:rsidR="002C2EFD" w:rsidRPr="00F45C68">
        <w:rPr>
          <w:rFonts w:asciiTheme="minorHAnsi" w:eastAsia="Calibri" w:hAnsiTheme="minorHAnsi" w:cs="Calibri"/>
          <w:sz w:val="22"/>
          <w:szCs w:val="22"/>
        </w:rPr>
        <w:t xml:space="preserve">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0487210D" w14:textId="59685CB2" w:rsidR="00DA785A" w:rsidRPr="00DA785A" w:rsidRDefault="00DA785A" w:rsidP="00DA785A">
      <w:pPr>
        <w:spacing w:after="240"/>
        <w:rPr>
          <w:rFonts w:asciiTheme="minorHAnsi" w:hAnsiTheme="minorHAnsi"/>
          <w:sz w:val="22"/>
          <w:szCs w:val="22"/>
        </w:rPr>
      </w:pPr>
      <w:r w:rsidRPr="00DA785A">
        <w:rPr>
          <w:rFonts w:asciiTheme="minorHAnsi" w:hAnsiTheme="minorHAnsi"/>
          <w:sz w:val="22"/>
          <w:szCs w:val="22"/>
        </w:rPr>
        <w:t>The Mariana Crow population on Rota has declined by 90% since the 1980s, largely due to poor first year survival. Between 2009 and 2018, the primary cause of death for juvenile Mariana Crows necropsied by the USGS National Wildlife Health Center was a poorly understood inflammatory disease with pathology suggestive of an infectious agent. To date, twenty aga carcasses, representing nearly 10% of the current population, have shown e</w:t>
      </w:r>
      <w:r>
        <w:rPr>
          <w:rFonts w:asciiTheme="minorHAnsi" w:hAnsiTheme="minorHAnsi"/>
          <w:sz w:val="22"/>
          <w:szCs w:val="22"/>
        </w:rPr>
        <w:t xml:space="preserve">vidence of this disease. </w:t>
      </w:r>
    </w:p>
    <w:p w14:paraId="0BBD35FF" w14:textId="1F3CA562" w:rsidR="00DA785A" w:rsidRPr="00DA785A" w:rsidRDefault="00DA785A" w:rsidP="00DA785A">
      <w:pPr>
        <w:spacing w:after="240"/>
        <w:rPr>
          <w:rFonts w:asciiTheme="minorHAnsi" w:hAnsiTheme="minorHAnsi"/>
          <w:sz w:val="22"/>
          <w:szCs w:val="22"/>
        </w:rPr>
      </w:pPr>
      <w:r w:rsidRPr="00DA785A">
        <w:rPr>
          <w:rFonts w:asciiTheme="minorHAnsi" w:hAnsiTheme="minorHAnsi"/>
          <w:sz w:val="22"/>
          <w:szCs w:val="22"/>
        </w:rPr>
        <w:t xml:space="preserve">The goal of this project is to identify a source of mortality in the Rota population of the aga by hiring a field team leader and technicians to implement a telemetry study that monitors the aga in order to rapidly collect carcasses to assist in identifying the disease, determine its origin, estimate its prevalence, and understand its role in the decline of the species. While disease is a major cause of mortality, other factors may also be important in the species decline and could be detected through this telemetry project. We will also be able to directly measure mortality rates in this age class, as well as learn about post-fledging dispersal.  </w:t>
      </w:r>
    </w:p>
    <w:p w14:paraId="37EC4A61" w14:textId="77777777" w:rsidR="001C037B" w:rsidRDefault="001C037B" w:rsidP="00DA785A">
      <w:pPr>
        <w:spacing w:after="240"/>
        <w:rPr>
          <w:rFonts w:asciiTheme="minorHAnsi" w:hAnsiTheme="minorHAnsi"/>
          <w:sz w:val="22"/>
          <w:szCs w:val="22"/>
        </w:rPr>
      </w:pPr>
    </w:p>
    <w:p w14:paraId="74CD3659" w14:textId="6C5FF2A3" w:rsidR="00DA785A" w:rsidRPr="00DA785A" w:rsidRDefault="00DA785A" w:rsidP="00DA785A">
      <w:pPr>
        <w:spacing w:after="240"/>
        <w:rPr>
          <w:rFonts w:asciiTheme="minorHAnsi" w:hAnsiTheme="minorHAnsi"/>
          <w:sz w:val="22"/>
          <w:szCs w:val="22"/>
        </w:rPr>
      </w:pPr>
      <w:r w:rsidRPr="00DA785A">
        <w:rPr>
          <w:rFonts w:asciiTheme="minorHAnsi" w:hAnsiTheme="minorHAnsi"/>
          <w:sz w:val="22"/>
          <w:szCs w:val="22"/>
        </w:rPr>
        <w:lastRenderedPageBreak/>
        <w:t>Objectives:</w:t>
      </w:r>
    </w:p>
    <w:p w14:paraId="7FAAF5CE" w14:textId="77777777" w:rsidR="00DA785A" w:rsidRPr="00DA785A" w:rsidRDefault="00DA785A" w:rsidP="00DA785A">
      <w:pPr>
        <w:spacing w:after="240"/>
        <w:rPr>
          <w:rFonts w:asciiTheme="minorHAnsi" w:hAnsiTheme="minorHAnsi"/>
          <w:sz w:val="22"/>
          <w:szCs w:val="22"/>
        </w:rPr>
      </w:pPr>
      <w:r w:rsidRPr="00DA785A">
        <w:rPr>
          <w:rFonts w:asciiTheme="minorHAnsi" w:hAnsiTheme="minorHAnsi"/>
          <w:sz w:val="22"/>
          <w:szCs w:val="22"/>
        </w:rPr>
        <w:t xml:space="preserve">1. Capture and radio-tag 25 fledglings during 2018-19 (this represents approximately 75% of fledglings produced during an average year).  </w:t>
      </w:r>
    </w:p>
    <w:p w14:paraId="5CA4DB3E" w14:textId="77777777" w:rsidR="00DA785A" w:rsidRPr="00DA785A" w:rsidRDefault="00DA785A" w:rsidP="00DA785A">
      <w:pPr>
        <w:spacing w:after="240"/>
        <w:rPr>
          <w:rFonts w:asciiTheme="minorHAnsi" w:hAnsiTheme="minorHAnsi"/>
          <w:sz w:val="22"/>
          <w:szCs w:val="22"/>
        </w:rPr>
      </w:pPr>
      <w:r w:rsidRPr="00DA785A">
        <w:rPr>
          <w:rFonts w:asciiTheme="minorHAnsi" w:hAnsiTheme="minorHAnsi"/>
          <w:sz w:val="22"/>
          <w:szCs w:val="22"/>
        </w:rPr>
        <w:t>2. Collect bio-samples from individuals at tagging, and monitor individuals for mortality (via radio-telemetry) for 6 months post-fledging.</w:t>
      </w:r>
    </w:p>
    <w:p w14:paraId="3B7BB9A8" w14:textId="77777777" w:rsidR="00DA785A" w:rsidRPr="00DA785A" w:rsidRDefault="00DA785A" w:rsidP="00DA785A">
      <w:pPr>
        <w:spacing w:after="240"/>
        <w:rPr>
          <w:rFonts w:asciiTheme="minorHAnsi" w:hAnsiTheme="minorHAnsi"/>
          <w:sz w:val="22"/>
          <w:szCs w:val="22"/>
        </w:rPr>
      </w:pPr>
      <w:r w:rsidRPr="00DA785A">
        <w:rPr>
          <w:rFonts w:asciiTheme="minorHAnsi" w:hAnsiTheme="minorHAnsi"/>
          <w:sz w:val="22"/>
          <w:szCs w:val="22"/>
        </w:rPr>
        <w:t>3. Check for mortality signals on all tagged individuals every 12 hours, to ensure prompt collection of carcasses and to minimize loss of data due to decomposition or scavenging.</w:t>
      </w:r>
    </w:p>
    <w:p w14:paraId="148E3D99" w14:textId="77777777" w:rsidR="00DA785A" w:rsidRPr="00DA785A" w:rsidRDefault="00DA785A" w:rsidP="00DA785A">
      <w:pPr>
        <w:spacing w:after="240"/>
        <w:rPr>
          <w:rFonts w:asciiTheme="minorHAnsi" w:hAnsiTheme="minorHAnsi"/>
          <w:sz w:val="22"/>
          <w:szCs w:val="22"/>
        </w:rPr>
      </w:pPr>
      <w:r w:rsidRPr="00DA785A">
        <w:rPr>
          <w:rFonts w:asciiTheme="minorHAnsi" w:hAnsiTheme="minorHAnsi"/>
          <w:sz w:val="22"/>
          <w:szCs w:val="22"/>
        </w:rPr>
        <w:t>4. Send all bio-samples and carcasses to Dr. Thierry Work (USGS National Wildlife Health Center) for necropsy, laboratory analyses, and to contribute to his ongoing investigation into disease.</w:t>
      </w:r>
    </w:p>
    <w:p w14:paraId="2FDDC8B6" w14:textId="77777777" w:rsidR="00DA785A" w:rsidRPr="00DA785A" w:rsidRDefault="00DA785A" w:rsidP="00DA785A">
      <w:pPr>
        <w:spacing w:after="240"/>
        <w:rPr>
          <w:rFonts w:asciiTheme="minorHAnsi" w:hAnsiTheme="minorHAnsi"/>
          <w:sz w:val="22"/>
          <w:szCs w:val="22"/>
        </w:rPr>
      </w:pPr>
      <w:r w:rsidRPr="00DA785A">
        <w:rPr>
          <w:rFonts w:asciiTheme="minorHAnsi" w:hAnsiTheme="minorHAnsi"/>
          <w:sz w:val="22"/>
          <w:szCs w:val="22"/>
        </w:rPr>
        <w:t>5. Calculate mortality rates in the tagged population of fledglings.</w:t>
      </w:r>
    </w:p>
    <w:p w14:paraId="6A69B572" w14:textId="77777777" w:rsidR="00DA785A" w:rsidRPr="00DA785A" w:rsidRDefault="00DA785A" w:rsidP="00DA785A">
      <w:pPr>
        <w:spacing w:after="240"/>
        <w:rPr>
          <w:rFonts w:asciiTheme="minorHAnsi" w:hAnsiTheme="minorHAnsi"/>
          <w:sz w:val="22"/>
          <w:szCs w:val="22"/>
        </w:rPr>
      </w:pPr>
      <w:r w:rsidRPr="00DA785A">
        <w:rPr>
          <w:rFonts w:asciiTheme="minorHAnsi" w:hAnsiTheme="minorHAnsi"/>
          <w:sz w:val="22"/>
          <w:szCs w:val="22"/>
        </w:rPr>
        <w:t>6. Evaluate dispersal patterns.</w:t>
      </w:r>
    </w:p>
    <w:p w14:paraId="0E5D423F" w14:textId="23E765FC" w:rsidR="00DA785A" w:rsidRPr="00DA785A" w:rsidRDefault="00DA785A" w:rsidP="00BF7767">
      <w:pPr>
        <w:spacing w:after="240"/>
        <w:rPr>
          <w:rFonts w:asciiTheme="minorHAnsi" w:hAnsiTheme="minorHAnsi"/>
          <w:sz w:val="22"/>
          <w:szCs w:val="22"/>
        </w:rPr>
      </w:pPr>
      <w:r w:rsidRPr="00DA785A">
        <w:rPr>
          <w:rFonts w:asciiTheme="minorHAnsi" w:hAnsiTheme="minorHAnsi"/>
          <w:sz w:val="22"/>
          <w:szCs w:val="22"/>
        </w:rPr>
        <w:t>This project will directly support recovery efforts, and will provide valuable information for management decisions. This work will also directly benefit the rear-and-release program by allowing managers to better mitigate threats to juveni</w:t>
      </w:r>
      <w:r>
        <w:rPr>
          <w:rFonts w:asciiTheme="minorHAnsi" w:hAnsiTheme="minorHAnsi"/>
          <w:sz w:val="22"/>
          <w:szCs w:val="22"/>
        </w:rPr>
        <w:t>les prior to and after release.</w:t>
      </w:r>
      <w:r w:rsidR="00BF7767">
        <w:rPr>
          <w:rFonts w:asciiTheme="minorHAnsi" w:hAnsiTheme="minorHAnsi"/>
          <w:sz w:val="22"/>
          <w:szCs w:val="22"/>
        </w:rPr>
        <w:t xml:space="preserve"> The project supports the Department of Interior financial assistance priority 7b, “Ensure that Endangered Species Act decisions are based on strong science and thorough analysis.”  This project with utilize the best known techniques to collect samples for analysis and to look at survival rates and movement patters to help identify the source of a disease impacting this endangered species.</w:t>
      </w:r>
    </w:p>
    <w:p w14:paraId="38AE0511" w14:textId="77777777" w:rsidR="001F44E5" w:rsidRDefault="00DA785A" w:rsidP="00DA785A">
      <w:pPr>
        <w:spacing w:after="240"/>
        <w:rPr>
          <w:rFonts w:asciiTheme="minorHAnsi" w:hAnsiTheme="minorHAnsi"/>
          <w:sz w:val="22"/>
          <w:szCs w:val="22"/>
        </w:rPr>
      </w:pPr>
      <w:r w:rsidRPr="00DA785A">
        <w:rPr>
          <w:rFonts w:asciiTheme="minorHAnsi" w:hAnsiTheme="minorHAnsi"/>
          <w:sz w:val="22"/>
          <w:szCs w:val="22"/>
        </w:rPr>
        <w:t xml:space="preserve">The project supports two recovery actions from the recovery plan - by hiring an additional lead technician to supervise three new staff specifically for the for a telemetry project that investigates a source of juvenile mortality, this project will evaluate causes of the population decline on Rota (1.3) and collect information to more precisely estimate juvenile survivorship (3.3.3.1).   This project will monitor approximately 75% of the fledglings from one breeding season for minimum of six months, giving insight to causes of mortality and the rate of mortality during this vulnerable time period.  The information collected will help determine causes of mortality in this age class, and collect valuable samples about a yet to be identified infectious agent that is impacting the species.   </w:t>
      </w:r>
    </w:p>
    <w:p w14:paraId="1F14DFE4" w14:textId="661BAD6C" w:rsidR="00DA785A" w:rsidRPr="00F45C68" w:rsidRDefault="001F44E5" w:rsidP="00DA785A">
      <w:pPr>
        <w:spacing w:after="240"/>
        <w:rPr>
          <w:rFonts w:asciiTheme="minorHAnsi" w:hAnsiTheme="minorHAnsi"/>
          <w:sz w:val="22"/>
          <w:szCs w:val="22"/>
        </w:rPr>
      </w:pPr>
      <w:r>
        <w:rPr>
          <w:rFonts w:asciiTheme="minorHAnsi" w:hAnsiTheme="minorHAnsi"/>
          <w:sz w:val="22"/>
          <w:szCs w:val="22"/>
        </w:rPr>
        <w:t xml:space="preserve">This project addresses the Department of Interior Priority 7b: </w:t>
      </w:r>
      <w:r>
        <w:rPr>
          <w:rFonts w:asciiTheme="minorHAnsi" w:hAnsiTheme="minorHAnsi"/>
          <w:i/>
          <w:sz w:val="22"/>
          <w:szCs w:val="22"/>
        </w:rPr>
        <w:t>Ensure that Endangered Species Act decisions are based on strong science and thorough analysis.</w:t>
      </w:r>
      <w:r>
        <w:rPr>
          <w:rFonts w:asciiTheme="minorHAnsi" w:hAnsiTheme="minorHAnsi"/>
          <w:sz w:val="22"/>
          <w:szCs w:val="22"/>
        </w:rPr>
        <w:t xml:space="preserve">  Increased monitoring of young birds susceptible to this unidentified disease will increase the likelihood of recovering carcasses for sample collection.  Ultimately, identification of this disease will guide management decisions for this species.  Further, monitoring survival and dispersal will improve our knowledge of this species and also inform management decisions.</w:t>
      </w:r>
      <w:r w:rsidR="00DA785A" w:rsidRPr="00DA785A">
        <w:rPr>
          <w:rFonts w:asciiTheme="minorHAnsi" w:hAnsiTheme="minorHAnsi"/>
          <w:sz w:val="22"/>
          <w:szCs w:val="22"/>
        </w:rPr>
        <w:t xml:space="preserve">      </w:t>
      </w:r>
    </w:p>
    <w:p w14:paraId="0DC9C8E1" w14:textId="202E0E48"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53ECE196" w14:textId="560D86F3" w:rsidR="008443A7" w:rsidRDefault="008443A7" w:rsidP="0007351C">
      <w:pPr>
        <w:pStyle w:val="Heading2"/>
        <w:tabs>
          <w:tab w:val="left" w:pos="90"/>
        </w:tabs>
        <w:ind w:left="0" w:firstLine="0"/>
        <w:rPr>
          <w:rFonts w:asciiTheme="minorHAnsi" w:hAnsiTheme="minorHAnsi"/>
          <w:b w:val="0"/>
          <w:szCs w:val="22"/>
        </w:rPr>
      </w:pPr>
      <w:r>
        <w:rPr>
          <w:rFonts w:asciiTheme="minorHAnsi" w:hAnsiTheme="minorHAnsi"/>
          <w:b w:val="0"/>
          <w:szCs w:val="22"/>
        </w:rPr>
        <w:t xml:space="preserve">The University of Washington </w:t>
      </w:r>
      <w:r w:rsidRPr="00385380">
        <w:rPr>
          <w:rFonts w:asciiTheme="minorHAnsi" w:hAnsiTheme="minorHAnsi"/>
          <w:b w:val="0"/>
          <w:szCs w:val="22"/>
        </w:rPr>
        <w:t>was</w:t>
      </w:r>
      <w:r>
        <w:rPr>
          <w:rFonts w:asciiTheme="minorHAnsi" w:hAnsiTheme="minorHAnsi"/>
          <w:b w:val="0"/>
          <w:szCs w:val="22"/>
        </w:rPr>
        <w:t xml:space="preserve"> awarded $174,692.00, with work slated to begin in April of 2019 and end by December 31, 2020.  These funds </w:t>
      </w:r>
      <w:r w:rsidRPr="00385380">
        <w:rPr>
          <w:rFonts w:asciiTheme="minorHAnsi" w:hAnsiTheme="minorHAnsi"/>
          <w:b w:val="0"/>
          <w:szCs w:val="22"/>
        </w:rPr>
        <w:t>were</w:t>
      </w:r>
      <w:r>
        <w:rPr>
          <w:rFonts w:asciiTheme="minorHAnsi" w:hAnsiTheme="minorHAnsi"/>
          <w:b w:val="0"/>
          <w:szCs w:val="22"/>
        </w:rPr>
        <w:t xml:space="preserve"> awarded through a cooperative agreement.  Pacific Islands Fish and Wildlife staff will be directly involved in project design, </w:t>
      </w:r>
      <w:r w:rsidR="0007351C">
        <w:rPr>
          <w:rFonts w:asciiTheme="minorHAnsi" w:hAnsiTheme="minorHAnsi"/>
          <w:b w:val="0"/>
          <w:szCs w:val="22"/>
        </w:rPr>
        <w:t>adaptive management, and report review.</w:t>
      </w:r>
      <w:r w:rsidR="00BF7767">
        <w:rPr>
          <w:rFonts w:asciiTheme="minorHAnsi" w:hAnsiTheme="minorHAnsi"/>
          <w:b w:val="0"/>
          <w:szCs w:val="22"/>
        </w:rPr>
        <w:t xml:space="preserve">  The University of Washington has been monitoring and managing the endangered Mariana crow for over 10 years so it uniquely qualified for this project and this project is a continuation of their ongoing activities. </w:t>
      </w:r>
    </w:p>
    <w:p w14:paraId="5FA39657" w14:textId="77777777" w:rsidR="00BF7767" w:rsidRPr="00BF7767" w:rsidRDefault="00BF7767" w:rsidP="00BF7767"/>
    <w:p w14:paraId="365F18C2" w14:textId="437E00AE" w:rsidR="00F923EC" w:rsidRPr="000E3BB4" w:rsidRDefault="00562DF7" w:rsidP="004801DC">
      <w:pPr>
        <w:pStyle w:val="Heading2"/>
        <w:rPr>
          <w:rFonts w:asciiTheme="minorHAnsi" w:hAnsiTheme="minorHAnsi"/>
          <w:sz w:val="24"/>
        </w:rPr>
      </w:pPr>
      <w:r w:rsidRPr="000E3BB4">
        <w:rPr>
          <w:rFonts w:asciiTheme="minorHAnsi" w:hAnsiTheme="minorHAnsi"/>
          <w:sz w:val="24"/>
        </w:rPr>
        <w:lastRenderedPageBreak/>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57424D30" w14:textId="284AF35A" w:rsidR="00281E9A" w:rsidRDefault="005543CC" w:rsidP="00BF7767">
      <w:pPr>
        <w:pStyle w:val="Heading3"/>
      </w:pPr>
      <w:r w:rsidRPr="00F45C68">
        <w:t>Cost Sharing or Matching</w:t>
      </w:r>
    </w:p>
    <w:p w14:paraId="5E6682DC" w14:textId="084A9AF7" w:rsidR="00BF7767" w:rsidRDefault="00BF7767" w:rsidP="00BF7767">
      <w:pPr>
        <w:ind w:left="360"/>
        <w:rPr>
          <w:rFonts w:asciiTheme="minorHAnsi" w:hAnsiTheme="minorHAnsi" w:cstheme="minorHAnsi"/>
          <w:sz w:val="22"/>
          <w:szCs w:val="22"/>
        </w:rPr>
      </w:pPr>
      <w:r>
        <w:rPr>
          <w:rFonts w:asciiTheme="minorHAnsi" w:hAnsiTheme="minorHAnsi" w:cstheme="minorHAnsi"/>
          <w:sz w:val="22"/>
          <w:szCs w:val="22"/>
        </w:rPr>
        <w:t>A 1:1 match is required for this funding opportunity.</w:t>
      </w:r>
    </w:p>
    <w:p w14:paraId="3127A10A" w14:textId="77777777" w:rsidR="00BF7767" w:rsidRPr="00BF7767" w:rsidRDefault="00BF7767" w:rsidP="00BF7767">
      <w:pPr>
        <w:ind w:left="360"/>
        <w:rPr>
          <w:rFonts w:asciiTheme="minorHAnsi" w:hAnsiTheme="minorHAnsi" w:cstheme="minorHAnsi"/>
          <w:sz w:val="22"/>
          <w:szCs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lastRenderedPageBreak/>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lastRenderedPageBreak/>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lastRenderedPageBreak/>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lastRenderedPageBreak/>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26FE008A" w:rsidR="006829F9" w:rsidRDefault="00E245C6" w:rsidP="006829F9">
      <w:pPr>
        <w:pStyle w:val="Heading4"/>
      </w:pPr>
      <w:r w:rsidRPr="006829F9">
        <w:t>Conflict of Interest Disclosure</w:t>
      </w:r>
    </w:p>
    <w:p w14:paraId="677EABDD" w14:textId="53323C4C" w:rsidR="00676E24" w:rsidRPr="00676E24" w:rsidRDefault="00676E24" w:rsidP="00676E24">
      <w:pPr>
        <w:pStyle w:val="Heading4"/>
        <w:numPr>
          <w:ilvl w:val="0"/>
          <w:numId w:val="0"/>
        </w:numPr>
        <w:ind w:left="720"/>
        <w:rPr>
          <w:b w:val="0"/>
        </w:rPr>
      </w:pPr>
      <w:r w:rsidRPr="00676E24">
        <w:rPr>
          <w:b w:val="0"/>
        </w:rPr>
        <w:t>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7504B1A7" w14:textId="573C5BDA" w:rsidR="00676E24" w:rsidRPr="00676E24" w:rsidRDefault="00676E24" w:rsidP="00676E24">
      <w:pPr>
        <w:rPr>
          <w:lang w:val="en"/>
        </w:rPr>
      </w:pPr>
    </w:p>
    <w:p w14:paraId="2F4818C8" w14:textId="77777777" w:rsidR="006829F9" w:rsidRDefault="00092737" w:rsidP="006829F9">
      <w:pPr>
        <w:pStyle w:val="Heading4"/>
      </w:pPr>
      <w:r>
        <w:lastRenderedPageBreak/>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lastRenderedPageBreak/>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w:t>
      </w:r>
      <w:r w:rsidR="00C13C07" w:rsidRPr="00EB4C6F">
        <w:rPr>
          <w:rFonts w:asciiTheme="minorHAnsi" w:hAnsiTheme="minorHAnsi"/>
          <w:sz w:val="22"/>
          <w:szCs w:val="22"/>
        </w:rPr>
        <w:lastRenderedPageBreak/>
        <w:t xml:space="preserve">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3FD7DEF4" w:rsidR="00BA7D74" w:rsidRDefault="00667513" w:rsidP="00BA7D74">
      <w:pPr>
        <w:pStyle w:val="ListParagraph"/>
        <w:spacing w:after="240"/>
        <w:ind w:left="360"/>
        <w:rPr>
          <w:rFonts w:asciiTheme="minorHAnsi" w:hAnsiTheme="minorHAnsi"/>
          <w:sz w:val="22"/>
          <w:szCs w:val="22"/>
        </w:rPr>
      </w:pPr>
      <w:r w:rsidRPr="00370FDE">
        <w:rPr>
          <w:rFonts w:asciiTheme="minorHAnsi" w:hAnsiTheme="minorHAnsi"/>
          <w:sz w:val="22"/>
          <w:szCs w:val="22"/>
        </w:rPr>
        <w:t>Submissions are due:</w:t>
      </w:r>
      <w:r w:rsidR="00BA7D74" w:rsidRPr="00370FDE">
        <w:rPr>
          <w:rFonts w:asciiTheme="minorHAnsi" w:hAnsiTheme="minorHAnsi"/>
          <w:sz w:val="22"/>
          <w:szCs w:val="22"/>
        </w:rPr>
        <w:t xml:space="preserve">  </w:t>
      </w:r>
      <w:r w:rsidR="00A42215">
        <w:rPr>
          <w:rFonts w:asciiTheme="minorHAnsi" w:hAnsiTheme="minorHAnsi"/>
          <w:sz w:val="22"/>
          <w:szCs w:val="22"/>
        </w:rPr>
        <w:t>April 16</w:t>
      </w:r>
      <w:r w:rsidR="00676E24" w:rsidRPr="00370FDE">
        <w:rPr>
          <w:rFonts w:asciiTheme="minorHAnsi" w:hAnsiTheme="minorHAnsi"/>
          <w:sz w:val="22"/>
          <w:szCs w:val="22"/>
        </w:rPr>
        <w:t>, 2019</w:t>
      </w:r>
      <w:bookmarkStart w:id="2" w:name="_GoBack"/>
      <w:bookmarkEnd w:id="2"/>
    </w:p>
    <w:p w14:paraId="09C165E6" w14:textId="096BDB6E" w:rsidR="00D2403C" w:rsidRPr="00AC2D67" w:rsidRDefault="00D2403C" w:rsidP="00D2403C">
      <w:pPr>
        <w:pStyle w:val="Heading3"/>
      </w:pPr>
      <w:r w:rsidRPr="00AC2D67">
        <w:t>Intergovernmental Review</w:t>
      </w:r>
    </w:p>
    <w:p w14:paraId="53E778BD" w14:textId="64B9B8EA" w:rsidR="00D425B6" w:rsidRDefault="00D425B6" w:rsidP="00D2403C">
      <w:pPr>
        <w:pStyle w:val="ListParagraph"/>
        <w:spacing w:after="240"/>
        <w:ind w:left="360"/>
        <w:rPr>
          <w:rFonts w:asciiTheme="minorHAnsi" w:hAnsiTheme="minorHAnsi"/>
          <w:color w:val="000000"/>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2520F0D" w14:textId="19E4765E" w:rsidR="00BA7D74" w:rsidRDefault="00BF7767" w:rsidP="00BA7D74">
      <w:pPr>
        <w:pStyle w:val="ListParagraph"/>
        <w:spacing w:after="240"/>
        <w:ind w:left="360"/>
        <w:rPr>
          <w:rFonts w:asciiTheme="minorHAnsi" w:hAnsiTheme="minorHAnsi"/>
          <w:sz w:val="22"/>
          <w:szCs w:val="22"/>
        </w:rPr>
      </w:pPr>
      <w:r>
        <w:rPr>
          <w:rFonts w:asciiTheme="minorHAnsi" w:hAnsiTheme="minorHAnsi"/>
          <w:sz w:val="22"/>
          <w:szCs w:val="22"/>
        </w:rPr>
        <w:t>No funding restrictions are known</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D2403C">
      <w:pPr>
        <w:pStyle w:val="Heading3"/>
        <w:numPr>
          <w:ilvl w:val="0"/>
          <w:numId w:val="40"/>
        </w:numPr>
      </w:pPr>
      <w:r>
        <w:t>Criteria</w:t>
      </w:r>
    </w:p>
    <w:p w14:paraId="6D25E3B2" w14:textId="05CC1ED2" w:rsidR="002E782C" w:rsidRPr="00652D5F" w:rsidRDefault="00652D5F" w:rsidP="00652D5F">
      <w:pPr>
        <w:spacing w:after="240"/>
        <w:ind w:left="360"/>
        <w:rPr>
          <w:rFonts w:asciiTheme="minorHAnsi" w:hAnsiTheme="minorHAnsi"/>
          <w:bCs/>
          <w:sz w:val="22"/>
          <w:szCs w:val="22"/>
        </w:rPr>
      </w:pPr>
      <w:r>
        <w:rPr>
          <w:rFonts w:asciiTheme="minorHAnsi" w:hAnsiTheme="minorHAnsi"/>
          <w:bCs/>
          <w:sz w:val="22"/>
          <w:szCs w:val="22"/>
        </w:rPr>
        <w:t>The applicant is uniquely qualified to perform this activity based on their long-term involvement in the Mariana crow monitoring program.  They have the internal capacity to implement this project, without incurring additional start up costs, and the personnel have the technical expertise and permits to complete the work.</w:t>
      </w: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 xml:space="preserve">The Service may not make a Federal award to an applicant that has not completed the SAM.gov registration.  If an applicant selected for funding has not completed their SAM.gov registration by </w:t>
      </w:r>
      <w:r w:rsidRPr="00971A66">
        <w:rPr>
          <w:rFonts w:asciiTheme="minorHAnsi" w:hAnsiTheme="minorHAnsi"/>
          <w:bCs/>
          <w:sz w:val="22"/>
          <w:szCs w:val="22"/>
        </w:rPr>
        <w:lastRenderedPageBreak/>
        <w:t>the time the Service is ready to make an award, the program may determine that the applicant is not qualified to receive an award.  The program can use that determination as a basis for making an award to another applicant.</w:t>
      </w:r>
    </w:p>
    <w:p w14:paraId="530AD2DC" w14:textId="6676B425" w:rsidR="00BB7DE8" w:rsidRDefault="00641FB6" w:rsidP="00641FB6">
      <w:pPr>
        <w:pStyle w:val="ListParagraph"/>
        <w:spacing w:after="240"/>
        <w:ind w:left="360"/>
        <w:rPr>
          <w:rFonts w:asciiTheme="minorHAnsi" w:hAnsiTheme="minorHAnsi"/>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4496E4DF" w:rsidR="00BC516B" w:rsidRDefault="00865444" w:rsidP="00BC516B">
      <w:pPr>
        <w:pStyle w:val="Heading3"/>
      </w:pPr>
      <w:r>
        <w:t>Award Terms and Conditions</w:t>
      </w:r>
    </w:p>
    <w:p w14:paraId="4614AFAB" w14:textId="77777777" w:rsidR="00D02689" w:rsidRPr="00D02689" w:rsidRDefault="00D02689" w:rsidP="00D02689">
      <w:pPr>
        <w:pStyle w:val="Heading3"/>
        <w:numPr>
          <w:ilvl w:val="0"/>
          <w:numId w:val="0"/>
        </w:numPr>
        <w:ind w:left="360"/>
        <w:rPr>
          <w:b w:val="0"/>
        </w:rPr>
      </w:pPr>
      <w:r w:rsidRPr="00D02689">
        <w:rPr>
          <w:b w:val="0"/>
        </w:rPr>
        <w:t>See the Service’s “</w:t>
      </w:r>
      <w:r w:rsidRPr="00D02689">
        <w:rPr>
          <w:b w:val="0"/>
          <w:color w:val="0000FF"/>
        </w:rPr>
        <w:t>Financial Assistance Award Terms and Conditions</w:t>
      </w:r>
      <w:r w:rsidRPr="00D02689">
        <w:rPr>
          <w:b w:val="0"/>
        </w:rPr>
        <w:t xml:space="preserve">” for the administrative and national policy requirements applicable to Service awards. The “Department of the Interior (DOI) Award Provisions” attached to this Funding Opportunity also apply to Service awards (Attachment A). </w:t>
      </w:r>
      <w:r w:rsidRPr="00D02689">
        <w:rPr>
          <w:b w:val="0"/>
          <w:highlight w:val="lightGray"/>
        </w:rPr>
        <w:t>[Insert any program- or project-specific terms or conditions that will apply to recipients under the program. See the Service’s “</w:t>
      </w:r>
      <w:r w:rsidRPr="00D02689">
        <w:rPr>
          <w:b w:val="0"/>
          <w:color w:val="0000FF"/>
          <w:highlight w:val="lightGray"/>
        </w:rPr>
        <w:t>Sample Financial Assistance Award Special Terms and Conditions</w:t>
      </w:r>
      <w:r w:rsidRPr="00D02689">
        <w:rPr>
          <w:b w:val="0"/>
          <w:highlight w:val="lightGray"/>
        </w:rPr>
        <w:t>” guidance for more information.]</w:t>
      </w:r>
    </w:p>
    <w:p w14:paraId="5BB61A4A" w14:textId="7E0597C5" w:rsidR="00D02689" w:rsidRPr="00D02689" w:rsidRDefault="00D02689" w:rsidP="00D02689"/>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lastRenderedPageBreak/>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002708A4" w:rsidR="00BC516B" w:rsidRDefault="00B57DC4" w:rsidP="006829F9">
      <w:pPr>
        <w:pStyle w:val="Heading4"/>
      </w:pPr>
      <w:r w:rsidRPr="00932576">
        <w:t>Conflict of Interest Disclosures</w:t>
      </w:r>
    </w:p>
    <w:p w14:paraId="486E324B" w14:textId="77777777" w:rsidR="000C0868" w:rsidRPr="000C0868" w:rsidRDefault="000C0868" w:rsidP="000C0868">
      <w:pPr>
        <w:pStyle w:val="Heading4"/>
        <w:numPr>
          <w:ilvl w:val="0"/>
          <w:numId w:val="0"/>
        </w:numPr>
        <w:ind w:left="720"/>
        <w:rPr>
          <w:b w:val="0"/>
        </w:rPr>
      </w:pPr>
      <w:r w:rsidRPr="000C0868">
        <w:rPr>
          <w:b w:val="0"/>
        </w:rPr>
        <w:t>Recipients must notify the Service immediately in writing of any conflict</w:t>
      </w:r>
      <w:r w:rsidRPr="000C0868">
        <w:rPr>
          <w:b w:val="0"/>
          <w:color w:val="B5072D"/>
        </w:rPr>
        <w:t xml:space="preserve">s </w:t>
      </w:r>
      <w:r w:rsidRPr="000C0868">
        <w:rPr>
          <w:b w:val="0"/>
        </w:rPr>
        <w:t xml:space="preserve">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w:t>
      </w:r>
      <w:r w:rsidRPr="000C0868">
        <w:rPr>
          <w:b w:val="0"/>
        </w:rPr>
        <w:lastRenderedPageBreak/>
        <w:t xml:space="preserve">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0C0868">
        <w:rPr>
          <w:b w:val="0"/>
          <w:color w:val="0000FF"/>
        </w:rPr>
        <w:t>2 CFR 200.338 Remedies for Noncompliance</w:t>
      </w:r>
      <w:r w:rsidRPr="000C0868">
        <w:rPr>
          <w:b w:val="0"/>
        </w:rPr>
        <w:t>, including termination of the award.</w:t>
      </w:r>
    </w:p>
    <w:p w14:paraId="59934475" w14:textId="2DC27B92" w:rsidR="000C0868" w:rsidRPr="000C0868" w:rsidRDefault="000C0868" w:rsidP="000C0868">
      <w:pPr>
        <w:rPr>
          <w:lang w:val="en"/>
        </w:rPr>
      </w:pP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4727903B" w14:textId="6E9233CE" w:rsidR="00652D5F" w:rsidRDefault="00652D5F" w:rsidP="00877F12">
      <w:pPr>
        <w:rPr>
          <w:rFonts w:asciiTheme="minorHAnsi" w:hAnsiTheme="minorHAnsi"/>
          <w:sz w:val="22"/>
          <w:szCs w:val="22"/>
          <w:lang w:val="pt-BR"/>
        </w:rPr>
      </w:pPr>
      <w:r>
        <w:rPr>
          <w:rFonts w:asciiTheme="minorHAnsi" w:hAnsiTheme="minorHAnsi"/>
          <w:sz w:val="22"/>
          <w:szCs w:val="22"/>
          <w:lang w:val="pt-BR"/>
        </w:rPr>
        <w:tab/>
        <w:t xml:space="preserve">For additional information or questions, please contact: </w:t>
      </w:r>
    </w:p>
    <w:p w14:paraId="2E3E0305" w14:textId="29373CE3" w:rsidR="00652D5F" w:rsidRDefault="00652D5F" w:rsidP="00652D5F">
      <w:pPr>
        <w:ind w:firstLine="720"/>
        <w:rPr>
          <w:rFonts w:asciiTheme="minorHAnsi" w:hAnsiTheme="minorHAnsi"/>
          <w:sz w:val="22"/>
          <w:szCs w:val="22"/>
          <w:lang w:val="pt-BR"/>
        </w:rPr>
      </w:pPr>
      <w:r>
        <w:rPr>
          <w:rFonts w:asciiTheme="minorHAnsi" w:hAnsiTheme="minorHAnsi"/>
          <w:sz w:val="22"/>
          <w:szCs w:val="22"/>
          <w:lang w:val="pt-BR"/>
        </w:rPr>
        <w:t xml:space="preserve">Megan Laut </w:t>
      </w:r>
    </w:p>
    <w:p w14:paraId="2A0D44C3" w14:textId="5E9B7C6A" w:rsidR="00652D5F" w:rsidRDefault="00652D5F" w:rsidP="00652D5F">
      <w:pPr>
        <w:ind w:firstLine="720"/>
        <w:rPr>
          <w:rFonts w:asciiTheme="minorHAnsi" w:hAnsiTheme="minorHAnsi"/>
          <w:sz w:val="22"/>
          <w:szCs w:val="22"/>
          <w:lang w:val="pt-BR"/>
        </w:rPr>
      </w:pPr>
      <w:r>
        <w:rPr>
          <w:rFonts w:asciiTheme="minorHAnsi" w:hAnsiTheme="minorHAnsi"/>
          <w:sz w:val="22"/>
          <w:szCs w:val="22"/>
          <w:lang w:val="pt-BR"/>
        </w:rPr>
        <w:t xml:space="preserve">Fish and Wildlife Biologist </w:t>
      </w:r>
    </w:p>
    <w:p w14:paraId="35C71B6C" w14:textId="77777777" w:rsidR="00652D5F" w:rsidRDefault="00652D5F" w:rsidP="00652D5F">
      <w:pPr>
        <w:ind w:firstLine="720"/>
        <w:rPr>
          <w:rFonts w:asciiTheme="minorHAnsi" w:hAnsiTheme="minorHAnsi"/>
          <w:sz w:val="22"/>
          <w:szCs w:val="22"/>
          <w:lang w:val="pt-BR"/>
        </w:rPr>
      </w:pPr>
      <w:r>
        <w:rPr>
          <w:rFonts w:asciiTheme="minorHAnsi" w:hAnsiTheme="minorHAnsi"/>
          <w:sz w:val="22"/>
          <w:szCs w:val="22"/>
          <w:lang w:val="pt-BR"/>
        </w:rPr>
        <w:t>Pacific Islands Fish and Wildlife Office</w:t>
      </w:r>
    </w:p>
    <w:p w14:paraId="3886C9E0" w14:textId="77777777" w:rsidR="00652D5F" w:rsidRDefault="00652D5F" w:rsidP="00652D5F">
      <w:pPr>
        <w:ind w:firstLine="720"/>
        <w:rPr>
          <w:rFonts w:asciiTheme="minorHAnsi" w:hAnsiTheme="minorHAnsi"/>
          <w:sz w:val="22"/>
          <w:szCs w:val="22"/>
          <w:lang w:val="pt-BR"/>
        </w:rPr>
      </w:pPr>
      <w:r>
        <w:rPr>
          <w:rFonts w:asciiTheme="minorHAnsi" w:hAnsiTheme="minorHAnsi"/>
          <w:sz w:val="22"/>
          <w:szCs w:val="22"/>
          <w:lang w:val="pt-BR"/>
        </w:rPr>
        <w:t>300 Ala Moana Boulevard, Room 3-122</w:t>
      </w:r>
    </w:p>
    <w:p w14:paraId="5559789A" w14:textId="77777777" w:rsidR="00652D5F" w:rsidRDefault="00652D5F" w:rsidP="00652D5F">
      <w:pPr>
        <w:ind w:firstLine="720"/>
        <w:rPr>
          <w:rFonts w:asciiTheme="minorHAnsi" w:hAnsiTheme="minorHAnsi"/>
          <w:sz w:val="22"/>
          <w:szCs w:val="22"/>
          <w:lang w:val="pt-BR"/>
        </w:rPr>
      </w:pPr>
      <w:r>
        <w:rPr>
          <w:rFonts w:asciiTheme="minorHAnsi" w:hAnsiTheme="minorHAnsi"/>
          <w:sz w:val="22"/>
          <w:szCs w:val="22"/>
          <w:lang w:val="pt-BR"/>
        </w:rPr>
        <w:t>Honolulu, Hawaii 96850</w:t>
      </w:r>
    </w:p>
    <w:p w14:paraId="458D2BDE" w14:textId="3C7F2FBB" w:rsidR="00652D5F" w:rsidRDefault="00652D5F" w:rsidP="00652D5F">
      <w:pPr>
        <w:ind w:firstLine="720"/>
        <w:rPr>
          <w:rFonts w:asciiTheme="minorHAnsi" w:hAnsiTheme="minorHAnsi"/>
          <w:sz w:val="22"/>
          <w:szCs w:val="22"/>
          <w:lang w:val="pt-BR"/>
        </w:rPr>
      </w:pPr>
      <w:r>
        <w:rPr>
          <w:rFonts w:asciiTheme="minorHAnsi" w:hAnsiTheme="minorHAnsi"/>
          <w:sz w:val="22"/>
          <w:szCs w:val="22"/>
          <w:lang w:val="pt-BR"/>
        </w:rPr>
        <w:t xml:space="preserve">Email: </w:t>
      </w:r>
      <w:r w:rsidRPr="00652D5F">
        <w:rPr>
          <w:rFonts w:asciiTheme="minorHAnsi" w:hAnsiTheme="minorHAnsi"/>
          <w:sz w:val="22"/>
          <w:szCs w:val="22"/>
          <w:lang w:val="pt-BR"/>
        </w:rPr>
        <w:t>m</w:t>
      </w:r>
      <w:r>
        <w:rPr>
          <w:rFonts w:asciiTheme="minorHAnsi" w:hAnsiTheme="minorHAnsi"/>
          <w:sz w:val="22"/>
          <w:szCs w:val="22"/>
          <w:lang w:val="pt-BR"/>
        </w:rPr>
        <w:t>egan_laut@fws.gov</w:t>
      </w:r>
    </w:p>
    <w:p w14:paraId="3A376C09" w14:textId="65482218" w:rsidR="00492B9D" w:rsidRDefault="00652D5F" w:rsidP="00652D5F">
      <w:pPr>
        <w:ind w:firstLine="720"/>
        <w:rPr>
          <w:rFonts w:asciiTheme="minorHAnsi" w:hAnsiTheme="minorHAnsi"/>
          <w:sz w:val="22"/>
          <w:szCs w:val="22"/>
          <w:lang w:val="pt-BR"/>
        </w:rPr>
      </w:pPr>
      <w:r>
        <w:rPr>
          <w:rFonts w:asciiTheme="minorHAnsi" w:hAnsiTheme="minorHAnsi"/>
          <w:sz w:val="22"/>
          <w:szCs w:val="22"/>
          <w:lang w:val="pt-BR"/>
        </w:rPr>
        <w:t xml:space="preserve">Phone: 808-792-9409 </w:t>
      </w:r>
    </w:p>
    <w:p w14:paraId="1B50D5C7" w14:textId="45075CFA" w:rsidR="00676E24" w:rsidRDefault="00676E24" w:rsidP="00652D5F">
      <w:pPr>
        <w:ind w:firstLine="720"/>
        <w:rPr>
          <w:rFonts w:asciiTheme="minorHAnsi" w:hAnsiTheme="minorHAnsi"/>
          <w:sz w:val="22"/>
          <w:szCs w:val="22"/>
          <w:lang w:val="pt-BR"/>
        </w:rPr>
      </w:pPr>
    </w:p>
    <w:p w14:paraId="4686B252" w14:textId="04739198" w:rsidR="00676E24" w:rsidRDefault="00676E24" w:rsidP="00652D5F">
      <w:pPr>
        <w:ind w:firstLine="720"/>
        <w:rPr>
          <w:rFonts w:asciiTheme="minorHAnsi" w:hAnsiTheme="minorHAnsi"/>
          <w:sz w:val="22"/>
          <w:szCs w:val="22"/>
          <w:lang w:val="pt-BR"/>
        </w:rPr>
      </w:pPr>
    </w:p>
    <w:p w14:paraId="60A51C4E" w14:textId="3FF8FE54" w:rsidR="00676E24" w:rsidRDefault="00676E24" w:rsidP="00652D5F">
      <w:pPr>
        <w:ind w:firstLine="720"/>
        <w:rPr>
          <w:rFonts w:asciiTheme="minorHAnsi" w:hAnsiTheme="minorHAnsi"/>
          <w:sz w:val="22"/>
          <w:szCs w:val="22"/>
          <w:lang w:val="pt-BR"/>
        </w:rPr>
      </w:pPr>
    </w:p>
    <w:p w14:paraId="4E41B00F" w14:textId="01844F2E" w:rsidR="00676E24" w:rsidRDefault="00676E24" w:rsidP="00652D5F">
      <w:pPr>
        <w:ind w:firstLine="720"/>
        <w:rPr>
          <w:rFonts w:asciiTheme="minorHAnsi" w:hAnsiTheme="minorHAnsi"/>
          <w:sz w:val="22"/>
          <w:szCs w:val="22"/>
          <w:lang w:val="pt-BR"/>
        </w:rPr>
      </w:pPr>
    </w:p>
    <w:p w14:paraId="4BDE42A5" w14:textId="38D9B977" w:rsidR="00676E24" w:rsidRDefault="00676E24" w:rsidP="00652D5F">
      <w:pPr>
        <w:ind w:firstLine="720"/>
        <w:rPr>
          <w:rFonts w:asciiTheme="minorHAnsi" w:hAnsiTheme="minorHAnsi"/>
          <w:sz w:val="22"/>
          <w:szCs w:val="22"/>
          <w:lang w:val="pt-BR"/>
        </w:rPr>
      </w:pPr>
    </w:p>
    <w:p w14:paraId="13ACD4CA" w14:textId="27FF9F29" w:rsidR="00676E24" w:rsidRDefault="00676E24" w:rsidP="00652D5F">
      <w:pPr>
        <w:ind w:firstLine="720"/>
        <w:rPr>
          <w:rFonts w:asciiTheme="minorHAnsi" w:hAnsiTheme="minorHAnsi"/>
          <w:sz w:val="22"/>
          <w:szCs w:val="22"/>
          <w:lang w:val="pt-BR"/>
        </w:rPr>
      </w:pPr>
    </w:p>
    <w:p w14:paraId="1489AAF5" w14:textId="09D5705E" w:rsidR="00676E24" w:rsidRDefault="00676E24" w:rsidP="00652D5F">
      <w:pPr>
        <w:ind w:firstLine="720"/>
        <w:rPr>
          <w:rFonts w:asciiTheme="minorHAnsi" w:hAnsiTheme="minorHAnsi"/>
          <w:sz w:val="22"/>
          <w:szCs w:val="22"/>
          <w:lang w:val="pt-BR"/>
        </w:rPr>
      </w:pPr>
    </w:p>
    <w:p w14:paraId="5C4474D4" w14:textId="6D89896E" w:rsidR="00676E24" w:rsidRDefault="00676E24" w:rsidP="00652D5F">
      <w:pPr>
        <w:ind w:firstLine="720"/>
        <w:rPr>
          <w:rFonts w:asciiTheme="minorHAnsi" w:hAnsiTheme="minorHAnsi"/>
          <w:sz w:val="22"/>
          <w:szCs w:val="22"/>
          <w:lang w:val="pt-BR"/>
        </w:rPr>
      </w:pPr>
    </w:p>
    <w:p w14:paraId="506A3DF1" w14:textId="36C9DDC9" w:rsidR="00676E24" w:rsidRDefault="00676E24" w:rsidP="00652D5F">
      <w:pPr>
        <w:ind w:firstLine="720"/>
        <w:rPr>
          <w:rFonts w:asciiTheme="minorHAnsi" w:hAnsiTheme="minorHAnsi"/>
          <w:sz w:val="22"/>
          <w:szCs w:val="22"/>
          <w:lang w:val="pt-BR"/>
        </w:rPr>
      </w:pPr>
    </w:p>
    <w:p w14:paraId="794E3677" w14:textId="51D1E897" w:rsidR="00676E24" w:rsidRDefault="00676E24" w:rsidP="00652D5F">
      <w:pPr>
        <w:ind w:firstLine="720"/>
        <w:rPr>
          <w:rFonts w:asciiTheme="minorHAnsi" w:hAnsiTheme="minorHAnsi"/>
          <w:sz w:val="22"/>
          <w:szCs w:val="22"/>
          <w:lang w:val="pt-BR"/>
        </w:rPr>
      </w:pPr>
    </w:p>
    <w:p w14:paraId="7CD4C0F8" w14:textId="547FBD55" w:rsidR="00676E24" w:rsidRDefault="00676E24" w:rsidP="00652D5F">
      <w:pPr>
        <w:ind w:firstLine="720"/>
        <w:rPr>
          <w:rFonts w:asciiTheme="minorHAnsi" w:hAnsiTheme="minorHAnsi"/>
          <w:sz w:val="22"/>
          <w:szCs w:val="22"/>
          <w:lang w:val="pt-BR"/>
        </w:rPr>
      </w:pPr>
    </w:p>
    <w:p w14:paraId="438F3946" w14:textId="2B90DBF2" w:rsidR="00676E24" w:rsidRDefault="00676E24" w:rsidP="00652D5F">
      <w:pPr>
        <w:ind w:firstLine="720"/>
        <w:rPr>
          <w:rFonts w:asciiTheme="minorHAnsi" w:hAnsiTheme="minorHAnsi"/>
          <w:sz w:val="22"/>
          <w:szCs w:val="22"/>
          <w:lang w:val="pt-BR"/>
        </w:rPr>
      </w:pPr>
    </w:p>
    <w:p w14:paraId="6F52AA34" w14:textId="488BC9B3" w:rsidR="00676E24" w:rsidRDefault="00676E24" w:rsidP="00652D5F">
      <w:pPr>
        <w:ind w:firstLine="720"/>
        <w:rPr>
          <w:rFonts w:asciiTheme="minorHAnsi" w:hAnsiTheme="minorHAnsi"/>
          <w:sz w:val="22"/>
          <w:szCs w:val="22"/>
          <w:lang w:val="pt-BR"/>
        </w:rPr>
      </w:pPr>
    </w:p>
    <w:p w14:paraId="35C5B3AA" w14:textId="4814C99F" w:rsidR="00676E24" w:rsidRDefault="00676E24" w:rsidP="00652D5F">
      <w:pPr>
        <w:ind w:firstLine="720"/>
        <w:rPr>
          <w:rFonts w:asciiTheme="minorHAnsi" w:hAnsiTheme="minorHAnsi"/>
          <w:sz w:val="22"/>
          <w:szCs w:val="22"/>
          <w:lang w:val="pt-BR"/>
        </w:rPr>
      </w:pPr>
    </w:p>
    <w:p w14:paraId="6087AACE" w14:textId="32FC374E" w:rsidR="00676E24" w:rsidRDefault="00676E24" w:rsidP="00652D5F">
      <w:pPr>
        <w:ind w:firstLine="720"/>
        <w:rPr>
          <w:rFonts w:asciiTheme="minorHAnsi" w:hAnsiTheme="minorHAnsi"/>
          <w:sz w:val="22"/>
          <w:szCs w:val="22"/>
          <w:lang w:val="pt-BR"/>
        </w:rPr>
      </w:pPr>
    </w:p>
    <w:p w14:paraId="10E279B7" w14:textId="72CF43C5" w:rsidR="00676E24" w:rsidRDefault="00676E24" w:rsidP="00652D5F">
      <w:pPr>
        <w:ind w:firstLine="720"/>
        <w:rPr>
          <w:rFonts w:asciiTheme="minorHAnsi" w:hAnsiTheme="minorHAnsi"/>
          <w:sz w:val="22"/>
          <w:szCs w:val="22"/>
          <w:lang w:val="pt-BR"/>
        </w:rPr>
      </w:pPr>
    </w:p>
    <w:p w14:paraId="1467DDD2" w14:textId="306A8A17" w:rsidR="00676E24" w:rsidRDefault="00676E24" w:rsidP="00652D5F">
      <w:pPr>
        <w:ind w:firstLine="720"/>
        <w:rPr>
          <w:rFonts w:asciiTheme="minorHAnsi" w:hAnsiTheme="minorHAnsi"/>
          <w:sz w:val="22"/>
          <w:szCs w:val="22"/>
          <w:lang w:val="pt-BR"/>
        </w:rPr>
      </w:pPr>
    </w:p>
    <w:p w14:paraId="02406AD4" w14:textId="22FBE48F" w:rsidR="00676E24" w:rsidRDefault="00676E24" w:rsidP="00652D5F">
      <w:pPr>
        <w:ind w:firstLine="720"/>
        <w:rPr>
          <w:rFonts w:asciiTheme="minorHAnsi" w:hAnsiTheme="minorHAnsi"/>
          <w:sz w:val="22"/>
          <w:szCs w:val="22"/>
          <w:lang w:val="pt-BR"/>
        </w:rPr>
      </w:pPr>
    </w:p>
    <w:p w14:paraId="347C0037" w14:textId="3758D8D4" w:rsidR="00676E24" w:rsidRDefault="00676E24" w:rsidP="00652D5F">
      <w:pPr>
        <w:ind w:firstLine="720"/>
        <w:rPr>
          <w:rFonts w:asciiTheme="minorHAnsi" w:hAnsiTheme="minorHAnsi"/>
          <w:sz w:val="22"/>
          <w:szCs w:val="22"/>
          <w:lang w:val="pt-BR"/>
        </w:rPr>
      </w:pPr>
    </w:p>
    <w:p w14:paraId="66831D99" w14:textId="00891693" w:rsidR="00676E24" w:rsidRDefault="00676E24" w:rsidP="00652D5F">
      <w:pPr>
        <w:ind w:firstLine="720"/>
        <w:rPr>
          <w:rFonts w:asciiTheme="minorHAnsi" w:hAnsiTheme="minorHAnsi"/>
          <w:sz w:val="22"/>
          <w:szCs w:val="22"/>
          <w:lang w:val="pt-BR"/>
        </w:rPr>
      </w:pPr>
    </w:p>
    <w:p w14:paraId="2633AE3D" w14:textId="55CE7C4D" w:rsidR="00676E24" w:rsidRDefault="00676E24" w:rsidP="00652D5F">
      <w:pPr>
        <w:ind w:firstLine="720"/>
        <w:rPr>
          <w:rFonts w:asciiTheme="minorHAnsi" w:hAnsiTheme="minorHAnsi"/>
          <w:sz w:val="22"/>
          <w:szCs w:val="22"/>
          <w:lang w:val="pt-BR"/>
        </w:rPr>
      </w:pPr>
    </w:p>
    <w:p w14:paraId="6D8379A0" w14:textId="0D7B44E8" w:rsidR="00676E24" w:rsidRDefault="00676E24" w:rsidP="00652D5F">
      <w:pPr>
        <w:ind w:firstLine="720"/>
        <w:rPr>
          <w:rFonts w:asciiTheme="minorHAnsi" w:hAnsiTheme="minorHAnsi"/>
          <w:sz w:val="22"/>
          <w:szCs w:val="22"/>
          <w:lang w:val="pt-BR"/>
        </w:rPr>
      </w:pPr>
    </w:p>
    <w:p w14:paraId="02165C02" w14:textId="77777777" w:rsidR="00676E24" w:rsidRPr="00512901" w:rsidRDefault="00676E24" w:rsidP="00676E24">
      <w:pPr>
        <w:keepNext/>
        <w:spacing w:after="120"/>
        <w:ind w:left="360" w:hanging="360"/>
        <w:jc w:val="both"/>
        <w:outlineLvl w:val="1"/>
        <w:rPr>
          <w:rFonts w:asciiTheme="minorHAnsi" w:hAnsiTheme="minorHAnsi"/>
          <w:b/>
          <w:bCs/>
        </w:rPr>
      </w:pPr>
      <w:r w:rsidRPr="00512901">
        <w:rPr>
          <w:rFonts w:asciiTheme="minorHAnsi" w:hAnsiTheme="minorHAnsi"/>
          <w:b/>
          <w:bCs/>
        </w:rPr>
        <w:t>Attachment A: DOI Award Provisions</w:t>
      </w:r>
    </w:p>
    <w:p w14:paraId="2ED468E8" w14:textId="77777777" w:rsidR="00676E24" w:rsidRPr="00512901" w:rsidRDefault="00676E24" w:rsidP="00676E24">
      <w:pPr>
        <w:spacing w:after="120"/>
        <w:rPr>
          <w:rFonts w:asciiTheme="minorHAnsi" w:hAnsiTheme="minorHAnsi" w:cstheme="minorHAnsi"/>
          <w:b/>
          <w:sz w:val="22"/>
          <w:szCs w:val="22"/>
        </w:rPr>
      </w:pPr>
      <w:r w:rsidRPr="00512901">
        <w:rPr>
          <w:rFonts w:asciiTheme="minorHAnsi" w:hAnsiTheme="minorHAnsi" w:cstheme="minorHAnsi"/>
          <w:b/>
          <w:sz w:val="22"/>
          <w:szCs w:val="22"/>
        </w:rPr>
        <w:t xml:space="preserve"> I. Conflicts of Interest</w:t>
      </w:r>
    </w:p>
    <w:p w14:paraId="25C95E42" w14:textId="77777777" w:rsidR="00676E24" w:rsidRPr="00512901" w:rsidRDefault="00676E24" w:rsidP="00676E24">
      <w:pPr>
        <w:spacing w:after="120"/>
        <w:rPr>
          <w:rFonts w:asciiTheme="minorHAnsi" w:hAnsiTheme="minorHAnsi" w:cstheme="minorHAnsi"/>
          <w:sz w:val="22"/>
          <w:szCs w:val="22"/>
        </w:rPr>
      </w:pPr>
      <w:r w:rsidRPr="00512901">
        <w:rPr>
          <w:rFonts w:asciiTheme="minorHAnsi" w:hAnsiTheme="minorHAnsi" w:cstheme="minorHAnsi"/>
          <w:sz w:val="22"/>
          <w:szCs w:val="22"/>
        </w:rPr>
        <w:t>(a) Applicability.</w:t>
      </w:r>
    </w:p>
    <w:p w14:paraId="3931C984"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460CA7FE"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(2) In the procurement of supplies, equipment, construction, and services by recipients and by subrecipients, the conflict of interest provisions in 2 CFR 200.318 apply.</w:t>
      </w:r>
    </w:p>
    <w:p w14:paraId="6E958959"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(b) Requirements.</w:t>
      </w:r>
    </w:p>
    <w:p w14:paraId="79C2FF82"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8D118E2"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18B47D48"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5F36EB33"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(c) Notification.</w:t>
      </w:r>
    </w:p>
    <w:p w14:paraId="58E9FEA2"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23DA7767"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F236923"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5C851877"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79086245"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 xml:space="preserve">(f) Enforcement. Failure to resolve conflicts of interest in a manner that satisfies the Government may be cause for termination of the award. Failure to make required disclosures may result in any of the </w:t>
      </w:r>
      <w:r w:rsidRPr="00512901">
        <w:rPr>
          <w:rFonts w:asciiTheme="minorHAnsi" w:hAnsiTheme="minorHAnsi"/>
          <w:sz w:val="22"/>
          <w:szCs w:val="22"/>
        </w:rPr>
        <w:lastRenderedPageBreak/>
        <w:t>remedies described in 2 CFR 200.338, Remedies for Noncompliance, including suspension or debarment (see also 2 CFR Part 180).</w:t>
      </w:r>
    </w:p>
    <w:p w14:paraId="51AEF77D" w14:textId="77777777" w:rsidR="00676E24" w:rsidRPr="00512901" w:rsidRDefault="00676E24" w:rsidP="00676E24">
      <w:pPr>
        <w:spacing w:after="120"/>
        <w:rPr>
          <w:rFonts w:asciiTheme="minorHAnsi" w:hAnsiTheme="minorHAnsi"/>
          <w:b/>
          <w:sz w:val="22"/>
          <w:szCs w:val="22"/>
        </w:rPr>
      </w:pPr>
      <w:r w:rsidRPr="00512901">
        <w:rPr>
          <w:rFonts w:asciiTheme="minorHAnsi" w:hAnsiTheme="minorHAnsi"/>
          <w:b/>
          <w:sz w:val="22"/>
          <w:szCs w:val="22"/>
        </w:rPr>
        <w:t>II. Data Availability</w:t>
      </w:r>
    </w:p>
    <w:p w14:paraId="40594B28"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3CA501B7"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213FAE90"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23187F10"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(1) The scientific data relied upon;</w:t>
      </w:r>
    </w:p>
    <w:p w14:paraId="7DCF5DDA" w14:textId="77777777" w:rsidR="00676E24" w:rsidRPr="00512901" w:rsidRDefault="00676E24" w:rsidP="00676E24">
      <w:pPr>
        <w:spacing w:after="120"/>
        <w:rPr>
          <w:rFonts w:asciiTheme="minorHAnsi" w:hAnsiTheme="minorHAnsi"/>
          <w:sz w:val="22"/>
          <w:szCs w:val="22"/>
        </w:rPr>
      </w:pPr>
      <w:r w:rsidRPr="00512901">
        <w:rPr>
          <w:rFonts w:asciiTheme="minorHAnsi" w:hAnsiTheme="minorHAnsi"/>
          <w:sz w:val="22"/>
          <w:szCs w:val="22"/>
        </w:rPr>
        <w:t>(2) The analysis relied upon; and</w:t>
      </w:r>
    </w:p>
    <w:p w14:paraId="17507A9F" w14:textId="77777777" w:rsidR="00676E24" w:rsidRPr="00512901" w:rsidRDefault="00676E24" w:rsidP="00676E24">
      <w:pPr>
        <w:spacing w:after="120"/>
        <w:rPr>
          <w:rFonts w:asciiTheme="minorHAnsi" w:hAnsiTheme="minorHAnsi"/>
          <w:sz w:val="22"/>
          <w:szCs w:val="22"/>
          <w:lang w:val="pt-BR"/>
        </w:rPr>
      </w:pPr>
      <w:r w:rsidRPr="00512901">
        <w:rPr>
          <w:rFonts w:asciiTheme="minorHAnsi" w:hAnsiTheme="minorHAnsi"/>
          <w:sz w:val="22"/>
          <w:szCs w:val="22"/>
        </w:rPr>
        <w:t>(3) The methodology, including models, used to gather and analyze data.</w:t>
      </w:r>
    </w:p>
    <w:p w14:paraId="057CD425" w14:textId="77777777" w:rsidR="00676E24" w:rsidRPr="00512901" w:rsidRDefault="00676E24" w:rsidP="00676E24">
      <w:pPr>
        <w:spacing w:after="200" w:line="276" w:lineRule="auto"/>
        <w:rPr>
          <w:rFonts w:asciiTheme="minorHAnsi" w:eastAsiaTheme="minorHAnsi" w:hAnsiTheme="minorHAnsi" w:cstheme="minorBidi"/>
          <w:sz w:val="22"/>
          <w:szCs w:val="22"/>
        </w:rPr>
      </w:pPr>
    </w:p>
    <w:p w14:paraId="20E353A1" w14:textId="77777777" w:rsidR="00676E24" w:rsidRPr="00475202" w:rsidRDefault="00676E24" w:rsidP="00676E24">
      <w:pPr>
        <w:rPr>
          <w:rFonts w:asciiTheme="minorHAnsi" w:hAnsiTheme="minorHAnsi"/>
          <w:sz w:val="22"/>
          <w:szCs w:val="22"/>
          <w:lang w:val="pt-BR"/>
        </w:rPr>
      </w:pPr>
    </w:p>
    <w:p w14:paraId="65CDE247" w14:textId="5A0EBFFC" w:rsidR="00676E24" w:rsidRDefault="00676E24" w:rsidP="00652D5F">
      <w:pPr>
        <w:ind w:firstLine="720"/>
        <w:rPr>
          <w:rFonts w:asciiTheme="minorHAnsi" w:hAnsiTheme="minorHAnsi"/>
          <w:sz w:val="22"/>
          <w:szCs w:val="22"/>
          <w:lang w:val="pt-BR"/>
        </w:rPr>
      </w:pPr>
    </w:p>
    <w:p w14:paraId="02E80170" w14:textId="77777777" w:rsidR="00676E24" w:rsidRDefault="00676E24" w:rsidP="00652D5F">
      <w:pPr>
        <w:ind w:firstLine="720"/>
        <w:rPr>
          <w:rFonts w:asciiTheme="minorHAnsi" w:hAnsiTheme="minorHAnsi"/>
          <w:sz w:val="22"/>
          <w:szCs w:val="22"/>
          <w:lang w:val="pt-BR"/>
        </w:rPr>
      </w:pPr>
    </w:p>
    <w:sectPr w:rsidR="00676E24"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C071E" w14:textId="77777777" w:rsidR="001527AE" w:rsidRDefault="001527AE">
      <w:r>
        <w:separator/>
      </w:r>
    </w:p>
    <w:p w14:paraId="49C9CE02" w14:textId="77777777" w:rsidR="001527AE" w:rsidRDefault="001527AE"/>
    <w:p w14:paraId="5DF100D6" w14:textId="77777777" w:rsidR="001527AE" w:rsidRDefault="001527AE" w:rsidP="00885F11"/>
  </w:endnote>
  <w:endnote w:type="continuationSeparator" w:id="0">
    <w:p w14:paraId="555E7B7D" w14:textId="77777777" w:rsidR="001527AE" w:rsidRDefault="001527AE">
      <w:r>
        <w:continuationSeparator/>
      </w:r>
    </w:p>
    <w:p w14:paraId="24B44DFF" w14:textId="77777777" w:rsidR="001527AE" w:rsidRDefault="001527AE"/>
    <w:p w14:paraId="3420E31D" w14:textId="77777777" w:rsidR="001527AE" w:rsidRDefault="001527AE" w:rsidP="00885F11"/>
  </w:endnote>
  <w:endnote w:type="continuationNotice" w:id="1">
    <w:p w14:paraId="0EF647A6" w14:textId="77777777" w:rsidR="001527AE" w:rsidRDefault="001527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163E8ECB"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A42215">
      <w:rPr>
        <w:rFonts w:asciiTheme="minorHAnsi" w:hAnsiTheme="minorHAnsi" w:cstheme="minorHAnsi"/>
        <w:b/>
        <w:bCs/>
        <w:noProof/>
        <w:sz w:val="20"/>
        <w:szCs w:val="20"/>
      </w:rPr>
      <w:t>9</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A42215">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4E1114" w14:textId="77777777" w:rsidR="001527AE" w:rsidRDefault="001527AE">
      <w:r>
        <w:separator/>
      </w:r>
    </w:p>
    <w:p w14:paraId="20F214CB" w14:textId="77777777" w:rsidR="001527AE" w:rsidRDefault="001527AE"/>
    <w:p w14:paraId="02147236" w14:textId="77777777" w:rsidR="001527AE" w:rsidRDefault="001527AE" w:rsidP="00885F11"/>
  </w:footnote>
  <w:footnote w:type="continuationSeparator" w:id="0">
    <w:p w14:paraId="50A143C3" w14:textId="77777777" w:rsidR="001527AE" w:rsidRDefault="001527AE">
      <w:r>
        <w:continuationSeparator/>
      </w:r>
    </w:p>
    <w:p w14:paraId="55B17345" w14:textId="77777777" w:rsidR="001527AE" w:rsidRDefault="001527AE"/>
    <w:p w14:paraId="139FF955" w14:textId="77777777" w:rsidR="001527AE" w:rsidRDefault="001527AE" w:rsidP="00885F11"/>
  </w:footnote>
  <w:footnote w:type="continuationNotice" w:id="1">
    <w:p w14:paraId="05C655F5" w14:textId="77777777" w:rsidR="001527AE" w:rsidRDefault="001527A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removePersonalInformation/>
  <w:removeDateAndTime/>
  <w:displayBackgroundShap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2F79"/>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51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086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7AE"/>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37B"/>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44E5"/>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0FDE"/>
    <w:rsid w:val="00372FD6"/>
    <w:rsid w:val="003741AF"/>
    <w:rsid w:val="0037425F"/>
    <w:rsid w:val="00374D8F"/>
    <w:rsid w:val="00375F29"/>
    <w:rsid w:val="00380917"/>
    <w:rsid w:val="003812E9"/>
    <w:rsid w:val="003816CA"/>
    <w:rsid w:val="00383D01"/>
    <w:rsid w:val="00384450"/>
    <w:rsid w:val="0038538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2D8D"/>
    <w:rsid w:val="00503F11"/>
    <w:rsid w:val="00506776"/>
    <w:rsid w:val="00506900"/>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2D5F"/>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76E24"/>
    <w:rsid w:val="00680887"/>
    <w:rsid w:val="00680EDC"/>
    <w:rsid w:val="00681FE0"/>
    <w:rsid w:val="006829F9"/>
    <w:rsid w:val="00682F96"/>
    <w:rsid w:val="0068381D"/>
    <w:rsid w:val="0068551C"/>
    <w:rsid w:val="006867E3"/>
    <w:rsid w:val="006902A2"/>
    <w:rsid w:val="00691366"/>
    <w:rsid w:val="0069639B"/>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2CF9"/>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03"/>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132A"/>
    <w:rsid w:val="00843D5E"/>
    <w:rsid w:val="008443A7"/>
    <w:rsid w:val="00845128"/>
    <w:rsid w:val="008456A4"/>
    <w:rsid w:val="00845AEA"/>
    <w:rsid w:val="0085405E"/>
    <w:rsid w:val="008547B8"/>
    <w:rsid w:val="00854DD3"/>
    <w:rsid w:val="0085547B"/>
    <w:rsid w:val="00856BA7"/>
    <w:rsid w:val="008577A0"/>
    <w:rsid w:val="00861015"/>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625C"/>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215"/>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1FED"/>
    <w:rsid w:val="00AC218D"/>
    <w:rsid w:val="00AC2D67"/>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404"/>
    <w:rsid w:val="00B96C64"/>
    <w:rsid w:val="00B97301"/>
    <w:rsid w:val="00BA1CE5"/>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BF7767"/>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B6D2B"/>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2689"/>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A785A"/>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87294"/>
    <w:rsid w:val="00E874D9"/>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676E24"/>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FWT52VV7566T-1-508891</_dlc_DocId>
    <_dlc_DocIdUrl xmlns="bbeea1d4-0d4b-44bb-8f87-0664505381b8">
      <Url>https://fishnet.fws.doi.net/regions/1/admin/fa/_layouts/DocIdRedir.aspx?ID=FWT52VV7566T-1-508891</Url>
      <Description>FWT52VV7566T-1-508891</Description>
    </_dlc_DocIdUrl>
    <AverageRating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2.xml><?xml version="1.0" encoding="utf-8"?>
<ds:datastoreItem xmlns:ds="http://schemas.openxmlformats.org/officeDocument/2006/customXml" ds:itemID="{6CB89CBF-5A34-4C2B-AE0D-1F1C7501E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B7216B-6F07-4578-8FC9-3F99B61E7816}">
  <ds:schemaRefs>
    <ds:schemaRef ds:uri="http://www.w3.org/XML/1998/namespace"/>
    <ds:schemaRef ds:uri="http://schemas.microsoft.com/office/2006/metadata/properties"/>
    <ds:schemaRef ds:uri="http://purl.org/dc/elements/1.1/"/>
    <ds:schemaRef ds:uri="http://schemas.microsoft.com/office/2006/documentManagement/types"/>
    <ds:schemaRef ds:uri="http://schemas.microsoft.com/sharepoint/v3"/>
    <ds:schemaRef ds:uri="http://purl.org/dc/terms/"/>
    <ds:schemaRef ds:uri="http://schemas.microsoft.com/office/infopath/2007/PartnerControls"/>
    <ds:schemaRef ds:uri="http://schemas.openxmlformats.org/package/2006/metadata/core-properties"/>
    <ds:schemaRef ds:uri="bbeea1d4-0d4b-44bb-8f87-0664505381b8"/>
    <ds:schemaRef ds:uri="http://purl.org/dc/dcmitype/"/>
  </ds:schemaRefs>
</ds:datastoreItem>
</file>

<file path=customXml/itemProps4.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5.xml><?xml version="1.0" encoding="utf-8"?>
<ds:datastoreItem xmlns:ds="http://schemas.openxmlformats.org/officeDocument/2006/customXml" ds:itemID="{742B1DF0-EAB8-478E-8401-1074B708A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7295</Words>
  <Characters>41584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2019-04-09T14:11:00Z</dcterms:created>
  <dcterms:modified xsi:type="dcterms:W3CDTF">2019-04-09T14:11:00Z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09d66c72-2d81-466f-9674-8daeaf25ea2b</vt:lpwstr>
  </property>
</Properties>
</file>