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DA155B" w14:textId="77777777" w:rsidR="00B82399" w:rsidRDefault="003909CA" w:rsidP="003909CA">
      <w:pPr>
        <w:jc w:val="center"/>
        <w:rPr>
          <w:b/>
          <w:sz w:val="32"/>
          <w:szCs w:val="32"/>
        </w:rPr>
      </w:pPr>
      <w:r w:rsidRPr="003909CA">
        <w:rPr>
          <w:b/>
          <w:sz w:val="32"/>
          <w:szCs w:val="32"/>
        </w:rPr>
        <w:t>Announcement Questions Received</w:t>
      </w:r>
    </w:p>
    <w:p w14:paraId="3C720B77" w14:textId="77777777" w:rsidR="003909CA" w:rsidRDefault="003909CA" w:rsidP="003909CA">
      <w:pPr>
        <w:jc w:val="center"/>
        <w:rPr>
          <w:b/>
          <w:sz w:val="32"/>
          <w:szCs w:val="32"/>
        </w:rPr>
      </w:pPr>
    </w:p>
    <w:p w14:paraId="7E2EB20A" w14:textId="77777777" w:rsidR="003909CA" w:rsidRDefault="003909CA" w:rsidP="003909CA">
      <w:pPr>
        <w:spacing w:before="100" w:beforeAutospacing="1" w:after="100" w:afterAutospacing="1"/>
      </w:pPr>
      <w:r>
        <w:t>1.  Can tribal nations apply for a grant?</w:t>
      </w:r>
    </w:p>
    <w:p w14:paraId="6071135B" w14:textId="77777777" w:rsidR="003909CA" w:rsidRDefault="003909CA" w:rsidP="003909CA">
      <w:pPr>
        <w:spacing w:before="100" w:beforeAutospacing="1" w:after="100" w:afterAutospacing="1"/>
      </w:pPr>
      <w:r>
        <w:t>2.  Can the U.S. Territories apply for a grant? </w:t>
      </w:r>
    </w:p>
    <w:p w14:paraId="6D006F49" w14:textId="77777777" w:rsidR="003909CA" w:rsidRDefault="003909CA" w:rsidP="003909CA">
      <w:pPr>
        <w:spacing w:before="100" w:beforeAutospacing="1" w:after="100" w:afterAutospacing="1"/>
      </w:pPr>
      <w:r>
        <w:t xml:space="preserve">Answer: Yes, </w:t>
      </w:r>
      <w:proofErr w:type="gramStart"/>
      <w:r>
        <w:rPr>
          <w:rFonts w:ascii="Calibri" w:hAnsi="Calibri" w:cs="Calibri"/>
          <w:color w:val="1F497D"/>
        </w:rPr>
        <w:t>The</w:t>
      </w:r>
      <w:proofErr w:type="gramEnd"/>
      <w:r>
        <w:rPr>
          <w:rFonts w:ascii="Calibri" w:hAnsi="Calibri" w:cs="Calibri"/>
          <w:color w:val="1F497D"/>
        </w:rPr>
        <w:t xml:space="preserve"> territories are defined as “states” by the Uniformed and Overseas Citizens Absentee Voting Act (UOCAVA) and tribal nations are typically involved in carrying out elections within their territories.</w:t>
      </w:r>
    </w:p>
    <w:p w14:paraId="44BA2C92" w14:textId="77777777" w:rsidR="003909CA" w:rsidRDefault="003909CA" w:rsidP="003909CA">
      <w:pPr>
        <w:spacing w:before="100" w:beforeAutospacing="1" w:after="100" w:afterAutospacing="1"/>
        <w:rPr>
          <w:rFonts w:ascii="Calibri" w:hAnsi="Calibri" w:cs="Calibri"/>
          <w:color w:val="1F497D"/>
        </w:rPr>
      </w:pPr>
      <w:r>
        <w:rPr>
          <w:rFonts w:ascii="Calibri" w:hAnsi="Calibri" w:cs="Calibri"/>
          <w:color w:val="1F497D"/>
        </w:rPr>
        <w:t>The only limiter is that the grant funds should be used primarily to enhance the absentee voting process for those citizens covered by the UOCAVA (as opposed to local absentee voters), and primarily for elections for federal offices.</w:t>
      </w:r>
    </w:p>
    <w:p w14:paraId="354CA9FE" w14:textId="77777777" w:rsidR="003909CA" w:rsidRDefault="003909CA" w:rsidP="003909CA">
      <w:pPr>
        <w:spacing w:before="100" w:beforeAutospacing="1" w:after="100" w:afterAutospacing="1"/>
        <w:rPr>
          <w:rFonts w:ascii="Calibri" w:hAnsi="Calibri" w:cs="Calibri"/>
          <w:color w:val="1F497D"/>
        </w:rPr>
      </w:pPr>
    </w:p>
    <w:p w14:paraId="59223DA7" w14:textId="77777777" w:rsidR="003909CA" w:rsidRDefault="003909CA" w:rsidP="003909CA">
      <w:r>
        <w:rPr>
          <w:rFonts w:ascii="Calibri" w:hAnsi="Calibri" w:cs="Calibri"/>
          <w:color w:val="1F497D"/>
        </w:rPr>
        <w:t xml:space="preserve">3. </w:t>
      </w:r>
      <w:r>
        <w:t>Will the total award be $30M or potentially $20M?</w:t>
      </w:r>
    </w:p>
    <w:p w14:paraId="11A41B58" w14:textId="77777777" w:rsidR="003909CA" w:rsidRDefault="003909CA" w:rsidP="003909CA">
      <w:pPr>
        <w:rPr>
          <w:color w:val="002060"/>
        </w:rPr>
      </w:pPr>
      <w:r>
        <w:t xml:space="preserve">Answer: </w:t>
      </w:r>
      <w:r w:rsidRPr="003909CA">
        <w:rPr>
          <w:color w:val="002060"/>
        </w:rPr>
        <w:t>The award ceiling for this is totaling $20M.</w:t>
      </w:r>
    </w:p>
    <w:p w14:paraId="5FB9B31E" w14:textId="77777777" w:rsidR="00ED6E71" w:rsidRDefault="00ED6E71" w:rsidP="003909CA">
      <w:pPr>
        <w:rPr>
          <w:color w:val="002060"/>
        </w:rPr>
      </w:pPr>
    </w:p>
    <w:p w14:paraId="72196FEB" w14:textId="77777777" w:rsidR="00ED6E71" w:rsidRDefault="00ED6E71" w:rsidP="00ED6E71">
      <w:pPr>
        <w:spacing w:before="100" w:beforeAutospacing="1" w:after="100" w:afterAutospacing="1"/>
      </w:pPr>
      <w:r>
        <w:rPr>
          <w:color w:val="002060"/>
        </w:rPr>
        <w:t xml:space="preserve">4. </w:t>
      </w:r>
      <w:r>
        <w:t>If a state is currently using a platform for our UOCAVA voters. Clarify if the FVAP can be used to cover costs of the current platform, or if it must be used to address new services and cannot be used as a supplemental?</w:t>
      </w:r>
    </w:p>
    <w:p w14:paraId="54E78B66" w14:textId="77777777" w:rsidR="00ED6E71" w:rsidRPr="00ED6E71" w:rsidRDefault="00ED6E71" w:rsidP="00ED6E71">
      <w:pPr>
        <w:rPr>
          <w:color w:val="002060"/>
        </w:rPr>
      </w:pPr>
      <w:r>
        <w:t xml:space="preserve">Answer: </w:t>
      </w:r>
      <w:r w:rsidRPr="00ED6E71">
        <w:rPr>
          <w:color w:val="002060"/>
        </w:rPr>
        <w:t xml:space="preserve">There should be no restriction for the grants paying for an existing system. </w:t>
      </w:r>
      <w:proofErr w:type="gramStart"/>
      <w:r w:rsidRPr="00ED6E71">
        <w:rPr>
          <w:color w:val="002060"/>
        </w:rPr>
        <w:t>So</w:t>
      </w:r>
      <w:proofErr w:type="gramEnd"/>
      <w:r w:rsidRPr="00ED6E71">
        <w:rPr>
          <w:color w:val="002060"/>
        </w:rPr>
        <w:t xml:space="preserve"> the grant could cover costs of the current platform.</w:t>
      </w:r>
    </w:p>
    <w:p w14:paraId="51DB99CD" w14:textId="77777777" w:rsidR="00ED6E71" w:rsidRDefault="00ED6E71" w:rsidP="00ED6E71">
      <w:pPr>
        <w:spacing w:before="100" w:beforeAutospacing="1" w:after="100" w:afterAutospacing="1"/>
      </w:pPr>
    </w:p>
    <w:p w14:paraId="70A82DD4" w14:textId="5A0B89E1" w:rsidR="00ED6E71" w:rsidRDefault="00ED6E71" w:rsidP="00ED6E71">
      <w:r>
        <w:t xml:space="preserve">5.  Can </w:t>
      </w:r>
      <w:r w:rsidR="006C4D9A">
        <w:t>upgrades</w:t>
      </w:r>
      <w:r>
        <w:t xml:space="preserve">, </w:t>
      </w:r>
      <w:proofErr w:type="spellStart"/>
      <w:r>
        <w:t>i.e</w:t>
      </w:r>
      <w:proofErr w:type="spellEnd"/>
      <w:r>
        <w:t xml:space="preserve"> for CAC for security measures be covered for an existing system? Are any pain points or functionality enhancements you have heard of or that you would recommend? </w:t>
      </w:r>
    </w:p>
    <w:p w14:paraId="7EF30E7B" w14:textId="77777777" w:rsidR="00ED6E71" w:rsidRPr="00ED6E71" w:rsidRDefault="00ED6E71" w:rsidP="00ED6E71">
      <w:pPr>
        <w:rPr>
          <w:color w:val="002060"/>
        </w:rPr>
      </w:pPr>
      <w:r>
        <w:t xml:space="preserve">Answer: </w:t>
      </w:r>
      <w:proofErr w:type="gramStart"/>
      <w:r w:rsidRPr="00ED6E71">
        <w:rPr>
          <w:color w:val="002060"/>
        </w:rPr>
        <w:t>All of</w:t>
      </w:r>
      <w:proofErr w:type="gramEnd"/>
      <w:r w:rsidRPr="00ED6E71">
        <w:rPr>
          <w:color w:val="002060"/>
        </w:rPr>
        <w:t xml:space="preserve"> the things mentioned (cosmetic upgrades for functionality, usability, look and feel; implementing CAC cards and other increased security measures) would be eligible for grants funding as long as there is no aspect of electronic ballot return.</w:t>
      </w:r>
    </w:p>
    <w:p w14:paraId="4D7F7740" w14:textId="63ADE1F2" w:rsidR="00ED6E71" w:rsidRDefault="00ED6E71" w:rsidP="00ED6E71">
      <w:pPr>
        <w:spacing w:before="100" w:beforeAutospacing="1" w:after="100" w:afterAutospacing="1"/>
        <w:rPr>
          <w:color w:val="002060"/>
        </w:rPr>
      </w:pPr>
      <w:r w:rsidRPr="00ED6E71">
        <w:rPr>
          <w:color w:val="002060"/>
        </w:rPr>
        <w:t xml:space="preserve">We are not sure how much more information we have available to provide besides what is in the </w:t>
      </w:r>
      <w:proofErr w:type="gramStart"/>
      <w:r w:rsidRPr="00ED6E71">
        <w:rPr>
          <w:color w:val="002060"/>
        </w:rPr>
        <w:t>grants</w:t>
      </w:r>
      <w:proofErr w:type="gramEnd"/>
      <w:r w:rsidRPr="00ED6E71">
        <w:rPr>
          <w:color w:val="002060"/>
        </w:rPr>
        <w:t xml:space="preserve"> documents.  Prospective applicants can look at reports written by FVAP or The Council of State Governments (CSG).</w:t>
      </w:r>
    </w:p>
    <w:p w14:paraId="060EAFD9" w14:textId="77777777" w:rsidR="006C4D9A" w:rsidRPr="006C4D9A" w:rsidRDefault="006C4D9A" w:rsidP="006C4D9A">
      <w:pPr>
        <w:rPr>
          <w:rFonts w:eastAsia="Times New Roman"/>
        </w:rPr>
      </w:pPr>
      <w:r w:rsidRPr="006C4D9A">
        <w:rPr>
          <w:color w:val="002060"/>
        </w:rPr>
        <w:t xml:space="preserve">6. </w:t>
      </w:r>
      <w:r w:rsidRPr="006C4D9A">
        <w:rPr>
          <w:rFonts w:ascii="Arial" w:eastAsia="Times New Roman" w:hAnsi="Arial" w:cs="Arial"/>
          <w:color w:val="000000"/>
          <w:sz w:val="18"/>
          <w:szCs w:val="18"/>
          <w:shd w:val="clear" w:color="auto" w:fill="FFFFFF"/>
        </w:rPr>
        <w:t>·   </w:t>
      </w:r>
      <w:r w:rsidRPr="006C4D9A">
        <w:rPr>
          <w:rFonts w:ascii="Arial" w:eastAsia="Times New Roman" w:hAnsi="Arial" w:cs="Arial"/>
          <w:color w:val="363636"/>
          <w:sz w:val="18"/>
          <w:szCs w:val="18"/>
          <w:shd w:val="clear" w:color="auto" w:fill="FFFFFF"/>
        </w:rPr>
        <w:t xml:space="preserve">NOTE: Grant funds cannot be used for the electronic return of completed ballots to election offices.  Does this mean we could not use the funds for </w:t>
      </w:r>
      <w:r w:rsidRPr="006C4D9A">
        <w:rPr>
          <w:rFonts w:eastAsia="Times New Roman"/>
        </w:rPr>
        <w:t xml:space="preserve">an automatic date stamper or </w:t>
      </w:r>
      <w:proofErr w:type="spellStart"/>
      <w:r w:rsidRPr="006C4D9A">
        <w:rPr>
          <w:rFonts w:eastAsia="Times New Roman"/>
        </w:rPr>
        <w:t>Ballotrax</w:t>
      </w:r>
      <w:proofErr w:type="spellEnd"/>
      <w:r w:rsidRPr="006C4D9A">
        <w:rPr>
          <w:rFonts w:eastAsia="Times New Roman"/>
        </w:rPr>
        <w:t>?</w:t>
      </w:r>
    </w:p>
    <w:p w14:paraId="7C7CD3C5" w14:textId="77777777" w:rsidR="006C4D9A" w:rsidRDefault="006C4D9A" w:rsidP="006C4D9A"/>
    <w:p w14:paraId="7648EE50" w14:textId="5BD538C2" w:rsidR="006C4D9A" w:rsidRDefault="006C4D9A" w:rsidP="00ED6E71">
      <w:pPr>
        <w:spacing w:before="100" w:beforeAutospacing="1" w:after="100" w:afterAutospacing="1"/>
        <w:rPr>
          <w:color w:val="002060"/>
        </w:rPr>
      </w:pPr>
    </w:p>
    <w:p w14:paraId="55CBF2A3" w14:textId="4778CD80" w:rsidR="006C4D9A" w:rsidRPr="006C4D9A" w:rsidRDefault="006C4D9A" w:rsidP="006C4D9A">
      <w:pPr>
        <w:rPr>
          <w:color w:val="002060"/>
        </w:rPr>
      </w:pPr>
      <w:r>
        <w:rPr>
          <w:color w:val="002060"/>
        </w:rPr>
        <w:t xml:space="preserve">Answer: </w:t>
      </w:r>
      <w:r w:rsidRPr="006C4D9A">
        <w:rPr>
          <w:color w:val="002060"/>
        </w:rPr>
        <w:t>T</w:t>
      </w:r>
      <w:r w:rsidRPr="006C4D9A">
        <w:rPr>
          <w:color w:val="002060"/>
        </w:rPr>
        <w:t>his should be ok. It seems like this system would be used to prepare the voted ballot for sending through a separate system.</w:t>
      </w:r>
    </w:p>
    <w:p w14:paraId="0C283448" w14:textId="77777777" w:rsidR="006C4D9A" w:rsidRPr="006C4D9A" w:rsidRDefault="006C4D9A" w:rsidP="006C4D9A">
      <w:pPr>
        <w:rPr>
          <w:color w:val="002060"/>
        </w:rPr>
      </w:pPr>
      <w:proofErr w:type="gramStart"/>
      <w:r w:rsidRPr="006C4D9A">
        <w:rPr>
          <w:color w:val="002060"/>
        </w:rPr>
        <w:t>As long as</w:t>
      </w:r>
      <w:proofErr w:type="gramEnd"/>
      <w:r w:rsidRPr="006C4D9A">
        <w:rPr>
          <w:color w:val="002060"/>
        </w:rPr>
        <w:t xml:space="preserve"> the system is not used to actually transmit the voted ballot it should be eligible for funding. </w:t>
      </w:r>
    </w:p>
    <w:p w14:paraId="7083F71A" w14:textId="7D6A5DA8" w:rsidR="006C4D9A" w:rsidRPr="00ED6E71" w:rsidRDefault="006C4D9A" w:rsidP="00ED6E71">
      <w:pPr>
        <w:spacing w:before="100" w:beforeAutospacing="1" w:after="100" w:afterAutospacing="1"/>
        <w:rPr>
          <w:color w:val="002060"/>
        </w:rPr>
      </w:pPr>
    </w:p>
    <w:p w14:paraId="2E0EA1C0" w14:textId="77777777" w:rsidR="00ED6E71" w:rsidRDefault="00ED6E71" w:rsidP="00ED6E71">
      <w:pPr>
        <w:spacing w:before="100" w:beforeAutospacing="1" w:after="100" w:afterAutospacing="1"/>
      </w:pPr>
    </w:p>
    <w:p w14:paraId="026011E1" w14:textId="77777777" w:rsidR="00ED6E71" w:rsidRDefault="00ED6E71" w:rsidP="003909CA"/>
    <w:p w14:paraId="3A9A9106" w14:textId="77777777" w:rsidR="003909CA" w:rsidRDefault="003909CA" w:rsidP="003909CA"/>
    <w:p w14:paraId="56BA5412" w14:textId="77777777" w:rsidR="003909CA" w:rsidRDefault="003909CA" w:rsidP="003909CA">
      <w:pPr>
        <w:spacing w:before="100" w:beforeAutospacing="1" w:after="100" w:afterAutospacing="1"/>
      </w:pPr>
    </w:p>
    <w:p w14:paraId="45380C8F" w14:textId="77777777" w:rsidR="003909CA" w:rsidRDefault="003909CA" w:rsidP="003909CA">
      <w:pPr>
        <w:spacing w:before="100" w:beforeAutospacing="1" w:after="100" w:afterAutospacing="1"/>
      </w:pPr>
    </w:p>
    <w:p w14:paraId="12469182" w14:textId="77777777" w:rsidR="003909CA" w:rsidRPr="003909CA" w:rsidRDefault="003909CA" w:rsidP="003909CA">
      <w:pPr>
        <w:rPr>
          <w:b/>
          <w:sz w:val="32"/>
          <w:szCs w:val="32"/>
        </w:rPr>
      </w:pPr>
    </w:p>
    <w:sectPr w:rsidR="003909CA" w:rsidRPr="003909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C726E3C"/>
    <w:multiLevelType w:val="hybridMultilevel"/>
    <w:tmpl w:val="33C4440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2915206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09CA"/>
    <w:rsid w:val="003909CA"/>
    <w:rsid w:val="006C4D9A"/>
    <w:rsid w:val="00A4371A"/>
    <w:rsid w:val="00ED6E71"/>
    <w:rsid w:val="00F23F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D05B27"/>
  <w15:chartTrackingRefBased/>
  <w15:docId w15:val="{9EFFAE90-C07F-482B-844D-2A802663F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C4D9A"/>
    <w:pPr>
      <w:spacing w:after="0" w:line="240" w:lineRule="auto"/>
      <w:ind w:left="720"/>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9912131">
      <w:bodyDiv w:val="1"/>
      <w:marLeft w:val="0"/>
      <w:marRight w:val="0"/>
      <w:marTop w:val="0"/>
      <w:marBottom w:val="0"/>
      <w:divBdr>
        <w:top w:val="none" w:sz="0" w:space="0" w:color="auto"/>
        <w:left w:val="none" w:sz="0" w:space="0" w:color="auto"/>
        <w:bottom w:val="none" w:sz="0" w:space="0" w:color="auto"/>
        <w:right w:val="none" w:sz="0" w:space="0" w:color="auto"/>
      </w:divBdr>
    </w:div>
    <w:div w:id="833299232">
      <w:bodyDiv w:val="1"/>
      <w:marLeft w:val="0"/>
      <w:marRight w:val="0"/>
      <w:marTop w:val="0"/>
      <w:marBottom w:val="0"/>
      <w:divBdr>
        <w:top w:val="none" w:sz="0" w:space="0" w:color="auto"/>
        <w:left w:val="none" w:sz="0" w:space="0" w:color="auto"/>
        <w:bottom w:val="none" w:sz="0" w:space="0" w:color="auto"/>
        <w:right w:val="none" w:sz="0" w:space="0" w:color="auto"/>
      </w:divBdr>
    </w:div>
    <w:div w:id="1487282971">
      <w:bodyDiv w:val="1"/>
      <w:marLeft w:val="0"/>
      <w:marRight w:val="0"/>
      <w:marTop w:val="0"/>
      <w:marBottom w:val="0"/>
      <w:divBdr>
        <w:top w:val="none" w:sz="0" w:space="0" w:color="auto"/>
        <w:left w:val="none" w:sz="0" w:space="0" w:color="auto"/>
        <w:bottom w:val="none" w:sz="0" w:space="0" w:color="auto"/>
        <w:right w:val="none" w:sz="0" w:space="0" w:color="auto"/>
      </w:divBdr>
    </w:div>
    <w:div w:id="1718772261">
      <w:bodyDiv w:val="1"/>
      <w:marLeft w:val="0"/>
      <w:marRight w:val="0"/>
      <w:marTop w:val="0"/>
      <w:marBottom w:val="0"/>
      <w:divBdr>
        <w:top w:val="none" w:sz="0" w:space="0" w:color="auto"/>
        <w:left w:val="none" w:sz="0" w:space="0" w:color="auto"/>
        <w:bottom w:val="none" w:sz="0" w:space="0" w:color="auto"/>
        <w:right w:val="none" w:sz="0" w:space="0" w:color="auto"/>
      </w:divBdr>
    </w:div>
    <w:div w:id="1787263971">
      <w:bodyDiv w:val="1"/>
      <w:marLeft w:val="0"/>
      <w:marRight w:val="0"/>
      <w:marTop w:val="0"/>
      <w:marBottom w:val="0"/>
      <w:divBdr>
        <w:top w:val="none" w:sz="0" w:space="0" w:color="auto"/>
        <w:left w:val="none" w:sz="0" w:space="0" w:color="auto"/>
        <w:bottom w:val="none" w:sz="0" w:space="0" w:color="auto"/>
        <w:right w:val="none" w:sz="0" w:space="0" w:color="auto"/>
      </w:divBdr>
    </w:div>
    <w:div w:id="1867406673">
      <w:bodyDiv w:val="1"/>
      <w:marLeft w:val="0"/>
      <w:marRight w:val="0"/>
      <w:marTop w:val="0"/>
      <w:marBottom w:val="0"/>
      <w:divBdr>
        <w:top w:val="none" w:sz="0" w:space="0" w:color="auto"/>
        <w:left w:val="none" w:sz="0" w:space="0" w:color="auto"/>
        <w:bottom w:val="none" w:sz="0" w:space="0" w:color="auto"/>
        <w:right w:val="none" w:sz="0" w:space="0" w:color="auto"/>
      </w:divBdr>
    </w:div>
    <w:div w:id="1868449822">
      <w:bodyDiv w:val="1"/>
      <w:marLeft w:val="0"/>
      <w:marRight w:val="0"/>
      <w:marTop w:val="0"/>
      <w:marBottom w:val="0"/>
      <w:divBdr>
        <w:top w:val="none" w:sz="0" w:space="0" w:color="auto"/>
        <w:left w:val="none" w:sz="0" w:space="0" w:color="auto"/>
        <w:bottom w:val="none" w:sz="0" w:space="0" w:color="auto"/>
        <w:right w:val="none" w:sz="0" w:space="0" w:color="auto"/>
      </w:divBdr>
    </w:div>
    <w:div w:id="2015954582">
      <w:bodyDiv w:val="1"/>
      <w:marLeft w:val="0"/>
      <w:marRight w:val="0"/>
      <w:marTop w:val="0"/>
      <w:marBottom w:val="0"/>
      <w:divBdr>
        <w:top w:val="none" w:sz="0" w:space="0" w:color="auto"/>
        <w:left w:val="none" w:sz="0" w:space="0" w:color="auto"/>
        <w:bottom w:val="none" w:sz="0" w:space="0" w:color="auto"/>
        <w:right w:val="none" w:sz="0" w:space="0" w:color="auto"/>
      </w:divBdr>
    </w:div>
    <w:div w:id="2122187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320</Words>
  <Characters>1830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U.S. Department of Defense</Company>
  <LinksUpToDate>false</LinksUpToDate>
  <CharactersWithSpaces>2146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 Heather J CIV DODHRA DEOC (USA)</dc:creator>
  <cp:keywords/>
  <dc:description/>
  <cp:lastModifiedBy>Heather</cp:lastModifiedBy>
  <cp:revision>3</cp:revision>
  <dcterms:created xsi:type="dcterms:W3CDTF">2023-02-08T00:25:00Z</dcterms:created>
  <dcterms:modified xsi:type="dcterms:W3CDTF">2023-03-02T13:07:00Z</dcterms:modified>
</cp:coreProperties>
</file>