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54579810"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AD5429" w:rsidRPr="00AD5429">
        <w:rPr>
          <w:rFonts w:ascii="Times New Roman" w:eastAsia="Times New Roman" w:hAnsi="Times New Roman" w:cs="Times New Roman"/>
          <w:sz w:val="24"/>
          <w:szCs w:val="24"/>
        </w:rPr>
        <w:t>DRL Advancing Democratic Culture in Armenia</w:t>
      </w:r>
    </w:p>
    <w:p w14:paraId="7ED66348" w14:textId="77777777" w:rsidR="00290D8C" w:rsidRDefault="00290D8C">
      <w:pPr>
        <w:spacing w:after="0" w:line="240" w:lineRule="auto"/>
        <w:jc w:val="center"/>
      </w:pPr>
    </w:p>
    <w:p w14:paraId="01ABC376" w14:textId="64077BD2"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5C0F23" w:rsidRPr="005C0F23">
        <w:rPr>
          <w:rFonts w:ascii="Times New Roman" w:eastAsia="Times New Roman" w:hAnsi="Times New Roman" w:cs="Times New Roman"/>
          <w:b/>
          <w:sz w:val="24"/>
          <w:szCs w:val="24"/>
        </w:rPr>
        <w:t>SFOP0006408</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55CF3754"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AD5429">
        <w:rPr>
          <w:rFonts w:ascii="Times New Roman" w:eastAsia="Times New Roman" w:hAnsi="Times New Roman" w:cs="Times New Roman"/>
          <w:sz w:val="24"/>
          <w:szCs w:val="24"/>
        </w:rPr>
        <w:t>Open Solicitation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2B7D11C3"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r w:rsidR="009700CC">
        <w:rPr>
          <w:rFonts w:ascii="Times New Roman" w:eastAsia="Times New Roman" w:hAnsi="Times New Roman" w:cs="Times New Roman"/>
          <w:sz w:val="24"/>
          <w:szCs w:val="24"/>
        </w:rPr>
        <w:t>Friday</w:t>
      </w:r>
      <w:r w:rsidR="0062465D">
        <w:rPr>
          <w:rFonts w:ascii="Times New Roman" w:eastAsia="Times New Roman" w:hAnsi="Times New Roman" w:cs="Times New Roman"/>
          <w:sz w:val="24"/>
          <w:szCs w:val="24"/>
        </w:rPr>
        <w:t>,</w:t>
      </w:r>
      <w:r w:rsidR="009700CC">
        <w:rPr>
          <w:rFonts w:ascii="Times New Roman" w:eastAsia="Times New Roman" w:hAnsi="Times New Roman" w:cs="Times New Roman"/>
          <w:sz w:val="24"/>
          <w:szCs w:val="24"/>
        </w:rPr>
        <w:t xml:space="preserve"> March 13</w:t>
      </w:r>
      <w:r w:rsidR="0062465D">
        <w:rPr>
          <w:rFonts w:ascii="Times New Roman" w:eastAsia="Times New Roman" w:hAnsi="Times New Roman" w:cs="Times New Roman"/>
          <w:sz w:val="24"/>
          <w:szCs w:val="24"/>
        </w:rPr>
        <w:t xml:space="preserve">, </w:t>
      </w:r>
      <w:r w:rsidR="00902E02">
        <w:rPr>
          <w:rFonts w:ascii="Times New Roman" w:eastAsia="Times New Roman" w:hAnsi="Times New Roman" w:cs="Times New Roman"/>
          <w:sz w:val="24"/>
          <w:szCs w:val="24"/>
        </w:rPr>
        <w:t>2020</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5470DF37"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3221AC" w:rsidRPr="003A3E08">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AD5429" w:rsidRPr="00410C31">
        <w:rPr>
          <w:rFonts w:ascii="Times New Roman" w:hAnsi="Times New Roman"/>
          <w:sz w:val="24"/>
          <w:szCs w:val="28"/>
        </w:rPr>
        <w:t>641,975</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192DC8AD"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62465D" w:rsidRPr="00E806D4">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AD5429" w:rsidRPr="00410C31">
        <w:rPr>
          <w:rFonts w:ascii="Times New Roman" w:hAnsi="Times New Roman"/>
          <w:sz w:val="24"/>
          <w:szCs w:val="28"/>
        </w:rPr>
        <w:t>641,975</w:t>
      </w:r>
      <w:r w:rsidR="00443D30" w:rsidRPr="00410C31">
        <w:rPr>
          <w:rFonts w:ascii="Times New Roman" w:eastAsia="Times New Roman" w:hAnsi="Times New Roman" w:cs="Times New Roman"/>
          <w:szCs w:val="24"/>
        </w:rPr>
        <w:t xml:space="preserve"> </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01134072"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005A265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AD5429">
        <w:rPr>
          <w:rFonts w:ascii="Times New Roman" w:eastAsia="Times New Roman" w:hAnsi="Times New Roman" w:cs="Times New Roman"/>
          <w:sz w:val="24"/>
          <w:szCs w:val="24"/>
        </w:rPr>
        <w:t>1</w:t>
      </w:r>
    </w:p>
    <w:p w14:paraId="73D17870" w14:textId="77777777" w:rsidR="003221AC" w:rsidRDefault="003221AC" w:rsidP="003221AC">
      <w:pPr>
        <w:spacing w:after="0" w:line="240" w:lineRule="auto"/>
        <w:rPr>
          <w:rFonts w:ascii="Times New Roman" w:hAnsi="Times New Roman" w:cs="Times New Roman"/>
        </w:rPr>
      </w:pPr>
    </w:p>
    <w:p w14:paraId="46065859" w14:textId="177A0320" w:rsidR="003221AC" w:rsidRPr="00AD5429" w:rsidRDefault="003221AC" w:rsidP="003221AC">
      <w:pPr>
        <w:spacing w:after="0" w:line="240" w:lineRule="auto"/>
        <w:rPr>
          <w:rFonts w:ascii="Times New Roman" w:hAnsi="Times New Roman" w:cs="Times New Roman"/>
          <w:sz w:val="24"/>
        </w:rPr>
      </w:pPr>
      <w:r w:rsidRPr="00AD5429">
        <w:rPr>
          <w:rFonts w:ascii="Times New Roman" w:hAnsi="Times New Roman" w:cs="Times New Roman"/>
          <w:b/>
          <w:sz w:val="24"/>
        </w:rPr>
        <w:t>Type of Award:</w:t>
      </w:r>
      <w:r w:rsidRPr="00AD5429">
        <w:rPr>
          <w:rFonts w:ascii="Times New Roman" w:hAnsi="Times New Roman" w:cs="Times New Roman"/>
          <w:sz w:val="24"/>
        </w:rPr>
        <w:t xml:space="preserve"> </w:t>
      </w:r>
      <w:r w:rsidR="00AD5429" w:rsidRPr="00AD5429">
        <w:rPr>
          <w:rFonts w:ascii="Times New Roman" w:hAnsi="Times New Roman" w:cs="Times New Roman"/>
          <w:sz w:val="24"/>
        </w:rPr>
        <w:t>Grant</w:t>
      </w:r>
    </w:p>
    <w:p w14:paraId="7C782B51" w14:textId="77777777" w:rsidR="002B7CFF" w:rsidRDefault="002B7CFF">
      <w:pPr>
        <w:spacing w:after="0" w:line="240" w:lineRule="auto"/>
        <w:rPr>
          <w:rFonts w:ascii="Times New Roman" w:eastAsia="Times New Roman" w:hAnsi="Times New Roman" w:cs="Times New Roman"/>
          <w:b/>
          <w:sz w:val="24"/>
          <w:szCs w:val="24"/>
        </w:rPr>
      </w:pPr>
      <w:bookmarkStart w:id="0" w:name="_GoBack"/>
      <w:bookmarkEnd w:id="0"/>
    </w:p>
    <w:p w14:paraId="2922AC3A" w14:textId="56479A46"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002640C3" w:rsidRPr="003A3E08">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6E6781">
        <w:rPr>
          <w:rFonts w:ascii="Times New Roman" w:eastAsia="Times New Roman" w:hAnsi="Times New Roman" w:cs="Times New Roman"/>
          <w:sz w:val="24"/>
          <w:szCs w:val="24"/>
        </w:rPr>
        <w:t xml:space="preserve">18 - </w:t>
      </w:r>
      <w:r w:rsidR="00AD5429">
        <w:rPr>
          <w:rFonts w:ascii="Times New Roman" w:eastAsia="Times New Roman" w:hAnsi="Times New Roman" w:cs="Times New Roman"/>
          <w:sz w:val="24"/>
          <w:szCs w:val="24"/>
        </w:rPr>
        <w:t>24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3630A7B1"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5A2652">
        <w:rPr>
          <w:rFonts w:ascii="Times New Roman" w:eastAsia="Times New Roman" w:hAnsi="Times New Roman" w:cs="Times New Roman"/>
          <w:b/>
          <w:sz w:val="24"/>
          <w:szCs w:val="24"/>
        </w:rPr>
        <w:t>, Pending Availability of Funds</w:t>
      </w:r>
      <w:r w:rsidRPr="003A3E08">
        <w:rPr>
          <w:rFonts w:ascii="Times New Roman" w:eastAsia="Times New Roman" w:hAnsi="Times New Roman" w:cs="Times New Roman"/>
          <w:b/>
          <w:sz w:val="24"/>
          <w:szCs w:val="24"/>
        </w:rPr>
        <w:t>:</w:t>
      </w:r>
      <w:r w:rsidR="00443D30" w:rsidRPr="00A935C5">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AD5429" w:rsidRPr="00AD5429">
        <w:rPr>
          <w:rFonts w:ascii="Times New Roman" w:eastAsia="Times New Roman" w:hAnsi="Times New Roman" w:cs="Times New Roman"/>
          <w:sz w:val="24"/>
          <w:szCs w:val="24"/>
        </w:rPr>
        <w:t>6-7</w:t>
      </w:r>
      <w:r w:rsidR="005A2652" w:rsidRPr="00AD5429">
        <w:rPr>
          <w:rFonts w:ascii="Times New Roman" w:eastAsia="Times New Roman" w:hAnsi="Times New Roman" w:cs="Times New Roman"/>
          <w:sz w:val="24"/>
          <w:szCs w:val="24"/>
        </w:rPr>
        <w:t xml:space="preserve"> months</w:t>
      </w:r>
    </w:p>
    <w:p w14:paraId="30C86FD0" w14:textId="57F4774D"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1F716EC3" w14:textId="77777777" w:rsidR="00893BFC" w:rsidRPr="00893BFC" w:rsidRDefault="00893BFC" w:rsidP="00893BFC">
      <w:pPr>
        <w:spacing w:after="0" w:line="240" w:lineRule="auto"/>
        <w:rPr>
          <w:rFonts w:ascii="Times New Roman" w:eastAsia="Times New Roman" w:hAnsi="Times New Roman" w:cs="Times New Roman"/>
          <w:sz w:val="24"/>
          <w:szCs w:val="24"/>
        </w:rPr>
      </w:pPr>
      <w:r w:rsidRPr="00893BFC">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projects that advance democratic culture in Armenia.  </w:t>
      </w:r>
    </w:p>
    <w:p w14:paraId="5DB2FE90" w14:textId="77777777" w:rsidR="00893BFC" w:rsidRPr="00893BFC" w:rsidRDefault="00893BFC" w:rsidP="00893BFC">
      <w:pPr>
        <w:spacing w:after="0" w:line="240" w:lineRule="auto"/>
        <w:rPr>
          <w:rFonts w:ascii="Times New Roman" w:eastAsia="Times New Roman" w:hAnsi="Times New Roman" w:cs="Times New Roman"/>
          <w:sz w:val="24"/>
          <w:szCs w:val="24"/>
        </w:rPr>
      </w:pPr>
    </w:p>
    <w:p w14:paraId="36DCBE58" w14:textId="77777777" w:rsidR="00893BFC" w:rsidRPr="00893BFC" w:rsidRDefault="00893BFC" w:rsidP="00893BFC">
      <w:pPr>
        <w:spacing w:after="0" w:line="240" w:lineRule="auto"/>
        <w:rPr>
          <w:rFonts w:ascii="Times New Roman" w:eastAsia="Times New Roman" w:hAnsi="Times New Roman" w:cs="Times New Roman"/>
          <w:sz w:val="24"/>
          <w:szCs w:val="24"/>
        </w:rPr>
      </w:pPr>
      <w:r w:rsidRPr="00893BFC">
        <w:rPr>
          <w:rFonts w:ascii="Times New Roman" w:eastAsia="Times New Roman" w:hAnsi="Times New Roman" w:cs="Times New Roman"/>
          <w:sz w:val="24"/>
          <w:szCs w:val="24"/>
        </w:rPr>
        <w:t xml:space="preserve">DRL’s goal is to advance democratic culture by supporting Armenia’s civil society’s efforts to strengthen the population’s resilience to malign influences.  This project seeks to develop Armenian civil society capacity to identify disinformation, stop its proliferation, and mitigate its impact. </w:t>
      </w:r>
    </w:p>
    <w:p w14:paraId="4D7EFC40" w14:textId="77777777" w:rsidR="00893BFC" w:rsidRPr="00893BFC" w:rsidRDefault="00893BFC" w:rsidP="00893BFC">
      <w:pPr>
        <w:spacing w:after="0" w:line="240" w:lineRule="auto"/>
        <w:rPr>
          <w:rFonts w:ascii="Times New Roman" w:eastAsia="Times New Roman" w:hAnsi="Times New Roman" w:cs="Times New Roman"/>
          <w:sz w:val="24"/>
          <w:szCs w:val="24"/>
        </w:rPr>
      </w:pPr>
    </w:p>
    <w:p w14:paraId="1842FD0A" w14:textId="4BC2B1A0" w:rsidR="00290D8C" w:rsidRDefault="00893BFC" w:rsidP="00893BFC">
      <w:pPr>
        <w:spacing w:after="0" w:line="240" w:lineRule="auto"/>
        <w:rPr>
          <w:rFonts w:ascii="Times New Roman" w:eastAsia="Times New Roman" w:hAnsi="Times New Roman" w:cs="Times New Roman"/>
          <w:sz w:val="24"/>
          <w:szCs w:val="24"/>
        </w:rPr>
      </w:pPr>
      <w:r w:rsidRPr="00893BFC">
        <w:rPr>
          <w:rFonts w:ascii="Times New Roman" w:eastAsia="Times New Roman" w:hAnsi="Times New Roman" w:cs="Times New Roman"/>
          <w:sz w:val="24"/>
          <w:szCs w:val="24"/>
        </w:rPr>
        <w:t>Program activities may include: assessment of Armenians' vulnerabilities to disinformation and capacity of local actors to use counter-measures; media monitoring to track disinformation, including its sources and how it is spread; basic digital safety education for civil society organizations and their representatives to protect themselves from online harassment and attacks; and raising awareness among the Armenian public of disinformation and available tools to combat it.  Proposals drawing on international best practices and/or lessons learned will be considered particularly competitive.</w:t>
      </w:r>
    </w:p>
    <w:p w14:paraId="07251D85" w14:textId="77777777" w:rsidR="00893BFC" w:rsidRPr="00AA661A" w:rsidRDefault="00893BFC" w:rsidP="00893BFC">
      <w:pPr>
        <w:spacing w:after="0" w:line="240" w:lineRule="auto"/>
        <w:rPr>
          <w:color w:val="auto"/>
        </w:rPr>
      </w:pPr>
    </w:p>
    <w:p w14:paraId="2DA419DE" w14:textId="65FDD4CB" w:rsidR="0035360E" w:rsidRPr="00AD5429" w:rsidRDefault="00A935C5" w:rsidP="00AD54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t>
      </w:r>
      <w:r w:rsidR="00AA3639">
        <w:rPr>
          <w:rFonts w:ascii="Times New Roman" w:hAnsi="Times New Roman" w:cs="Times New Roman"/>
          <w:sz w:val="24"/>
          <w:szCs w:val="24"/>
        </w:rPr>
        <w:lastRenderedPageBreak/>
        <w:t xml:space="preserve">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r w:rsidR="007A38CE">
        <w:br/>
      </w:r>
    </w:p>
    <w:p w14:paraId="10808C9C" w14:textId="77777777" w:rsidR="00AA3639" w:rsidRDefault="00AA3639" w:rsidP="00AD5429">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AD5429">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188AF7CA"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AD5429">
        <w:rPr>
          <w:rFonts w:ascii="Times New Roman" w:eastAsia="Times New Roman" w:hAnsi="Times New Roman" w:cs="Times New Roman"/>
          <w:sz w:val="24"/>
          <w:szCs w:val="24"/>
        </w:rPr>
        <w:t>1</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sidR="00AD5429">
        <w:rPr>
          <w:rFonts w:ascii="Times New Roman" w:eastAsia="Times New Roman" w:hAnsi="Times New Roman" w:cs="Times New Roman"/>
          <w:sz w:val="24"/>
          <w:szCs w:val="24"/>
        </w:rPr>
        <w:t>NOFO.</w:t>
      </w:r>
    </w:p>
    <w:p w14:paraId="2EBF3853" w14:textId="77777777"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36345D5E" w14:textId="3660462C" w:rsidR="005219E9" w:rsidRDefault="00E25DBC" w:rsidP="003A3E08">
      <w:pPr>
        <w:spacing w:after="0" w:line="240" w:lineRule="auto"/>
        <w:rPr>
          <w:rFonts w:ascii="Times New Roman" w:hAnsi="Times New Roman" w:cs="Times New Roman"/>
          <w:sz w:val="24"/>
          <w:szCs w:val="24"/>
          <w:highlight w:val="yellow"/>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is not </w:t>
      </w:r>
      <w:proofErr w:type="gramStart"/>
      <w:r w:rsidRPr="00E25DBC">
        <w:rPr>
          <w:rFonts w:ascii="Times New Roman" w:hAnsi="Times New Roman" w:cs="Times New Roman"/>
          <w:sz w:val="24"/>
          <w:szCs w:val="24"/>
        </w:rPr>
        <w:t>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r w:rsidR="00473E00">
        <w:rPr>
          <w:rFonts w:ascii="Times New Roman" w:hAnsi="Times New Roman" w:cs="Times New Roman"/>
          <w:sz w:val="24"/>
          <w:szCs w:val="24"/>
        </w:rPr>
        <w:br/>
      </w:r>
    </w:p>
    <w:p w14:paraId="11EEB698" w14:textId="77777777" w:rsidR="00B27A20" w:rsidRDefault="00B27A20" w:rsidP="00473E0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w:t>
      </w:r>
      <w:proofErr w:type="gramStart"/>
      <w:r w:rsidRPr="00CC13CD">
        <w:rPr>
          <w:rFonts w:ascii="Times New Roman" w:hAnsi="Times New Roman" w:cs="Times New Roman"/>
          <w:sz w:val="24"/>
        </w:rPr>
        <w:t>particular applicant(s)</w:t>
      </w:r>
      <w:proofErr w:type="gramEnd"/>
      <w:r w:rsidRPr="00CC13CD">
        <w:rPr>
          <w:rFonts w:ascii="Times New Roman" w:hAnsi="Times New Roman" w:cs="Times New Roman"/>
          <w:sz w:val="24"/>
        </w:rPr>
        <w:t xml:space="preserve">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lastRenderedPageBreak/>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 and</w:t>
      </w:r>
      <w:proofErr w:type="gramEnd"/>
      <w:r w:rsidR="002E5AD5">
        <w:rPr>
          <w:rFonts w:ascii="Times New Roman" w:eastAsia="Times New Roman" w:hAnsi="Times New Roman" w:cs="Times New Roman"/>
          <w:sz w:val="24"/>
          <w:szCs w:val="24"/>
        </w:rPr>
        <w:t xml:space="preserve">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lastRenderedPageBreak/>
        <w:t xml:space="preserve">DRL is committed to an anti-discrimination policy in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0E25EC71"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0"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AD5429" w:rsidRPr="00AD5429">
        <w:rPr>
          <w:rFonts w:ascii="Times New Roman" w:eastAsia="Times New Roman" w:hAnsi="Times New Roman" w:cs="Times New Roman"/>
          <w:sz w:val="24"/>
          <w:szCs w:val="24"/>
        </w:rPr>
        <w:t>DRL Advancing Democratic Culture in Armenia</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5C0F23" w:rsidRPr="005C0F23">
        <w:rPr>
          <w:rFonts w:ascii="Times New Roman" w:eastAsia="Times New Roman" w:hAnsi="Times New Roman" w:cs="Times New Roman"/>
          <w:sz w:val="24"/>
          <w:szCs w:val="24"/>
        </w:rPr>
        <w:t>SFOP0006408</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single-spaced, </w:t>
      </w:r>
      <w:proofErr w:type="gramStart"/>
      <w:r>
        <w:rPr>
          <w:rFonts w:ascii="Times New Roman" w:eastAsia="Times New Roman" w:hAnsi="Times New Roman" w:cs="Times New Roman"/>
          <w:sz w:val="24"/>
          <w:szCs w:val="24"/>
        </w:rPr>
        <w:t>12 point</w:t>
      </w:r>
      <w:proofErr w:type="gramEnd"/>
      <w:r>
        <w:rPr>
          <w:rFonts w:ascii="Times New Roman" w:eastAsia="Times New Roman" w:hAnsi="Times New Roman" w:cs="Times New Roman"/>
          <w:sz w:val="24"/>
          <w:szCs w:val="24"/>
        </w:rPr>
        <w:t xml:space="preserve">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 page</w:t>
      </w:r>
      <w:proofErr w:type="gramEnd"/>
      <w:r>
        <w:rPr>
          <w:rFonts w:ascii="Times New Roman" w:eastAsia="Times New Roman" w:hAnsi="Times New Roman" w:cs="Times New Roman"/>
          <w:sz w:val="24"/>
          <w:szCs w:val="24"/>
        </w:rPr>
        <w:t xml:space="preserv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lastRenderedPageBreak/>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1"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1"/>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2E6746F6" w:rsidR="00CF1A66" w:rsidRPr="00AD5429" w:rsidRDefault="00CF1A66" w:rsidP="00AD542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AD5429">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1E3F4979" w:rsidR="000B7387" w:rsidRPr="00AD5429" w:rsidRDefault="00B93BB4" w:rsidP="000B7387">
      <w:pPr>
        <w:pStyle w:val="NoSpacing"/>
        <w:numPr>
          <w:ilvl w:val="0"/>
          <w:numId w:val="17"/>
        </w:numPr>
        <w:rPr>
          <w:rFonts w:ascii="Times New Roman" w:eastAsia="Times New Roman" w:hAnsi="Times New Roman" w:cs="Times New Roman"/>
          <w:color w:val="252525"/>
          <w:sz w:val="24"/>
          <w:szCs w:val="24"/>
        </w:rPr>
      </w:pPr>
      <w:r>
        <w:rPr>
          <w:rFonts w:ascii="Times New Roman" w:eastAsia="Times New Roman" w:hAnsi="Times New Roman" w:cs="Times New Roman"/>
          <w:b/>
          <w:color w:val="252525"/>
          <w:sz w:val="24"/>
          <w:szCs w:val="24"/>
        </w:rPr>
        <w:t xml:space="preserve"> </w:t>
      </w:r>
      <w:r w:rsidR="000B7387" w:rsidRPr="002C5E91">
        <w:rPr>
          <w:rFonts w:ascii="Times New Roman" w:eastAsia="Times New Roman" w:hAnsi="Times New Roman" w:cs="Times New Roman"/>
          <w:b/>
          <w:color w:val="252525"/>
          <w:sz w:val="24"/>
          <w:szCs w:val="24"/>
        </w:rPr>
        <w:t>Gender Analysis</w:t>
      </w:r>
      <w:r w:rsidR="000B7387" w:rsidRPr="002C5E91">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w:t>
      </w:r>
      <w:r w:rsidR="000B7387" w:rsidRPr="002C5E91">
        <w:rPr>
          <w:rFonts w:ascii="Times New Roman" w:eastAsia="Times New Roman" w:hAnsi="Times New Roman" w:cs="Times New Roman"/>
          <w:color w:val="252525"/>
          <w:sz w:val="24"/>
          <w:szCs w:val="24"/>
        </w:rPr>
        <w:lastRenderedPageBreak/>
        <w:t xml:space="preserve">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w:t>
      </w:r>
      <w:r w:rsidR="000B7387" w:rsidRPr="00AD5429">
        <w:rPr>
          <w:rFonts w:ascii="Times New Roman" w:eastAsia="Times New Roman" w:hAnsi="Times New Roman" w:cs="Times New Roman"/>
          <w:color w:val="252525"/>
          <w:sz w:val="24"/>
          <w:szCs w:val="24"/>
        </w:rPr>
        <w:t xml:space="preserve">men in conflict, peacebuilding, and transitional processes.  A set of guiding questions can be found in Section </w:t>
      </w:r>
      <w:r w:rsidR="002D2CAA" w:rsidRPr="00AD5429">
        <w:rPr>
          <w:rFonts w:ascii="Times New Roman" w:eastAsia="Times New Roman" w:hAnsi="Times New Roman" w:cs="Times New Roman"/>
          <w:color w:val="252525"/>
          <w:sz w:val="24"/>
          <w:szCs w:val="24"/>
        </w:rPr>
        <w:t>L</w:t>
      </w:r>
      <w:r w:rsidR="000B7387" w:rsidRPr="00AD5429">
        <w:rPr>
          <w:rFonts w:ascii="Times New Roman" w:eastAsia="Times New Roman" w:hAnsi="Times New Roman" w:cs="Times New Roman"/>
          <w:color w:val="252525"/>
          <w:sz w:val="24"/>
          <w:szCs w:val="24"/>
        </w:rPr>
        <w:t xml:space="preserve"> of the PSI.</w:t>
      </w:r>
    </w:p>
    <w:p w14:paraId="7B5E326E" w14:textId="77777777" w:rsidR="006448FC" w:rsidRPr="00AD5429" w:rsidRDefault="006448FC" w:rsidP="006448FC">
      <w:pPr>
        <w:pStyle w:val="NoSpacing"/>
        <w:ind w:left="720"/>
        <w:rPr>
          <w:rFonts w:ascii="Times New Roman" w:eastAsia="Times New Roman" w:hAnsi="Times New Roman" w:cs="Times New Roman"/>
          <w:color w:val="252525"/>
          <w:sz w:val="24"/>
          <w:szCs w:val="24"/>
        </w:rPr>
      </w:pPr>
    </w:p>
    <w:p w14:paraId="67C1B047" w14:textId="2F3F6823" w:rsidR="006448FC" w:rsidRPr="00AD5429" w:rsidRDefault="00DF4C00" w:rsidP="006448FC">
      <w:pPr>
        <w:pStyle w:val="NoSpacing"/>
        <w:numPr>
          <w:ilvl w:val="0"/>
          <w:numId w:val="17"/>
        </w:numPr>
        <w:rPr>
          <w:rFonts w:ascii="Times New Roman" w:eastAsia="Times New Roman" w:hAnsi="Times New Roman" w:cs="Times New Roman"/>
          <w:color w:val="252525"/>
          <w:sz w:val="24"/>
          <w:szCs w:val="24"/>
        </w:rPr>
      </w:pPr>
      <w:r w:rsidRPr="00AD5429">
        <w:rPr>
          <w:rFonts w:ascii="Times New Roman" w:eastAsia="Times New Roman" w:hAnsi="Times New Roman" w:cs="Times New Roman"/>
          <w:b/>
          <w:sz w:val="24"/>
          <w:szCs w:val="24"/>
        </w:rPr>
        <w:t>Security Plan</w:t>
      </w:r>
      <w:r w:rsidR="00ED47F2" w:rsidRPr="00AD5429">
        <w:rPr>
          <w:rFonts w:ascii="Times New Roman" w:eastAsia="Times New Roman" w:hAnsi="Times New Roman" w:cs="Times New Roman"/>
          <w:b/>
          <w:sz w:val="24"/>
          <w:szCs w:val="24"/>
        </w:rPr>
        <w:t xml:space="preserve"> </w:t>
      </w:r>
      <w:r w:rsidR="006448FC" w:rsidRPr="00AD5429">
        <w:rPr>
          <w:rFonts w:ascii="Times New Roman" w:eastAsia="Times New Roman" w:hAnsi="Times New Roman" w:cs="Times New Roman"/>
          <w:sz w:val="24"/>
          <w:szCs w:val="24"/>
        </w:rPr>
        <w:t xml:space="preserve">addressing any issues involving in-person events and recruitment for said events, </w:t>
      </w:r>
      <w:r w:rsidR="000B5C07" w:rsidRPr="00AD5429">
        <w:rPr>
          <w:rFonts w:ascii="Times New Roman" w:eastAsia="Times New Roman" w:hAnsi="Times New Roman" w:cs="Times New Roman"/>
          <w:sz w:val="24"/>
          <w:szCs w:val="24"/>
        </w:rPr>
        <w:t xml:space="preserve">and </w:t>
      </w:r>
      <w:r w:rsidR="006448FC" w:rsidRPr="00AD5429">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AD5429">
        <w:rPr>
          <w:rFonts w:ascii="Times New Roman" w:eastAsia="Times New Roman" w:hAnsi="Times New Roman" w:cs="Times New Roman"/>
          <w:color w:val="auto"/>
          <w:sz w:val="24"/>
          <w:szCs w:val="24"/>
        </w:rPr>
        <w:t xml:space="preserve">.  </w:t>
      </w:r>
      <w:r w:rsidR="00C92E25" w:rsidRPr="00AD5429">
        <w:rPr>
          <w:rFonts w:ascii="Times New Roman" w:eastAsia="Times New Roman" w:hAnsi="Times New Roman" w:cs="Times New Roman"/>
          <w:color w:val="auto"/>
          <w:sz w:val="24"/>
          <w:szCs w:val="24"/>
        </w:rPr>
        <w:t>Organization’s</w:t>
      </w:r>
      <w:r w:rsidR="00D47D44" w:rsidRPr="00AD5429">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AD5429">
        <w:rPr>
          <w:rFonts w:ascii="Times New Roman" w:eastAsia="Times New Roman" w:hAnsi="Times New Roman" w:cs="Times New Roman"/>
          <w:color w:val="auto"/>
          <w:sz w:val="24"/>
          <w:szCs w:val="24"/>
        </w:rPr>
        <w:t xml:space="preserve">.  Costs may also be identified within the budget and budget </w:t>
      </w:r>
      <w:r w:rsidR="00D47D44" w:rsidRPr="00AD5429">
        <w:rPr>
          <w:rFonts w:ascii="Times New Roman" w:eastAsia="Times New Roman" w:hAnsi="Times New Roman" w:cs="Times New Roman"/>
          <w:color w:val="auto"/>
          <w:sz w:val="24"/>
          <w:szCs w:val="24"/>
        </w:rPr>
        <w:t>narrative</w:t>
      </w:r>
      <w:r w:rsidR="00C92E25" w:rsidRPr="00AD5429">
        <w:rPr>
          <w:rFonts w:ascii="Times New Roman" w:eastAsia="Times New Roman" w:hAnsi="Times New Roman" w:cs="Times New Roman"/>
          <w:color w:val="auto"/>
          <w:sz w:val="24"/>
          <w:szCs w:val="24"/>
        </w:rPr>
        <w:t xml:space="preserve">.  </w:t>
      </w:r>
      <w:r w:rsidR="000B5C07" w:rsidRPr="00AD5429">
        <w:rPr>
          <w:rFonts w:ascii="Times New Roman" w:eastAsia="Times New Roman" w:hAnsi="Times New Roman" w:cs="Times New Roman"/>
          <w:sz w:val="24"/>
          <w:szCs w:val="24"/>
        </w:rPr>
        <w:t>Applicants</w:t>
      </w:r>
      <w:r w:rsidR="006448FC" w:rsidRPr="00AD5429">
        <w:rPr>
          <w:rFonts w:ascii="Times New Roman" w:eastAsia="Times New Roman" w:hAnsi="Times New Roman" w:cs="Times New Roman"/>
          <w:sz w:val="24"/>
          <w:szCs w:val="24"/>
        </w:rPr>
        <w:t xml:space="preserve"> are </w:t>
      </w:r>
      <w:r w:rsidR="000B5C07" w:rsidRPr="00AD5429">
        <w:rPr>
          <w:rFonts w:ascii="Times New Roman" w:eastAsia="Times New Roman" w:hAnsi="Times New Roman" w:cs="Times New Roman"/>
          <w:sz w:val="24"/>
          <w:szCs w:val="24"/>
        </w:rPr>
        <w:t xml:space="preserve">also </w:t>
      </w:r>
      <w:r w:rsidR="006448FC" w:rsidRPr="00AD5429">
        <w:rPr>
          <w:rFonts w:ascii="Times New Roman" w:eastAsia="Times New Roman" w:hAnsi="Times New Roman" w:cs="Times New Roman"/>
          <w:sz w:val="24"/>
          <w:szCs w:val="24"/>
        </w:rPr>
        <w:t>encouraged to include contingency plans for in-person or online activities.</w:t>
      </w:r>
    </w:p>
    <w:p w14:paraId="0C9479A0" w14:textId="77777777" w:rsidR="006448FC" w:rsidRPr="00AD5429" w:rsidRDefault="006448FC" w:rsidP="006448FC">
      <w:pPr>
        <w:pStyle w:val="ListParagraph"/>
        <w:spacing w:line="240" w:lineRule="auto"/>
        <w:rPr>
          <w:rFonts w:ascii="Times New Roman" w:eastAsia="Times New Roman" w:hAnsi="Times New Roman" w:cs="Times New Roman"/>
          <w:color w:val="252525"/>
          <w:sz w:val="24"/>
          <w:szCs w:val="24"/>
        </w:rPr>
      </w:pPr>
    </w:p>
    <w:p w14:paraId="370A9CD5" w14:textId="43629330" w:rsidR="006448FC" w:rsidRPr="00AD5429"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AD5429">
        <w:rPr>
          <w:rFonts w:ascii="Times New Roman" w:hAnsi="Times New Roman" w:cs="Times New Roman"/>
          <w:b/>
          <w:sz w:val="24"/>
          <w:szCs w:val="24"/>
        </w:rPr>
        <w:t>Contingency Plan</w:t>
      </w:r>
      <w:r w:rsidRPr="00AD5429">
        <w:rPr>
          <w:rFonts w:ascii="Times New Roman" w:eastAsia="Times New Roman" w:hAnsi="Times New Roman" w:cs="Times New Roman"/>
          <w:sz w:val="24"/>
          <w:szCs w:val="24"/>
        </w:rPr>
        <w:t xml:space="preserve"> </w:t>
      </w:r>
      <w:r w:rsidR="000B5C07" w:rsidRPr="00AD5429">
        <w:rPr>
          <w:rFonts w:ascii="Times New Roman" w:eastAsia="Times New Roman" w:hAnsi="Times New Roman" w:cs="Times New Roman"/>
          <w:sz w:val="24"/>
          <w:szCs w:val="24"/>
        </w:rPr>
        <w:t>f</w:t>
      </w:r>
      <w:r w:rsidRPr="00AD5429">
        <w:rPr>
          <w:rFonts w:ascii="Times New Roman" w:hAnsi="Times New Roman" w:cs="Times New Roman"/>
          <w:sz w:val="24"/>
          <w:szCs w:val="24"/>
        </w:rPr>
        <w:t xml:space="preserve">or proposed activities should the originally planned activities not be able to be implemented. </w:t>
      </w:r>
      <w:r w:rsidR="000B5C07" w:rsidRPr="00AD5429">
        <w:rPr>
          <w:rFonts w:ascii="Times New Roman" w:hAnsi="Times New Roman" w:cs="Times New Roman"/>
          <w:sz w:val="24"/>
          <w:szCs w:val="24"/>
        </w:rPr>
        <w:t xml:space="preserve"> </w:t>
      </w:r>
      <w:r w:rsidR="000B5C07" w:rsidRPr="00AD5429">
        <w:rPr>
          <w:rFonts w:ascii="Times New Roman" w:hAnsi="Times New Roman" w:cs="Times New Roman"/>
          <w:color w:val="auto"/>
          <w:sz w:val="24"/>
          <w:szCs w:val="24"/>
        </w:rPr>
        <w:t xml:space="preserve">The contingency plan should be submitted </w:t>
      </w:r>
      <w:r w:rsidRPr="00AD5429">
        <w:rPr>
          <w:rFonts w:ascii="Times New Roman" w:hAnsi="Times New Roman" w:cs="Times New Roman"/>
          <w:color w:val="auto"/>
          <w:sz w:val="24"/>
          <w:szCs w:val="24"/>
        </w:rPr>
        <w:t>as an additional annex.</w:t>
      </w:r>
      <w:r w:rsidR="004F69EC" w:rsidRPr="00AD5429">
        <w:rPr>
          <w:rFonts w:ascii="Times New Roman" w:hAnsi="Times New Roman" w:cs="Times New Roman"/>
          <w:color w:val="auto"/>
          <w:sz w:val="24"/>
          <w:szCs w:val="24"/>
        </w:rPr>
        <w:t xml:space="preserve"> </w:t>
      </w:r>
      <w:r w:rsidR="003E3968" w:rsidRPr="00AD5429">
        <w:rPr>
          <w:rFonts w:ascii="Times New Roman" w:hAnsi="Times New Roman" w:cs="Times New Roman"/>
          <w:color w:val="auto"/>
          <w:sz w:val="24"/>
          <w:szCs w:val="24"/>
        </w:rPr>
        <w:t xml:space="preserve"> </w:t>
      </w:r>
      <w:r w:rsidR="003E3968" w:rsidRPr="00AD5429">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AD5429">
        <w:rPr>
          <w:rFonts w:ascii="Times New Roman" w:eastAsia="Times New Roman" w:hAnsi="Times New Roman" w:cs="Times New Roman"/>
          <w:color w:val="auto"/>
          <w:sz w:val="24"/>
          <w:szCs w:val="24"/>
        </w:rPr>
        <w:t>Any proposed “plan” must comply with 2CFR200.433 – Contingency provisions.</w:t>
      </w:r>
      <w:r w:rsidR="00577658" w:rsidRPr="00AD5429">
        <w:rPr>
          <w:rFonts w:ascii="Times New Roman" w:eastAsia="Times New Roman" w:hAnsi="Times New Roman" w:cs="Times New Roman"/>
          <w:color w:val="auto"/>
          <w:sz w:val="24"/>
          <w:szCs w:val="24"/>
        </w:rPr>
        <w:t xml:space="preserve"> </w:t>
      </w:r>
      <w:r w:rsidR="00612DEB" w:rsidRPr="00AD5429">
        <w:rPr>
          <w:rFonts w:ascii="Times New Roman" w:eastAsia="Times New Roman" w:hAnsi="Times New Roman" w:cs="Times New Roman"/>
          <w:color w:val="auto"/>
          <w:sz w:val="24"/>
          <w:szCs w:val="24"/>
        </w:rPr>
        <w:t xml:space="preserve"> Plans must not include </w:t>
      </w:r>
      <w:proofErr w:type="spellStart"/>
      <w:r w:rsidR="00612DEB" w:rsidRPr="00AD5429">
        <w:rPr>
          <w:rFonts w:ascii="Times New Roman" w:eastAsia="Times New Roman" w:hAnsi="Times New Roman" w:cs="Times New Roman"/>
          <w:color w:val="auto"/>
          <w:sz w:val="24"/>
          <w:szCs w:val="24"/>
        </w:rPr>
        <w:t>unallocable</w:t>
      </w:r>
      <w:proofErr w:type="spellEnd"/>
      <w:r w:rsidR="00612DEB" w:rsidRPr="00AD5429">
        <w:rPr>
          <w:rFonts w:ascii="Times New Roman" w:eastAsia="Times New Roman" w:hAnsi="Times New Roman" w:cs="Times New Roman"/>
          <w:color w:val="auto"/>
          <w:sz w:val="24"/>
          <w:szCs w:val="24"/>
        </w:rPr>
        <w:t xml:space="preserve"> or unallowable </w:t>
      </w:r>
      <w:proofErr w:type="gramStart"/>
      <w:r w:rsidR="00612DEB" w:rsidRPr="00AD5429">
        <w:rPr>
          <w:rFonts w:ascii="Times New Roman" w:eastAsia="Times New Roman" w:hAnsi="Times New Roman" w:cs="Times New Roman"/>
          <w:color w:val="auto"/>
          <w:sz w:val="24"/>
          <w:szCs w:val="24"/>
        </w:rPr>
        <w:t>expenses, and</w:t>
      </w:r>
      <w:proofErr w:type="gramEnd"/>
      <w:r w:rsidR="00612DEB" w:rsidRPr="00AD5429">
        <w:rPr>
          <w:rFonts w:ascii="Times New Roman" w:eastAsia="Times New Roman" w:hAnsi="Times New Roman" w:cs="Times New Roman"/>
          <w:color w:val="auto"/>
          <w:sz w:val="24"/>
          <w:szCs w:val="24"/>
        </w:rPr>
        <w:t xml:space="preserve"> must not result in a larger Total Award Value than the identified as the “competition ceiling</w:t>
      </w:r>
      <w:r w:rsidR="00787314" w:rsidRPr="00AD5429">
        <w:rPr>
          <w:rFonts w:ascii="Times New Roman" w:eastAsia="Times New Roman" w:hAnsi="Times New Roman" w:cs="Times New Roman"/>
          <w:color w:val="auto"/>
          <w:sz w:val="24"/>
          <w:szCs w:val="24"/>
        </w:rPr>
        <w:t>.”</w:t>
      </w:r>
      <w:r w:rsidR="00612DEB" w:rsidRPr="00AD5429">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AD5429">
        <w:rPr>
          <w:rFonts w:ascii="Times New Roman" w:eastAsia="Times New Roman" w:hAnsi="Times New Roman" w:cs="Times New Roman"/>
          <w:color w:val="auto"/>
          <w:sz w:val="24"/>
          <w:szCs w:val="24"/>
        </w:rPr>
        <w:t>.”</w:t>
      </w:r>
    </w:p>
    <w:p w14:paraId="2D2F6994" w14:textId="77777777" w:rsidR="006448FC" w:rsidRPr="00AD5429" w:rsidRDefault="006448FC" w:rsidP="00612DEB">
      <w:pPr>
        <w:pStyle w:val="ListParagraph"/>
        <w:spacing w:line="240" w:lineRule="auto"/>
        <w:ind w:left="1440"/>
        <w:rPr>
          <w:rFonts w:ascii="Times New Roman" w:eastAsia="Times New Roman" w:hAnsi="Times New Roman" w:cs="Times New Roman"/>
          <w:sz w:val="24"/>
          <w:szCs w:val="24"/>
        </w:rPr>
      </w:pPr>
    </w:p>
    <w:p w14:paraId="0EF21036" w14:textId="7D24014E" w:rsidR="006448FC" w:rsidRPr="00AD5429" w:rsidRDefault="00F52971" w:rsidP="00AD5429">
      <w:pPr>
        <w:pStyle w:val="ListParagraph"/>
        <w:numPr>
          <w:ilvl w:val="0"/>
          <w:numId w:val="17"/>
        </w:numPr>
        <w:spacing w:after="0" w:line="240" w:lineRule="auto"/>
        <w:rPr>
          <w:rFonts w:ascii="Times New Roman" w:eastAsia="Times New Roman" w:hAnsi="Times New Roman" w:cs="Times New Roman"/>
          <w:color w:val="auto"/>
          <w:sz w:val="24"/>
          <w:szCs w:val="24"/>
        </w:rPr>
      </w:pPr>
      <w:r w:rsidRPr="00AD5429">
        <w:rPr>
          <w:rFonts w:ascii="Times New Roman" w:hAnsi="Times New Roman" w:cs="Times New Roman"/>
          <w:b/>
          <w:sz w:val="24"/>
          <w:szCs w:val="24"/>
        </w:rPr>
        <w:t>Lessons L</w:t>
      </w:r>
      <w:r w:rsidR="006448FC" w:rsidRPr="00AD5429">
        <w:rPr>
          <w:rFonts w:ascii="Times New Roman" w:hAnsi="Times New Roman" w:cs="Times New Roman"/>
          <w:b/>
          <w:sz w:val="24"/>
          <w:szCs w:val="24"/>
        </w:rPr>
        <w:t>earned</w:t>
      </w:r>
      <w:r w:rsidRPr="00AD5429">
        <w:rPr>
          <w:rFonts w:ascii="Times New Roman" w:hAnsi="Times New Roman" w:cs="Times New Roman"/>
          <w:b/>
          <w:sz w:val="24"/>
          <w:szCs w:val="24"/>
        </w:rPr>
        <w:t xml:space="preserve"> </w:t>
      </w:r>
      <w:r w:rsidRPr="00AD5429">
        <w:rPr>
          <w:rFonts w:ascii="Times New Roman" w:eastAsia="Times New Roman" w:hAnsi="Times New Roman" w:cs="Times New Roman"/>
          <w:sz w:val="24"/>
          <w:szCs w:val="24"/>
        </w:rPr>
        <w:t xml:space="preserve">(not to exceed one </w:t>
      </w:r>
      <w:r w:rsidR="00787314" w:rsidRPr="00AD5429">
        <w:rPr>
          <w:rFonts w:ascii="Times New Roman" w:eastAsia="Times New Roman" w:hAnsi="Times New Roman" w:cs="Times New Roman"/>
          <w:sz w:val="24"/>
          <w:szCs w:val="24"/>
        </w:rPr>
        <w:t>(</w:t>
      </w:r>
      <w:r w:rsidRPr="00AD5429">
        <w:rPr>
          <w:rFonts w:ascii="Times New Roman" w:eastAsia="Times New Roman" w:hAnsi="Times New Roman" w:cs="Times New Roman"/>
          <w:sz w:val="24"/>
          <w:szCs w:val="24"/>
        </w:rPr>
        <w:t>1</w:t>
      </w:r>
      <w:r w:rsidR="00787314" w:rsidRPr="00AD5429">
        <w:rPr>
          <w:rFonts w:ascii="Times New Roman" w:eastAsia="Times New Roman" w:hAnsi="Times New Roman" w:cs="Times New Roman"/>
          <w:sz w:val="24"/>
          <w:szCs w:val="24"/>
        </w:rPr>
        <w:t>)</w:t>
      </w:r>
      <w:r w:rsidRPr="00AD5429">
        <w:rPr>
          <w:rFonts w:ascii="Times New Roman" w:eastAsia="Times New Roman" w:hAnsi="Times New Roman" w:cs="Times New Roman"/>
          <w:sz w:val="24"/>
          <w:szCs w:val="24"/>
        </w:rPr>
        <w:t xml:space="preserve"> page, preferably as a Word Document)</w:t>
      </w:r>
      <w:r w:rsidR="006448FC" w:rsidRPr="00AD5429">
        <w:rPr>
          <w:rFonts w:ascii="Times New Roman" w:hAnsi="Times New Roman" w:cs="Times New Roman"/>
          <w:sz w:val="24"/>
          <w:szCs w:val="24"/>
        </w:rPr>
        <w:t xml:space="preserve"> from past programs</w:t>
      </w:r>
      <w:r w:rsidR="000A592E" w:rsidRPr="00AD5429">
        <w:rPr>
          <w:rFonts w:ascii="Times New Roman" w:hAnsi="Times New Roman" w:cs="Times New Roman"/>
          <w:sz w:val="24"/>
          <w:szCs w:val="24"/>
        </w:rPr>
        <w:t xml:space="preserve"> (insert country or theme)</w:t>
      </w:r>
      <w:r w:rsidR="006448FC" w:rsidRPr="00AD5429">
        <w:rPr>
          <w:rFonts w:ascii="Times New Roman" w:hAnsi="Times New Roman" w:cs="Times New Roman"/>
          <w:sz w:val="24"/>
          <w:szCs w:val="24"/>
        </w:rPr>
        <w:t xml:space="preserve"> that demonstrate how the implementer has safely operated and responded to</w:t>
      </w:r>
      <w:r w:rsidR="00DB00C4" w:rsidRPr="00AD5429">
        <w:rPr>
          <w:rFonts w:ascii="Times New Roman" w:hAnsi="Times New Roman" w:cs="Times New Roman"/>
          <w:sz w:val="24"/>
          <w:szCs w:val="24"/>
        </w:rPr>
        <w:t xml:space="preserve"> programmatic</w:t>
      </w:r>
      <w:r w:rsidR="006448FC" w:rsidRPr="00AD5429">
        <w:rPr>
          <w:rFonts w:ascii="Times New Roman" w:hAnsi="Times New Roman" w:cs="Times New Roman"/>
          <w:sz w:val="24"/>
          <w:szCs w:val="24"/>
        </w:rPr>
        <w:t xml:space="preserve"> challenges, learning from both successes and failures, in the operating environment.  </w:t>
      </w:r>
      <w:r w:rsidR="006448FC" w:rsidRPr="00AD5429">
        <w:rPr>
          <w:rFonts w:ascii="Times New Roman" w:hAnsi="Times New Roman" w:cs="Times New Roman"/>
          <w:color w:val="auto"/>
          <w:sz w:val="24"/>
          <w:szCs w:val="24"/>
        </w:rPr>
        <w:t xml:space="preserve">To be incorporated into the </w:t>
      </w:r>
      <w:r w:rsidR="000B5C07" w:rsidRPr="00AD5429">
        <w:rPr>
          <w:rFonts w:ascii="Times New Roman" w:hAnsi="Times New Roman" w:cs="Times New Roman"/>
          <w:color w:val="auto"/>
          <w:sz w:val="24"/>
          <w:szCs w:val="24"/>
        </w:rPr>
        <w:t xml:space="preserve">ten </w:t>
      </w:r>
      <w:r w:rsidR="00787314" w:rsidRPr="00AD5429">
        <w:rPr>
          <w:rFonts w:ascii="Times New Roman" w:hAnsi="Times New Roman" w:cs="Times New Roman"/>
          <w:color w:val="auto"/>
          <w:sz w:val="24"/>
          <w:szCs w:val="24"/>
        </w:rPr>
        <w:t>(</w:t>
      </w:r>
      <w:r w:rsidR="006448FC" w:rsidRPr="00AD5429">
        <w:rPr>
          <w:rFonts w:ascii="Times New Roman" w:hAnsi="Times New Roman" w:cs="Times New Roman"/>
          <w:color w:val="auto"/>
          <w:sz w:val="24"/>
          <w:szCs w:val="24"/>
        </w:rPr>
        <w:t>10</w:t>
      </w:r>
      <w:r w:rsidR="00787314" w:rsidRPr="00AD5429">
        <w:rPr>
          <w:rFonts w:ascii="Times New Roman" w:hAnsi="Times New Roman" w:cs="Times New Roman"/>
          <w:color w:val="auto"/>
          <w:sz w:val="24"/>
          <w:szCs w:val="24"/>
        </w:rPr>
        <w:t xml:space="preserve">) </w:t>
      </w:r>
      <w:r w:rsidR="006448FC" w:rsidRPr="00AD5429">
        <w:rPr>
          <w:rFonts w:ascii="Times New Roman" w:hAnsi="Times New Roman" w:cs="Times New Roman"/>
          <w:color w:val="auto"/>
          <w:sz w:val="24"/>
          <w:szCs w:val="24"/>
        </w:rPr>
        <w:t>pages allowed for “Proposal Narrative</w:t>
      </w:r>
      <w:r w:rsidR="000B5C07" w:rsidRPr="00AD5429">
        <w:rPr>
          <w:rFonts w:ascii="Times New Roman" w:hAnsi="Times New Roman" w:cs="Times New Roman"/>
          <w:color w:val="auto"/>
          <w:sz w:val="24"/>
          <w:szCs w:val="24"/>
        </w:rPr>
        <w:t>.”</w:t>
      </w:r>
      <w:r w:rsidR="006448FC" w:rsidRPr="00AD5429">
        <w:rPr>
          <w:rFonts w:ascii="Times New Roman" w:hAnsi="Times New Roman" w:cs="Times New Roman"/>
          <w:color w:val="auto"/>
          <w:sz w:val="24"/>
          <w:szCs w:val="24"/>
        </w:rPr>
        <w:t xml:space="preserve"> </w:t>
      </w:r>
      <w:r w:rsidR="000B5C07" w:rsidRPr="00AD5429">
        <w:rPr>
          <w:rFonts w:ascii="Times New Roman" w:hAnsi="Times New Roman" w:cs="Times New Roman"/>
          <w:color w:val="auto"/>
          <w:sz w:val="24"/>
          <w:szCs w:val="24"/>
        </w:rPr>
        <w:t xml:space="preserve"> </w:t>
      </w:r>
    </w:p>
    <w:p w14:paraId="31ED938A" w14:textId="77777777" w:rsidR="00AD5429" w:rsidRPr="00AD5429" w:rsidRDefault="00AD5429" w:rsidP="00AD5429">
      <w:pPr>
        <w:spacing w:after="0" w:line="240" w:lineRule="auto"/>
        <w:ind w:left="1080"/>
        <w:rPr>
          <w:rFonts w:ascii="Times New Roman" w:eastAsia="Times New Roman" w:hAnsi="Times New Roman" w:cs="Times New Roman"/>
          <w:sz w:val="24"/>
          <w:szCs w:val="24"/>
          <w:highlight w:val="yellow"/>
        </w:rPr>
      </w:pPr>
    </w:p>
    <w:p w14:paraId="65D2DAE4" w14:textId="77777777" w:rsidR="00C91895" w:rsidRPr="00C91895" w:rsidRDefault="00C91895" w:rsidP="00AD5429">
      <w:pPr>
        <w:spacing w:after="0" w:line="240" w:lineRule="auto"/>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rsidP="00AD542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1"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w:t>
      </w:r>
      <w:r w:rsidRPr="004B7857">
        <w:rPr>
          <w:rFonts w:ascii="Times New Roman" w:eastAsia="Times New Roman" w:hAnsi="Times New Roman" w:cs="Times New Roman"/>
          <w:b/>
          <w:i/>
          <w:sz w:val="24"/>
          <w:szCs w:val="24"/>
        </w:rPr>
        <w:lastRenderedPageBreak/>
        <w:t>Resources page on DRL’s website:</w:t>
      </w:r>
      <w:r w:rsidR="004B7857" w:rsidRPr="003A3E08">
        <w:rPr>
          <w:rFonts w:ascii="Times New Roman" w:hAnsi="Times New Roman" w:cs="Times New Roman"/>
          <w:b/>
          <w:i/>
          <w:sz w:val="24"/>
          <w:szCs w:val="24"/>
        </w:rPr>
        <w:t xml:space="preserve">  </w:t>
      </w:r>
      <w:hyperlink r:id="rId12"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proofErr w:type="gramStart"/>
      <w:r w:rsidR="0090239E">
        <w:rPr>
          <w:rFonts w:ascii="Times New Roman" w:eastAsia="Times New Roman" w:hAnsi="Times New Roman" w:cs="Times New Roman"/>
          <w:b/>
          <w:i/>
          <w:sz w:val="24"/>
          <w:szCs w:val="24"/>
        </w:rPr>
        <w:t>For</w:t>
      </w:r>
      <w:proofErr w:type="gramEnd"/>
      <w:r w:rsidR="0090239E">
        <w:rPr>
          <w:rFonts w:ascii="Times New Roman" w:eastAsia="Times New Roman" w:hAnsi="Times New Roman" w:cs="Times New Roman"/>
          <w:b/>
          <w:i/>
          <w:sz w:val="24"/>
          <w:szCs w:val="24"/>
        </w:rPr>
        <w:t xml:space="preserve">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7B2C89">
        <w:rPr>
          <w:rFonts w:ascii="Times New Roman" w:eastAsia="Times New Roman" w:hAnsi="Times New Roman" w:cs="Times New Roman"/>
          <w:sz w:val="24"/>
          <w:szCs w:val="24"/>
        </w:rPr>
        <w:t>;</w:t>
      </w:r>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 xml:space="preserve">before </w:t>
      </w:r>
      <w:proofErr w:type="gramStart"/>
      <w:r w:rsidRPr="00B54475">
        <w:rPr>
          <w:rFonts w:ascii="Times New Roman" w:eastAsia="Times New Roman" w:hAnsi="Times New Roman" w:cs="Times New Roman"/>
          <w:b/>
          <w:color w:val="auto"/>
          <w:sz w:val="24"/>
          <w:szCs w:val="24"/>
        </w:rPr>
        <w:t>submitting an application</w:t>
      </w:r>
      <w:proofErr w:type="gramEnd"/>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lastRenderedPageBreak/>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 xml:space="preserve">organizations </w:t>
      </w:r>
      <w:proofErr w:type="gramStart"/>
      <w:r>
        <w:rPr>
          <w:rFonts w:ascii="Times New Roman" w:eastAsia="Times New Roman" w:hAnsi="Times New Roman" w:cs="Times New Roman"/>
          <w:sz w:val="24"/>
          <w:szCs w:val="24"/>
        </w:rPr>
        <w:t>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w:t>
      </w:r>
      <w:proofErr w:type="gramEnd"/>
      <w:r>
        <w:rPr>
          <w:rFonts w:ascii="Times New Roman" w:eastAsia="Times New Roman" w:hAnsi="Times New Roman" w:cs="Times New Roman"/>
          <w:sz w:val="24"/>
          <w:szCs w:val="24"/>
        </w:rPr>
        <w:t xml:space="preserve">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3"/>
      <w:r w:rsidR="005E2A6F">
        <w:rPr>
          <w:rFonts w:ascii="Times New Roman" w:eastAsia="Times New Roman" w:hAnsi="Times New Roman" w:cs="Times New Roman"/>
          <w:color w:val="252525"/>
          <w:sz w:val="24"/>
          <w:szCs w:val="24"/>
        </w:rPr>
        <w:t xml:space="preserve">  </w:t>
      </w:r>
      <w:hyperlink r:id="rId14"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4553C0B5" w14:textId="77777777" w:rsidR="001002FC" w:rsidRPr="00E870FE" w:rsidRDefault="001002FC" w:rsidP="001002FC">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w:t>
      </w:r>
      <w:r w:rsidRPr="00E870FE">
        <w:rPr>
          <w:rFonts w:ascii="Times New Roman" w:eastAsia="Times New Roman" w:hAnsi="Times New Roman" w:cs="Times New Roman"/>
          <w:i/>
          <w:sz w:val="24"/>
          <w:szCs w:val="24"/>
        </w:rPr>
        <w:lastRenderedPageBreak/>
        <w:t xml:space="preserve">request to the applicable National Codification Bureau (NCB) if your organization </w:t>
      </w:r>
      <w:proofErr w:type="gramStart"/>
      <w:r w:rsidRPr="00E870FE">
        <w:rPr>
          <w:rFonts w:ascii="Times New Roman" w:eastAsia="Times New Roman" w:hAnsi="Times New Roman" w:cs="Times New Roman"/>
          <w:i/>
          <w:sz w:val="24"/>
          <w:szCs w:val="24"/>
        </w:rPr>
        <w:t>is located in</w:t>
      </w:r>
      <w:proofErr w:type="gramEnd"/>
      <w:r w:rsidRPr="00E870FE">
        <w:rPr>
          <w:rFonts w:ascii="Times New Roman" w:eastAsia="Times New Roman" w:hAnsi="Times New Roman" w:cs="Times New Roman"/>
          <w:i/>
          <w:sz w:val="24"/>
          <w:szCs w:val="24"/>
        </w:rPr>
        <w:t xml:space="preserve"> a NATO or Tier 2 Sponsored Non-NATO Nation.  As of October 2019, NATO nations included Albania, Belgium, Bulgaria, Canada, Croatia, Czech Republic, Denmark, Estonia, France, Germany, Greece, Hungary, Iceland, Italy, Latvia, Lithuania, Luxembourg, Montenegro, Netherlands, Norway, Poland, Portugal, Romania, Slovakia, Slovenia, Spain, Turkey, United Kingdom, and the United States of America.  As of October 2019, Tier 2 nations included Argentina, Australia, Austria, Brazil, Colombia, Finland, India, Indonesia, Israel, Republic of Korea, Malaysia, Morocco, New Zealand, Serbia, Singapore, Sweden, United Arab Emirates, and Ukraine.  </w:t>
      </w:r>
    </w:p>
    <w:p w14:paraId="3914B59F" w14:textId="77777777" w:rsidR="001002FC" w:rsidRPr="00E870FE" w:rsidRDefault="001002FC" w:rsidP="001002FC">
      <w:pPr>
        <w:pStyle w:val="NoSpacing"/>
        <w:rPr>
          <w:rFonts w:ascii="Times New Roman" w:hAnsi="Times New Roman" w:cs="Times New Roman"/>
          <w:i/>
          <w:sz w:val="24"/>
          <w:szCs w:val="24"/>
        </w:rPr>
      </w:pPr>
    </w:p>
    <w:p w14:paraId="6A8874BE" w14:textId="77777777" w:rsidR="001002FC" w:rsidRDefault="001002FC" w:rsidP="001002FC">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North Macedonia, Oman, Peru, Qatar, Saudi Arabia, South Africa, and Thailand.  </w:t>
      </w:r>
      <w:r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E870FE">
        <w:rPr>
          <w:rFonts w:ascii="Times New Roman" w:eastAsia="Times New Roman" w:hAnsi="Times New Roman" w:cs="Times New Roman"/>
          <w:b/>
          <w:i/>
          <w:sz w:val="24"/>
          <w:szCs w:val="24"/>
        </w:rPr>
        <w:t>.</w:t>
      </w:r>
      <w:bookmarkStart w:id="2" w:name="h.j3cqnkumzr3g" w:colFirst="0" w:colLast="0"/>
      <w:bookmarkEnd w:id="2"/>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0FE4135F"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9700CC">
        <w:rPr>
          <w:rFonts w:ascii="Times New Roman" w:eastAsia="Times New Roman" w:hAnsi="Times New Roman" w:cs="Times New Roman"/>
          <w:b/>
          <w:sz w:val="24"/>
          <w:szCs w:val="24"/>
        </w:rPr>
        <w:t>Friday, March 13</w:t>
      </w:r>
      <w:r w:rsidRPr="003A3E08">
        <w:rPr>
          <w:rFonts w:ascii="Times New Roman" w:eastAsia="Times New Roman" w:hAnsi="Times New Roman" w:cs="Times New Roman"/>
          <w:b/>
          <w:sz w:val="24"/>
          <w:szCs w:val="24"/>
        </w:rPr>
        <w:t xml:space="preserve">, </w:t>
      </w:r>
      <w:r w:rsidRPr="002E067F">
        <w:rPr>
          <w:rFonts w:ascii="Times New Roman" w:eastAsia="Times New Roman" w:hAnsi="Times New Roman" w:cs="Times New Roman"/>
          <w:b/>
          <w:sz w:val="24"/>
          <w:szCs w:val="24"/>
        </w:rPr>
        <w:t>20</w:t>
      </w:r>
      <w:r w:rsidR="002E067F">
        <w:rPr>
          <w:rFonts w:ascii="Times New Roman" w:eastAsia="Times New Roman" w:hAnsi="Times New Roman" w:cs="Times New Roman"/>
          <w:b/>
          <w:sz w:val="24"/>
          <w:szCs w:val="24"/>
        </w:rPr>
        <w:t>20</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5"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6"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7"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AD5429" w:rsidRPr="00AD5429">
        <w:rPr>
          <w:rFonts w:ascii="Times New Roman" w:eastAsia="Times New Roman" w:hAnsi="Times New Roman" w:cs="Times New Roman"/>
          <w:b/>
          <w:sz w:val="24"/>
          <w:szCs w:val="24"/>
        </w:rPr>
        <w:t>DRL Advancing Democratic Culture in Armenia</w:t>
      </w:r>
      <w:r w:rsidR="0004508F" w:rsidRPr="0004508F">
        <w:rPr>
          <w:rFonts w:ascii="Times New Roman" w:eastAsia="Times New Roman" w:hAnsi="Times New Roman" w:cs="Times New Roman"/>
          <w:b/>
          <w:sz w:val="24"/>
          <w:szCs w:val="24"/>
        </w:rPr>
        <w:t>,” funding opportunity number “</w:t>
      </w:r>
      <w:r w:rsidR="005C0F23" w:rsidRPr="005C0F23">
        <w:rPr>
          <w:rFonts w:ascii="Times New Roman" w:eastAsia="Times New Roman" w:hAnsi="Times New Roman" w:cs="Times New Roman"/>
          <w:b/>
          <w:sz w:val="24"/>
          <w:szCs w:val="24"/>
        </w:rPr>
        <w:t>SFOP0006408</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1A6E33A3"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9"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w:t>
      </w:r>
      <w:proofErr w:type="gramStart"/>
      <w:r>
        <w:rPr>
          <w:rFonts w:ascii="Times New Roman" w:eastAsia="Times New Roman" w:hAnsi="Times New Roman" w:cs="Times New Roman"/>
          <w:sz w:val="24"/>
          <w:szCs w:val="24"/>
        </w:rPr>
        <w:t>groups</w:t>
      </w:r>
      <w:proofErr w:type="gramEnd"/>
      <w:r>
        <w:rPr>
          <w:rFonts w:ascii="Times New Roman" w:eastAsia="Times New Roman" w:hAnsi="Times New Roman" w:cs="Times New Roman"/>
          <w:sz w:val="24"/>
          <w:szCs w:val="24"/>
        </w:rPr>
        <w:t xml:space="preserve">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w:t>
      </w:r>
      <w:proofErr w:type="gramStart"/>
      <w:r w:rsidRPr="007D2A4C">
        <w:rPr>
          <w:rFonts w:ascii="Times New Roman" w:eastAsia="Times New Roman" w:hAnsi="Times New Roman" w:cs="Times New Roman"/>
          <w:sz w:val="24"/>
          <w:szCs w:val="24"/>
        </w:rPr>
        <w:t>terrorists</w:t>
      </w:r>
      <w:proofErr w:type="gramEnd"/>
      <w:r w:rsidRPr="007D2A4C">
        <w:rPr>
          <w:rFonts w:ascii="Times New Roman" w:eastAsia="Times New Roman" w:hAnsi="Times New Roman" w:cs="Times New Roman"/>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w:t>
      </w:r>
      <w:r w:rsidRPr="007D2A4C">
        <w:rPr>
          <w:rFonts w:ascii="Times New Roman" w:eastAsia="Times New Roman" w:hAnsi="Times New Roman" w:cs="Times New Roman"/>
          <w:sz w:val="24"/>
          <w:szCs w:val="24"/>
        </w:rPr>
        <w:lastRenderedPageBreak/>
        <w:t xml:space="preserve">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grant or cooperative agreement will </w:t>
      </w:r>
      <w:proofErr w:type="gramStart"/>
      <w:r w:rsidR="00581E19" w:rsidRPr="007D2A4C">
        <w:rPr>
          <w:rFonts w:ascii="Times New Roman" w:hAnsi="Times New Roman" w:cs="Times New Roman"/>
          <w:sz w:val="24"/>
          <w:szCs w:val="24"/>
        </w:rPr>
        <w:t>provide assistance to</w:t>
      </w:r>
      <w:proofErr w:type="gramEnd"/>
      <w:r w:rsidR="00581E19" w:rsidRPr="007D2A4C">
        <w:rPr>
          <w:rFonts w:ascii="Times New Roman" w:hAnsi="Times New Roman" w:cs="Times New Roman"/>
          <w:sz w:val="24"/>
          <w:szCs w:val="24"/>
        </w:rPr>
        <w:t xml:space="preserve">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U.S. foreign assistance for Burma or Burmese beneficiaries is subject to restrictions.  This includes restrictions, pursuant to section 7043(a)(1)(C) of the Department of State, Foreign Operations, and Related Programs Appropriations Act, 2019 (Div. F, P.L. 116-</w:t>
      </w:r>
      <w:proofErr w:type="gramStart"/>
      <w:r w:rsidRPr="001B0877">
        <w:rPr>
          <w:rFonts w:ascii="Times New Roman" w:eastAsia="Times New Roman" w:hAnsi="Times New Roman" w:cs="Times New Roman"/>
          <w:sz w:val="24"/>
          <w:szCs w:val="24"/>
        </w:rPr>
        <w:t>6)(</w:t>
      </w:r>
      <w:proofErr w:type="gramEnd"/>
      <w:r w:rsidRPr="001B0877">
        <w:rPr>
          <w:rFonts w:ascii="Times New Roman" w:eastAsia="Times New Roman" w:hAnsi="Times New Roman" w:cs="Times New Roman"/>
          <w:sz w:val="24"/>
          <w:szCs w:val="24"/>
        </w:rPr>
        <w:t xml:space="preserve">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2"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lastRenderedPageBreak/>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w:t>
      </w:r>
      <w:proofErr w:type="gramStart"/>
      <w:r w:rsidR="0035592D" w:rsidRPr="004065D9">
        <w:rPr>
          <w:rFonts w:ascii="Times New Roman" w:eastAsia="Times New Roman" w:hAnsi="Times New Roman" w:cs="Times New Roman"/>
          <w:sz w:val="24"/>
          <w:szCs w:val="24"/>
        </w:rPr>
        <w:t>Additionally</w:t>
      </w:r>
      <w:proofErr w:type="gramEnd"/>
      <w:r w:rsidR="0035592D" w:rsidRPr="004065D9">
        <w:rPr>
          <w:rFonts w:ascii="Times New Roman" w:eastAsia="Times New Roman" w:hAnsi="Times New Roman" w:cs="Times New Roman"/>
          <w:sz w:val="24"/>
          <w:szCs w:val="24"/>
        </w:rPr>
        <w:t xml:space="preserve">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lastRenderedPageBreak/>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29"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0">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 frame.  A complete application must include a logic model to demonstrate how the project activities will have an impact on its proposed </w:t>
      </w:r>
      <w:r w:rsidRPr="00754E7B">
        <w:rPr>
          <w:rFonts w:ascii="Times New Roman" w:hAnsi="Times New Roman" w:cs="Times New Roman"/>
          <w:color w:val="auto"/>
          <w:sz w:val="24"/>
          <w:szCs w:val="24"/>
        </w:rPr>
        <w:lastRenderedPageBreak/>
        <w:t>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proofErr w:type="gramStart"/>
      <w:r w:rsidRPr="00DF521F">
        <w:rPr>
          <w:rFonts w:ascii="Times New Roman" w:hAnsi="Times New Roman" w:cs="Times New Roman"/>
          <w:color w:val="auto"/>
          <w:sz w:val="24"/>
          <w:szCs w:val="24"/>
        </w:rPr>
        <w:t>all of</w:t>
      </w:r>
      <w:proofErr w:type="gramEnd"/>
      <w:r w:rsidRPr="00DF521F">
        <w:rPr>
          <w:rFonts w:ascii="Times New Roman" w:hAnsi="Times New Roman" w:cs="Times New Roman"/>
          <w:color w:val="auto"/>
          <w:sz w:val="24"/>
          <w:szCs w:val="24"/>
        </w:rPr>
        <w:t xml:space="preserve">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w:t>
      </w:r>
      <w:r w:rsidR="00FA642D" w:rsidRPr="00754E7B">
        <w:rPr>
          <w:rFonts w:ascii="Times New Roman" w:hAnsi="Times New Roman" w:cs="Times New Roman"/>
          <w:color w:val="auto"/>
          <w:sz w:val="24"/>
          <w:szCs w:val="24"/>
        </w:rPr>
        <w:lastRenderedPageBreak/>
        <w: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7" w:name="h.3znysh7" w:colFirst="0" w:colLast="0"/>
      <w:bookmarkEnd w:id="7"/>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lastRenderedPageBreak/>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w:t>
      </w:r>
      <w:r w:rsidRPr="00754E7B">
        <w:rPr>
          <w:rFonts w:ascii="Times New Roman" w:eastAsia="Times New Roman" w:hAnsi="Times New Roman" w:cs="Times New Roman"/>
          <w:color w:val="auto"/>
          <w:sz w:val="24"/>
          <w:szCs w:val="24"/>
        </w:rPr>
        <w:lastRenderedPageBreak/>
        <w:t xml:space="preserve">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 xml:space="preserve">to be electronically </w:t>
      </w:r>
      <w:proofErr w:type="gramStart"/>
      <w:r w:rsidRPr="00754E7B">
        <w:rPr>
          <w:rFonts w:ascii="Times New Roman" w:eastAsia="Times New Roman" w:hAnsi="Times New Roman" w:cs="Times New Roman"/>
          <w:color w:val="auto"/>
          <w:sz w:val="24"/>
          <w:szCs w:val="24"/>
        </w:rPr>
        <w:t>counter-signed</w:t>
      </w:r>
      <w:proofErr w:type="gramEnd"/>
      <w:r w:rsidRPr="00754E7B">
        <w:rPr>
          <w:rFonts w:ascii="Times New Roman" w:eastAsia="Times New Roman" w:hAnsi="Times New Roman" w:cs="Times New Roman"/>
          <w:color w:val="auto"/>
          <w:sz w:val="24"/>
          <w:szCs w:val="24"/>
        </w:rPr>
        <w:t xml:space="preserve">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w:t>
      </w:r>
      <w:r w:rsidRPr="00754E7B">
        <w:rPr>
          <w:rFonts w:ascii="Times New Roman" w:eastAsia="Times New Roman" w:hAnsi="Times New Roman" w:cs="Times New Roman"/>
          <w:color w:val="auto"/>
          <w:sz w:val="24"/>
          <w:szCs w:val="24"/>
        </w:rPr>
        <w:lastRenderedPageBreak/>
        <w:t xml:space="preserve">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57BCD898"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3" w:history="1">
        <w:r w:rsidR="00AD5429" w:rsidRPr="00246461">
          <w:rPr>
            <w:rStyle w:val="Hyperlink"/>
            <w:rFonts w:ascii="Times New Roman" w:eastAsia="Times New Roman" w:hAnsi="Times New Roman" w:cs="Times New Roman"/>
            <w:sz w:val="24"/>
            <w:szCs w:val="24"/>
          </w:rPr>
          <w:t>DRL-EUR-ProgramInfo@state.gov</w:t>
        </w:r>
      </w:hyperlink>
      <w:r w:rsidR="00AD5429">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lastRenderedPageBreak/>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5"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082290" w:rsidP="00DA36CE">
      <w:pPr>
        <w:pStyle w:val="NoSpacing"/>
      </w:pPr>
      <w:hyperlink r:id="rId36">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1090384E"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7"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8" w:history="1">
        <w:r w:rsidR="00FA0714" w:rsidRPr="00484E46">
          <w:rPr>
            <w:rStyle w:val="Hyperlink"/>
            <w:rFonts w:ascii="Times New Roman" w:eastAsia="Times New Roman" w:hAnsi="Times New Roman" w:cs="Times New Roman"/>
            <w:sz w:val="24"/>
            <w:szCs w:val="24"/>
          </w:rPr>
          <w:t>SAM</w:t>
        </w:r>
        <w:r w:rsidR="000C6A96" w:rsidRPr="00484E46">
          <w:rPr>
            <w:rStyle w:val="Hyperlink"/>
            <w:rFonts w:ascii="Times New Roman" w:hAnsi="Times New Roman" w:cs="Times New Roman"/>
            <w:sz w:val="24"/>
            <w:szCs w:val="24"/>
          </w:rPr>
          <w:t>S</w:t>
        </w:r>
        <w:r w:rsidR="00FA0714" w:rsidRPr="00484E46">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9"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9" w:name="h.3dy6vkm" w:colFirst="0" w:colLast="0"/>
      <w:bookmarkEnd w:id="9"/>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0"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1"/>
      <w:footerReference w:type="default" r:id="rId42"/>
      <w:footerReference w:type="first" r:id="rId43"/>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C81BE" w14:textId="58B82844" w:rsidR="0090391C" w:rsidRDefault="0090391C">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A08C7" w14:textId="66469D03" w:rsidR="0090391C" w:rsidRDefault="0090391C">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87E1E" w14:textId="1BCC9624"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6E6781">
          <w:rPr>
            <w:rFonts w:ascii="Times New Roman" w:hAnsi="Times New Roman" w:cs="Times New Roman"/>
            <w:noProof/>
            <w:sz w:val="24"/>
          </w:rPr>
          <w:t>4</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6"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5"/>
  </w:num>
  <w:num w:numId="3">
    <w:abstractNumId w:val="3"/>
  </w:num>
  <w:num w:numId="4">
    <w:abstractNumId w:val="19"/>
  </w:num>
  <w:num w:numId="5">
    <w:abstractNumId w:val="10"/>
  </w:num>
  <w:num w:numId="6">
    <w:abstractNumId w:val="16"/>
  </w:num>
  <w:num w:numId="7">
    <w:abstractNumId w:val="24"/>
  </w:num>
  <w:num w:numId="8">
    <w:abstractNumId w:val="12"/>
  </w:num>
  <w:num w:numId="9">
    <w:abstractNumId w:val="0"/>
  </w:num>
  <w:num w:numId="10">
    <w:abstractNumId w:val="27"/>
  </w:num>
  <w:num w:numId="11">
    <w:abstractNumId w:val="7"/>
  </w:num>
  <w:num w:numId="12">
    <w:abstractNumId w:val="23"/>
  </w:num>
  <w:num w:numId="13">
    <w:abstractNumId w:val="1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7"/>
  </w:num>
  <w:num w:numId="18">
    <w:abstractNumId w:val="8"/>
  </w:num>
  <w:num w:numId="19">
    <w:abstractNumId w:val="6"/>
  </w:num>
  <w:num w:numId="20">
    <w:abstractNumId w:val="21"/>
  </w:num>
  <w:num w:numId="21">
    <w:abstractNumId w:val="11"/>
  </w:num>
  <w:num w:numId="22">
    <w:abstractNumId w:val="1"/>
  </w:num>
  <w:num w:numId="23">
    <w:abstractNumId w:val="26"/>
  </w:num>
  <w:num w:numId="24">
    <w:abstractNumId w:val="20"/>
  </w:num>
  <w:num w:numId="25">
    <w:abstractNumId w:val="2"/>
  </w:num>
  <w:num w:numId="26">
    <w:abstractNumId w:val="11"/>
  </w:num>
  <w:num w:numId="27">
    <w:abstractNumId w:val="4"/>
  </w:num>
  <w:num w:numId="28">
    <w:abstractNumId w:val="5"/>
  </w:num>
  <w:num w:numId="29">
    <w:abstractNumId w:val="22"/>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734D"/>
    <w:rsid w:val="00066461"/>
    <w:rsid w:val="000726DA"/>
    <w:rsid w:val="00082290"/>
    <w:rsid w:val="000833FF"/>
    <w:rsid w:val="00086F57"/>
    <w:rsid w:val="00095F36"/>
    <w:rsid w:val="000966EC"/>
    <w:rsid w:val="000A1394"/>
    <w:rsid w:val="000A2F2E"/>
    <w:rsid w:val="000A592E"/>
    <w:rsid w:val="000A7586"/>
    <w:rsid w:val="000B4325"/>
    <w:rsid w:val="000B5C07"/>
    <w:rsid w:val="000B7387"/>
    <w:rsid w:val="000C12FA"/>
    <w:rsid w:val="000C5C9F"/>
    <w:rsid w:val="000C6A96"/>
    <w:rsid w:val="000D26B1"/>
    <w:rsid w:val="000D4C68"/>
    <w:rsid w:val="000E0224"/>
    <w:rsid w:val="000E171B"/>
    <w:rsid w:val="000E5218"/>
    <w:rsid w:val="000F2A55"/>
    <w:rsid w:val="001002FC"/>
    <w:rsid w:val="00102A2C"/>
    <w:rsid w:val="00112414"/>
    <w:rsid w:val="001125BF"/>
    <w:rsid w:val="001137DB"/>
    <w:rsid w:val="00115681"/>
    <w:rsid w:val="00121037"/>
    <w:rsid w:val="001210B9"/>
    <w:rsid w:val="00122A1E"/>
    <w:rsid w:val="00137D7C"/>
    <w:rsid w:val="00174421"/>
    <w:rsid w:val="0017703A"/>
    <w:rsid w:val="00190B19"/>
    <w:rsid w:val="00194E41"/>
    <w:rsid w:val="001B0877"/>
    <w:rsid w:val="001B2EAC"/>
    <w:rsid w:val="001B36CD"/>
    <w:rsid w:val="001B436C"/>
    <w:rsid w:val="001B509C"/>
    <w:rsid w:val="001B7BFA"/>
    <w:rsid w:val="001D1E2D"/>
    <w:rsid w:val="001E1561"/>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C5E91"/>
    <w:rsid w:val="002D2CAA"/>
    <w:rsid w:val="002D5B78"/>
    <w:rsid w:val="002E034F"/>
    <w:rsid w:val="002E067F"/>
    <w:rsid w:val="002E2C79"/>
    <w:rsid w:val="002E5AD5"/>
    <w:rsid w:val="002E719A"/>
    <w:rsid w:val="002F16BB"/>
    <w:rsid w:val="002F1FEE"/>
    <w:rsid w:val="002F31C0"/>
    <w:rsid w:val="002F33BE"/>
    <w:rsid w:val="002F3763"/>
    <w:rsid w:val="0030529F"/>
    <w:rsid w:val="00307030"/>
    <w:rsid w:val="003221AC"/>
    <w:rsid w:val="0032561A"/>
    <w:rsid w:val="0033230B"/>
    <w:rsid w:val="0034020B"/>
    <w:rsid w:val="00341D53"/>
    <w:rsid w:val="00344EA4"/>
    <w:rsid w:val="00352492"/>
    <w:rsid w:val="0035360E"/>
    <w:rsid w:val="0035592D"/>
    <w:rsid w:val="003779CC"/>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7204"/>
    <w:rsid w:val="003E2D0A"/>
    <w:rsid w:val="003E3968"/>
    <w:rsid w:val="003F35B9"/>
    <w:rsid w:val="00401EC8"/>
    <w:rsid w:val="004021B5"/>
    <w:rsid w:val="00403091"/>
    <w:rsid w:val="00404CA8"/>
    <w:rsid w:val="004065D9"/>
    <w:rsid w:val="00410C31"/>
    <w:rsid w:val="00411CEA"/>
    <w:rsid w:val="004159D6"/>
    <w:rsid w:val="00437570"/>
    <w:rsid w:val="00443D30"/>
    <w:rsid w:val="0045100E"/>
    <w:rsid w:val="00451C84"/>
    <w:rsid w:val="0046461F"/>
    <w:rsid w:val="00467BB2"/>
    <w:rsid w:val="00473E00"/>
    <w:rsid w:val="00484E46"/>
    <w:rsid w:val="004924EC"/>
    <w:rsid w:val="004A1131"/>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7151D"/>
    <w:rsid w:val="00571ADB"/>
    <w:rsid w:val="00577658"/>
    <w:rsid w:val="00581E19"/>
    <w:rsid w:val="005A2652"/>
    <w:rsid w:val="005B1B41"/>
    <w:rsid w:val="005B25A6"/>
    <w:rsid w:val="005C0F23"/>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6E6781"/>
    <w:rsid w:val="007023A8"/>
    <w:rsid w:val="00706B04"/>
    <w:rsid w:val="00706C29"/>
    <w:rsid w:val="00710D2F"/>
    <w:rsid w:val="0071577A"/>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82001"/>
    <w:rsid w:val="00893BFC"/>
    <w:rsid w:val="008A6F52"/>
    <w:rsid w:val="008B34EF"/>
    <w:rsid w:val="008C07BD"/>
    <w:rsid w:val="008C7855"/>
    <w:rsid w:val="008D27FB"/>
    <w:rsid w:val="008E5ECA"/>
    <w:rsid w:val="008E6561"/>
    <w:rsid w:val="008F5E64"/>
    <w:rsid w:val="008F6EA0"/>
    <w:rsid w:val="00901D07"/>
    <w:rsid w:val="0090239E"/>
    <w:rsid w:val="00902E02"/>
    <w:rsid w:val="0090300E"/>
    <w:rsid w:val="0090391C"/>
    <w:rsid w:val="009075A1"/>
    <w:rsid w:val="00910E80"/>
    <w:rsid w:val="00915367"/>
    <w:rsid w:val="00927718"/>
    <w:rsid w:val="009309CC"/>
    <w:rsid w:val="0094187B"/>
    <w:rsid w:val="00952B94"/>
    <w:rsid w:val="009577BB"/>
    <w:rsid w:val="009630E9"/>
    <w:rsid w:val="00965DCE"/>
    <w:rsid w:val="009662F2"/>
    <w:rsid w:val="009700CC"/>
    <w:rsid w:val="00971169"/>
    <w:rsid w:val="009765F1"/>
    <w:rsid w:val="0098423F"/>
    <w:rsid w:val="0098622E"/>
    <w:rsid w:val="009959D7"/>
    <w:rsid w:val="00996D5A"/>
    <w:rsid w:val="009A1358"/>
    <w:rsid w:val="009A5B75"/>
    <w:rsid w:val="009B2E88"/>
    <w:rsid w:val="009B305D"/>
    <w:rsid w:val="009B62E4"/>
    <w:rsid w:val="009C52FE"/>
    <w:rsid w:val="009D14D4"/>
    <w:rsid w:val="009D32F0"/>
    <w:rsid w:val="009D3D79"/>
    <w:rsid w:val="009F0E82"/>
    <w:rsid w:val="009F1B0C"/>
    <w:rsid w:val="00A135A3"/>
    <w:rsid w:val="00A202A1"/>
    <w:rsid w:val="00A204ED"/>
    <w:rsid w:val="00A35321"/>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D5429"/>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2585"/>
    <w:rsid w:val="00B52C91"/>
    <w:rsid w:val="00B53BCE"/>
    <w:rsid w:val="00B54475"/>
    <w:rsid w:val="00B62E7B"/>
    <w:rsid w:val="00B64551"/>
    <w:rsid w:val="00B70A15"/>
    <w:rsid w:val="00B7128F"/>
    <w:rsid w:val="00B712E0"/>
    <w:rsid w:val="00B747CE"/>
    <w:rsid w:val="00B82D17"/>
    <w:rsid w:val="00B83A2C"/>
    <w:rsid w:val="00B83ADB"/>
    <w:rsid w:val="00B9087F"/>
    <w:rsid w:val="00B93BB4"/>
    <w:rsid w:val="00B96440"/>
    <w:rsid w:val="00B97FA9"/>
    <w:rsid w:val="00BA748E"/>
    <w:rsid w:val="00BB3E76"/>
    <w:rsid w:val="00BC1D42"/>
    <w:rsid w:val="00BD4D16"/>
    <w:rsid w:val="00BD5CBF"/>
    <w:rsid w:val="00BE7586"/>
    <w:rsid w:val="00BF2C1A"/>
    <w:rsid w:val="00C1352F"/>
    <w:rsid w:val="00C15E12"/>
    <w:rsid w:val="00C26CCC"/>
    <w:rsid w:val="00C36AC4"/>
    <w:rsid w:val="00C622A6"/>
    <w:rsid w:val="00C649FD"/>
    <w:rsid w:val="00C7789E"/>
    <w:rsid w:val="00C831F1"/>
    <w:rsid w:val="00C84A07"/>
    <w:rsid w:val="00C91895"/>
    <w:rsid w:val="00C92E25"/>
    <w:rsid w:val="00CA219C"/>
    <w:rsid w:val="00CA2CDD"/>
    <w:rsid w:val="00CA4358"/>
    <w:rsid w:val="00CA6F5A"/>
    <w:rsid w:val="00CA7DF2"/>
    <w:rsid w:val="00CB05C5"/>
    <w:rsid w:val="00CB4AAA"/>
    <w:rsid w:val="00CC13CD"/>
    <w:rsid w:val="00CD0240"/>
    <w:rsid w:val="00CD1CA1"/>
    <w:rsid w:val="00CD632A"/>
    <w:rsid w:val="00CE5219"/>
    <w:rsid w:val="00CE6942"/>
    <w:rsid w:val="00CF1A66"/>
    <w:rsid w:val="00CF4811"/>
    <w:rsid w:val="00CF639E"/>
    <w:rsid w:val="00CF6F08"/>
    <w:rsid w:val="00D002E3"/>
    <w:rsid w:val="00D04754"/>
    <w:rsid w:val="00D24014"/>
    <w:rsid w:val="00D32995"/>
    <w:rsid w:val="00D35A04"/>
    <w:rsid w:val="00D40823"/>
    <w:rsid w:val="00D42988"/>
    <w:rsid w:val="00D43BE9"/>
    <w:rsid w:val="00D47D44"/>
    <w:rsid w:val="00D50238"/>
    <w:rsid w:val="00D50720"/>
    <w:rsid w:val="00D50E16"/>
    <w:rsid w:val="00D60138"/>
    <w:rsid w:val="00D7136E"/>
    <w:rsid w:val="00D76C67"/>
    <w:rsid w:val="00D83829"/>
    <w:rsid w:val="00D92953"/>
    <w:rsid w:val="00D94EB7"/>
    <w:rsid w:val="00D9639A"/>
    <w:rsid w:val="00DA36CE"/>
    <w:rsid w:val="00DB00C4"/>
    <w:rsid w:val="00DC6FF0"/>
    <w:rsid w:val="00DC78EE"/>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0FE"/>
    <w:rsid w:val="00E87DAA"/>
    <w:rsid w:val="00EA4042"/>
    <w:rsid w:val="00EB170A"/>
    <w:rsid w:val="00EB1882"/>
    <w:rsid w:val="00EC03CF"/>
    <w:rsid w:val="00EC069C"/>
    <w:rsid w:val="00EC3DE8"/>
    <w:rsid w:val="00ED47F2"/>
    <w:rsid w:val="00EE4891"/>
    <w:rsid w:val="00EE4C8B"/>
    <w:rsid w:val="00EF115A"/>
    <w:rsid w:val="00EF25C1"/>
    <w:rsid w:val="00EF2EA8"/>
    <w:rsid w:val="00EF6BF0"/>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state.gov/j/drl/p/c72333.htm"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www.state.gov/bureau-of-democracy-human-rights-and-labor/programs-and-grants/" TargetMode="Externa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https://afsitsm.service-now.com/ilms/home"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tate.gov/resources-for-programs-and-grants/"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mailto:DRL-EUR-ProgramInfo@state.gov" TargetMode="External"/><Relationship Id="rId38" Type="http://schemas.openxmlformats.org/officeDocument/2006/relationships/hyperlink" Target="https://mygrants.service-now.com/" TargetMode="Externa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s://www.state.gov/bureaus-offices/under-secretary-for-civilian-security-democracy-and-human-rights/bureau-of-democracy-human-rights-and-labor/"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opm.gov/policy-data-oversight/snow-dismissal-procedures/federal-holidays/"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state.gov/m/a/ope/index.ht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mailto:support@grants.gov"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0F88D-C7D3-45CC-969A-2A1BD3949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9170</Words>
  <Characters>52269</Characters>
  <Application>Microsoft Office Word</Application>
  <DocSecurity>4</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Henderson, Jasmin E</cp:lastModifiedBy>
  <cp:revision>2</cp:revision>
  <cp:lastPrinted>2018-11-19T16:01:00Z</cp:lastPrinted>
  <dcterms:created xsi:type="dcterms:W3CDTF">2020-01-28T22:18:00Z</dcterms:created>
  <dcterms:modified xsi:type="dcterms:W3CDTF">2020-01-28T22:18:00Z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