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7A20F" w14:textId="77777777" w:rsidR="00C1139D" w:rsidRPr="00554CAC" w:rsidRDefault="00C1139D" w:rsidP="00554CAC">
      <w:pPr>
        <w:spacing w:after="0"/>
        <w:rPr>
          <w:rFonts w:cstheme="minorHAnsi"/>
          <w:b/>
          <w:sz w:val="28"/>
          <w:szCs w:val="28"/>
        </w:rPr>
      </w:pPr>
      <w:r w:rsidRPr="00554CAC">
        <w:rPr>
          <w:rFonts w:cstheme="minorHAnsi"/>
          <w:b/>
          <w:sz w:val="28"/>
          <w:szCs w:val="28"/>
        </w:rPr>
        <w:t xml:space="preserve">National Paralysis Resource Center </w:t>
      </w:r>
    </w:p>
    <w:p w14:paraId="3440E7C0" w14:textId="77777777" w:rsidR="00C1139D" w:rsidRPr="00554CAC" w:rsidRDefault="00C1139D" w:rsidP="00554CAC">
      <w:pPr>
        <w:spacing w:after="0"/>
        <w:rPr>
          <w:rFonts w:cstheme="minorHAnsi"/>
          <w:sz w:val="28"/>
          <w:szCs w:val="28"/>
        </w:rPr>
      </w:pPr>
      <w:r w:rsidRPr="00554CAC">
        <w:rPr>
          <w:rFonts w:cstheme="minorHAnsi"/>
          <w:b/>
          <w:sz w:val="28"/>
          <w:szCs w:val="28"/>
        </w:rPr>
        <w:t>HHS-2018-ACL-AOD-PRRC-0287</w:t>
      </w:r>
    </w:p>
    <w:p w14:paraId="39078379" w14:textId="6CDD33A4" w:rsidR="00C1139D" w:rsidRPr="00554CAC" w:rsidRDefault="008E27C5" w:rsidP="00554CAC">
      <w:pPr>
        <w:spacing w:after="0"/>
        <w:rPr>
          <w:rFonts w:cstheme="minorHAnsi"/>
          <w:b/>
          <w:sz w:val="28"/>
          <w:szCs w:val="28"/>
        </w:rPr>
      </w:pPr>
      <w:r>
        <w:rPr>
          <w:rFonts w:cstheme="minorHAnsi"/>
          <w:b/>
          <w:sz w:val="28"/>
          <w:szCs w:val="28"/>
        </w:rPr>
        <w:t>Frequently Asked Questions</w:t>
      </w:r>
    </w:p>
    <w:p w14:paraId="704B80D0" w14:textId="0C01DBE3" w:rsidR="00C82151" w:rsidRDefault="00C82151" w:rsidP="00554CAC">
      <w:pPr>
        <w:spacing w:after="0"/>
        <w:rPr>
          <w:rFonts w:cstheme="minorHAnsi"/>
          <w:b/>
          <w:sz w:val="24"/>
          <w:szCs w:val="24"/>
        </w:rPr>
      </w:pPr>
    </w:p>
    <w:p w14:paraId="3E5D4F85" w14:textId="77777777" w:rsidR="00554CAC" w:rsidRPr="00554CAC" w:rsidRDefault="00554CAC" w:rsidP="00554CAC">
      <w:pPr>
        <w:spacing w:after="0"/>
        <w:rPr>
          <w:rFonts w:cstheme="minorHAnsi"/>
          <w:b/>
          <w:sz w:val="24"/>
          <w:szCs w:val="24"/>
        </w:rPr>
      </w:pPr>
    </w:p>
    <w:p w14:paraId="4ED0E809" w14:textId="734E1C49" w:rsidR="00554CAC" w:rsidRPr="00554CAC" w:rsidRDefault="00C1139D" w:rsidP="00554CAC">
      <w:pPr>
        <w:numPr>
          <w:ilvl w:val="0"/>
          <w:numId w:val="5"/>
        </w:numPr>
        <w:spacing w:after="0"/>
        <w:rPr>
          <w:rFonts w:cstheme="minorHAnsi"/>
          <w:b/>
          <w:sz w:val="24"/>
          <w:szCs w:val="24"/>
        </w:rPr>
      </w:pPr>
      <w:r w:rsidRPr="00554CAC">
        <w:rPr>
          <w:rFonts w:cstheme="minorHAnsi"/>
          <w:b/>
          <w:sz w:val="24"/>
          <w:szCs w:val="24"/>
        </w:rPr>
        <w:t>Can a grantee fund subawards smaller than $10,000 or larger than $25,000?</w:t>
      </w:r>
    </w:p>
    <w:p w14:paraId="7C2F790C" w14:textId="77777777" w:rsidR="00554CAC" w:rsidRDefault="00554CAC" w:rsidP="00554CAC">
      <w:pPr>
        <w:pStyle w:val="Default"/>
        <w:spacing w:line="276" w:lineRule="auto"/>
        <w:rPr>
          <w:rFonts w:asciiTheme="minorHAnsi" w:hAnsiTheme="minorHAnsi" w:cstheme="minorHAnsi"/>
          <w:color w:val="002060"/>
        </w:rPr>
      </w:pPr>
    </w:p>
    <w:p w14:paraId="6CBC256F" w14:textId="0ABD3104" w:rsidR="00C1139D" w:rsidRPr="00554CAC" w:rsidRDefault="00C1139D" w:rsidP="00554CAC">
      <w:pPr>
        <w:pStyle w:val="Default"/>
        <w:spacing w:line="276" w:lineRule="auto"/>
        <w:ind w:left="720"/>
        <w:rPr>
          <w:rFonts w:asciiTheme="minorHAnsi" w:hAnsiTheme="minorHAnsi" w:cstheme="minorHAnsi"/>
          <w:color w:val="000099"/>
        </w:rPr>
      </w:pPr>
      <w:r w:rsidRPr="00554CAC">
        <w:rPr>
          <w:rFonts w:asciiTheme="minorHAnsi" w:hAnsiTheme="minorHAnsi" w:cstheme="minorHAnsi"/>
          <w:color w:val="000099"/>
        </w:rPr>
        <w:t>Yes</w:t>
      </w:r>
      <w:r w:rsidR="00C30F17" w:rsidRPr="00554CAC">
        <w:rPr>
          <w:rFonts w:asciiTheme="minorHAnsi" w:hAnsiTheme="minorHAnsi" w:cstheme="minorHAnsi"/>
          <w:color w:val="000099"/>
        </w:rPr>
        <w:t>, please see page 6</w:t>
      </w:r>
      <w:r w:rsidR="00554CAC">
        <w:rPr>
          <w:rStyle w:val="FootnoteReference"/>
          <w:rFonts w:asciiTheme="minorHAnsi" w:hAnsiTheme="minorHAnsi" w:cstheme="minorHAnsi"/>
          <w:color w:val="000099"/>
        </w:rPr>
        <w:footnoteReference w:id="1"/>
      </w:r>
      <w:r w:rsidR="00C30F17" w:rsidRPr="00554CAC">
        <w:rPr>
          <w:rFonts w:asciiTheme="minorHAnsi" w:hAnsiTheme="minorHAnsi" w:cstheme="minorHAnsi"/>
          <w:color w:val="000099"/>
        </w:rPr>
        <w:t xml:space="preserve"> of the </w:t>
      </w:r>
      <w:r w:rsidR="00554CAC">
        <w:rPr>
          <w:rFonts w:asciiTheme="minorHAnsi" w:hAnsiTheme="minorHAnsi" w:cstheme="minorHAnsi"/>
          <w:color w:val="000099"/>
        </w:rPr>
        <w:t>funding opportunity announcement (FOA)</w:t>
      </w:r>
      <w:r w:rsidRPr="00554CAC">
        <w:rPr>
          <w:rFonts w:asciiTheme="minorHAnsi" w:hAnsiTheme="minorHAnsi" w:cstheme="minorHAnsi"/>
          <w:color w:val="000099"/>
        </w:rPr>
        <w:t xml:space="preserve">. Applicants should describe how subaward amounts will be appropriate to the projects and needs expressed by the subaward applicants. In the FOA, ACL </w:t>
      </w:r>
      <w:r w:rsidR="00554CAC">
        <w:rPr>
          <w:rFonts w:asciiTheme="minorHAnsi" w:hAnsiTheme="minorHAnsi" w:cstheme="minorHAnsi"/>
          <w:color w:val="000099"/>
        </w:rPr>
        <w:t>gives</w:t>
      </w:r>
      <w:r w:rsidRPr="00554CAC">
        <w:rPr>
          <w:rFonts w:asciiTheme="minorHAnsi" w:hAnsiTheme="minorHAnsi" w:cstheme="minorHAnsi"/>
          <w:color w:val="000099"/>
        </w:rPr>
        <w:t xml:space="preserve"> an estimated range of expected subaward amounts between $10,000 and $25,000 as an aid for applicants. </w:t>
      </w:r>
    </w:p>
    <w:p w14:paraId="08F508AA" w14:textId="77777777" w:rsidR="00C1139D" w:rsidRPr="00554CAC" w:rsidRDefault="00C1139D" w:rsidP="00554CAC">
      <w:pPr>
        <w:spacing w:after="0"/>
        <w:rPr>
          <w:rFonts w:cstheme="minorHAnsi"/>
          <w:sz w:val="24"/>
          <w:szCs w:val="24"/>
        </w:rPr>
      </w:pPr>
    </w:p>
    <w:p w14:paraId="17BCC0E9" w14:textId="53F6AD01" w:rsidR="00554CAC" w:rsidRDefault="00C1139D" w:rsidP="00554CAC">
      <w:pPr>
        <w:numPr>
          <w:ilvl w:val="0"/>
          <w:numId w:val="5"/>
        </w:numPr>
        <w:spacing w:after="0"/>
        <w:rPr>
          <w:rFonts w:cstheme="minorHAnsi"/>
          <w:b/>
          <w:sz w:val="24"/>
          <w:szCs w:val="24"/>
        </w:rPr>
      </w:pPr>
      <w:r w:rsidRPr="00554CAC">
        <w:rPr>
          <w:rFonts w:cstheme="minorHAnsi"/>
          <w:b/>
          <w:sz w:val="24"/>
          <w:szCs w:val="24"/>
        </w:rPr>
        <w:t>The FOA says on page 6 that subawards cannot be used to provide medical services or direct services. Wha</w:t>
      </w:r>
      <w:r w:rsidR="00BD610C">
        <w:rPr>
          <w:rFonts w:cstheme="minorHAnsi"/>
          <w:b/>
          <w:sz w:val="24"/>
          <w:szCs w:val="24"/>
        </w:rPr>
        <w:t xml:space="preserve">t are examples of these types? </w:t>
      </w:r>
      <w:r w:rsidRPr="00554CAC">
        <w:rPr>
          <w:rFonts w:cstheme="minorHAnsi"/>
          <w:b/>
          <w:sz w:val="24"/>
          <w:szCs w:val="24"/>
        </w:rPr>
        <w:t>Can a definition of direct services be given?</w:t>
      </w:r>
    </w:p>
    <w:p w14:paraId="0C885278" w14:textId="77777777" w:rsidR="00C30F17" w:rsidRPr="00554CAC" w:rsidRDefault="00C30F17" w:rsidP="00554CAC">
      <w:pPr>
        <w:pStyle w:val="Default"/>
        <w:spacing w:line="276" w:lineRule="auto"/>
        <w:ind w:left="1440"/>
        <w:rPr>
          <w:rFonts w:asciiTheme="minorHAnsi" w:hAnsiTheme="minorHAnsi" w:cstheme="minorHAnsi"/>
          <w:color w:val="7030A0"/>
        </w:rPr>
      </w:pPr>
    </w:p>
    <w:p w14:paraId="2D2334D1" w14:textId="66823FFE" w:rsidR="00C1139D" w:rsidRPr="008E2343" w:rsidRDefault="00C1139D" w:rsidP="00554CAC">
      <w:pPr>
        <w:pStyle w:val="Default"/>
        <w:spacing w:line="276" w:lineRule="auto"/>
        <w:ind w:left="720"/>
        <w:rPr>
          <w:rFonts w:asciiTheme="minorHAnsi" w:hAnsiTheme="minorHAnsi" w:cstheme="minorHAnsi"/>
          <w:color w:val="000099"/>
        </w:rPr>
      </w:pPr>
      <w:r w:rsidRPr="008E2343">
        <w:rPr>
          <w:rFonts w:asciiTheme="minorHAnsi" w:hAnsiTheme="minorHAnsi" w:cstheme="minorHAnsi"/>
          <w:color w:val="000099"/>
        </w:rPr>
        <w:t>ACL</w:t>
      </w:r>
      <w:r w:rsidR="002E4BDC" w:rsidRPr="008E2343">
        <w:rPr>
          <w:rFonts w:asciiTheme="minorHAnsi" w:hAnsiTheme="minorHAnsi" w:cstheme="minorHAnsi"/>
          <w:color w:val="000099"/>
        </w:rPr>
        <w:t>’s mission</w:t>
      </w:r>
      <w:r w:rsidRPr="008E2343">
        <w:rPr>
          <w:rFonts w:asciiTheme="minorHAnsi" w:hAnsiTheme="minorHAnsi" w:cstheme="minorHAnsi"/>
          <w:color w:val="000099"/>
        </w:rPr>
        <w:t xml:space="preserve"> concentrates on providing </w:t>
      </w:r>
      <w:r w:rsidR="002E4BDC" w:rsidRPr="008E2343">
        <w:rPr>
          <w:rFonts w:asciiTheme="minorHAnsi" w:hAnsiTheme="minorHAnsi" w:cstheme="minorHAnsi"/>
          <w:color w:val="000099"/>
        </w:rPr>
        <w:t xml:space="preserve">services and supports to </w:t>
      </w:r>
      <w:r w:rsidRPr="008E2343">
        <w:rPr>
          <w:rFonts w:asciiTheme="minorHAnsi" w:hAnsiTheme="minorHAnsi" w:cstheme="minorHAnsi"/>
          <w:color w:val="000099"/>
        </w:rPr>
        <w:t xml:space="preserve">individuals with disabilities </w:t>
      </w:r>
      <w:r w:rsidR="00554CAC" w:rsidRPr="008E2343">
        <w:rPr>
          <w:rFonts w:asciiTheme="minorHAnsi" w:hAnsiTheme="minorHAnsi" w:cstheme="minorHAnsi"/>
          <w:color w:val="000099"/>
        </w:rPr>
        <w:t>so they may</w:t>
      </w:r>
      <w:r w:rsidRPr="008E2343">
        <w:rPr>
          <w:rFonts w:asciiTheme="minorHAnsi" w:hAnsiTheme="minorHAnsi" w:cstheme="minorHAnsi"/>
          <w:color w:val="000099"/>
        </w:rPr>
        <w:t xml:space="preserve"> fully engage and participate in their communities</w:t>
      </w:r>
      <w:r w:rsidR="002E4BDC" w:rsidRPr="008E2343">
        <w:rPr>
          <w:rFonts w:asciiTheme="minorHAnsi" w:hAnsiTheme="minorHAnsi" w:cstheme="minorHAnsi"/>
          <w:color w:val="000099"/>
        </w:rPr>
        <w:t xml:space="preserve">. </w:t>
      </w:r>
      <w:r w:rsidRPr="008E2343">
        <w:rPr>
          <w:rFonts w:asciiTheme="minorHAnsi" w:hAnsiTheme="minorHAnsi" w:cstheme="minorHAnsi"/>
          <w:color w:val="000099"/>
        </w:rPr>
        <w:t>Applicants should describe how their subaward program’s activities will fit within the parameters of the Subaward Strategy Requirements on page 5 and 6 – in particular, how “all subawards will promote greater independence, equality, choice, and control for individuals with paralysis and help them more fully integrate into their communities.”</w:t>
      </w:r>
      <w:r w:rsidR="00AB53DA" w:rsidRPr="008E2343">
        <w:rPr>
          <w:rFonts w:asciiTheme="minorHAnsi" w:hAnsiTheme="minorHAnsi" w:cstheme="minorHAnsi"/>
          <w:color w:val="000099"/>
        </w:rPr>
        <w:t xml:space="preserve"> </w:t>
      </w:r>
    </w:p>
    <w:p w14:paraId="3AADF64A" w14:textId="77777777" w:rsidR="00C1139D" w:rsidRPr="008E2343" w:rsidRDefault="00C1139D" w:rsidP="00554CAC">
      <w:pPr>
        <w:pStyle w:val="Default"/>
        <w:spacing w:line="276" w:lineRule="auto"/>
        <w:ind w:left="720"/>
        <w:rPr>
          <w:rFonts w:asciiTheme="minorHAnsi" w:hAnsiTheme="minorHAnsi" w:cstheme="minorHAnsi"/>
          <w:color w:val="000099"/>
        </w:rPr>
      </w:pPr>
    </w:p>
    <w:p w14:paraId="3ECE4FD9" w14:textId="1279F429" w:rsidR="00C1139D" w:rsidRPr="008E2343" w:rsidRDefault="00C1139D" w:rsidP="00554CAC">
      <w:pPr>
        <w:pStyle w:val="Default"/>
        <w:spacing w:line="276" w:lineRule="auto"/>
        <w:ind w:left="720"/>
        <w:rPr>
          <w:rFonts w:asciiTheme="minorHAnsi" w:hAnsiTheme="minorHAnsi" w:cstheme="minorHAnsi"/>
          <w:color w:val="000099"/>
        </w:rPr>
      </w:pPr>
      <w:r w:rsidRPr="008E2343">
        <w:rPr>
          <w:rFonts w:asciiTheme="minorHAnsi" w:hAnsiTheme="minorHAnsi" w:cstheme="minorHAnsi"/>
          <w:color w:val="000099"/>
        </w:rPr>
        <w:t xml:space="preserve">ACL </w:t>
      </w:r>
      <w:r w:rsidR="002E4BDC" w:rsidRPr="008E2343">
        <w:rPr>
          <w:rFonts w:asciiTheme="minorHAnsi" w:hAnsiTheme="minorHAnsi" w:cstheme="minorHAnsi"/>
          <w:color w:val="000099"/>
        </w:rPr>
        <w:t xml:space="preserve">modified the FOA as of March 2, 2018 to </w:t>
      </w:r>
      <w:r w:rsidR="001B2BB7" w:rsidRPr="008E2343">
        <w:rPr>
          <w:rFonts w:asciiTheme="minorHAnsi" w:hAnsiTheme="minorHAnsi" w:cstheme="minorHAnsi"/>
          <w:color w:val="000099"/>
        </w:rPr>
        <w:t xml:space="preserve">remove “direct services” </w:t>
      </w:r>
      <w:r w:rsidR="00CA0EB1" w:rsidRPr="008E2343">
        <w:rPr>
          <w:rFonts w:asciiTheme="minorHAnsi" w:hAnsiTheme="minorHAnsi" w:cstheme="minorHAnsi"/>
          <w:color w:val="000099"/>
        </w:rPr>
        <w:t>from</w:t>
      </w:r>
      <w:r w:rsidR="001B2BB7" w:rsidRPr="008E2343">
        <w:rPr>
          <w:rFonts w:asciiTheme="minorHAnsi" w:hAnsiTheme="minorHAnsi" w:cstheme="minorHAnsi"/>
          <w:color w:val="000099"/>
        </w:rPr>
        <w:t xml:space="preserve"> the last bullet </w:t>
      </w:r>
      <w:r w:rsidR="00302706" w:rsidRPr="008E2343">
        <w:rPr>
          <w:rFonts w:asciiTheme="minorHAnsi" w:hAnsiTheme="minorHAnsi" w:cstheme="minorHAnsi"/>
          <w:color w:val="000099"/>
        </w:rPr>
        <w:t>on p</w:t>
      </w:r>
      <w:r w:rsidR="00554CAC" w:rsidRPr="008E2343">
        <w:rPr>
          <w:rFonts w:asciiTheme="minorHAnsi" w:hAnsiTheme="minorHAnsi" w:cstheme="minorHAnsi"/>
          <w:color w:val="000099"/>
        </w:rPr>
        <w:t>age</w:t>
      </w:r>
      <w:r w:rsidR="00302706" w:rsidRPr="008E2343">
        <w:rPr>
          <w:rFonts w:asciiTheme="minorHAnsi" w:hAnsiTheme="minorHAnsi" w:cstheme="minorHAnsi"/>
          <w:color w:val="000099"/>
        </w:rPr>
        <w:t xml:space="preserve"> 6 </w:t>
      </w:r>
      <w:r w:rsidR="00705CE3" w:rsidRPr="008E2343">
        <w:rPr>
          <w:rFonts w:asciiTheme="minorHAnsi" w:hAnsiTheme="minorHAnsi" w:cstheme="minorHAnsi"/>
          <w:color w:val="000099"/>
        </w:rPr>
        <w:t>so that it now reads</w:t>
      </w:r>
      <w:r w:rsidR="001B2BB7" w:rsidRPr="008E2343">
        <w:rPr>
          <w:rFonts w:asciiTheme="minorHAnsi" w:hAnsiTheme="minorHAnsi" w:cstheme="minorHAnsi"/>
          <w:color w:val="000099"/>
        </w:rPr>
        <w:t xml:space="preserve"> “</w:t>
      </w:r>
      <w:r w:rsidR="00CA0EB1" w:rsidRPr="008E2343">
        <w:rPr>
          <w:rFonts w:asciiTheme="minorHAnsi" w:hAnsiTheme="minorHAnsi" w:cstheme="minorHAnsi"/>
          <w:color w:val="000099"/>
        </w:rPr>
        <w:t>Applicants should describe how they will require subawardees to expend their subawards within a 12-month period and not allow subawards to be used to provide medical services, nor direct fundraising activities.</w:t>
      </w:r>
      <w:r w:rsidR="00554CAC" w:rsidRPr="008E2343">
        <w:rPr>
          <w:rFonts w:asciiTheme="minorHAnsi" w:hAnsiTheme="minorHAnsi" w:cstheme="minorHAnsi"/>
          <w:color w:val="000099"/>
        </w:rPr>
        <w:t>”</w:t>
      </w:r>
      <w:r w:rsidR="000F064D" w:rsidRPr="008E2343">
        <w:rPr>
          <w:rFonts w:asciiTheme="minorHAnsi" w:hAnsiTheme="minorHAnsi" w:cstheme="minorHAnsi"/>
          <w:color w:val="000099"/>
        </w:rPr>
        <w:t xml:space="preserve"> </w:t>
      </w:r>
      <w:r w:rsidR="00705CE3" w:rsidRPr="008E2343" w:rsidDel="00705CE3">
        <w:rPr>
          <w:rFonts w:asciiTheme="minorHAnsi" w:hAnsiTheme="minorHAnsi" w:cstheme="minorHAnsi"/>
          <w:color w:val="000099"/>
        </w:rPr>
        <w:t xml:space="preserve"> </w:t>
      </w:r>
    </w:p>
    <w:p w14:paraId="0BD9FEF1" w14:textId="77777777" w:rsidR="00C1139D" w:rsidRPr="008E2343" w:rsidRDefault="00C1139D" w:rsidP="00554CAC">
      <w:pPr>
        <w:pStyle w:val="Default"/>
        <w:spacing w:line="276" w:lineRule="auto"/>
        <w:rPr>
          <w:rFonts w:asciiTheme="minorHAnsi" w:hAnsiTheme="minorHAnsi" w:cstheme="minorHAnsi"/>
          <w:color w:val="000099"/>
        </w:rPr>
      </w:pPr>
    </w:p>
    <w:p w14:paraId="53233B75" w14:textId="50811E09" w:rsidR="00554CAC" w:rsidRDefault="00C1139D" w:rsidP="00554CAC">
      <w:pPr>
        <w:numPr>
          <w:ilvl w:val="0"/>
          <w:numId w:val="5"/>
        </w:numPr>
        <w:spacing w:after="0"/>
        <w:rPr>
          <w:rFonts w:cstheme="minorHAnsi"/>
          <w:b/>
          <w:sz w:val="24"/>
          <w:szCs w:val="24"/>
        </w:rPr>
      </w:pPr>
      <w:r w:rsidRPr="00554CAC">
        <w:rPr>
          <w:rFonts w:cstheme="minorHAnsi"/>
          <w:b/>
          <w:sz w:val="24"/>
          <w:szCs w:val="24"/>
        </w:rPr>
        <w:t>Is there a minimum number of individuals living with paralysis that each subaward should be expected to impact?</w:t>
      </w:r>
    </w:p>
    <w:p w14:paraId="7DA90040" w14:textId="77777777" w:rsidR="00C30F17" w:rsidRPr="00554CAC" w:rsidRDefault="00C30F17" w:rsidP="00554CAC">
      <w:pPr>
        <w:pStyle w:val="Default"/>
        <w:spacing w:line="276" w:lineRule="auto"/>
        <w:rPr>
          <w:rFonts w:asciiTheme="minorHAnsi" w:hAnsiTheme="minorHAnsi" w:cstheme="minorHAnsi"/>
          <w:color w:val="7030A0"/>
        </w:rPr>
      </w:pPr>
    </w:p>
    <w:p w14:paraId="577BA144" w14:textId="77777777" w:rsidR="00C1139D" w:rsidRPr="008E2343" w:rsidRDefault="00C1139D" w:rsidP="00554CAC">
      <w:pPr>
        <w:pStyle w:val="Default"/>
        <w:spacing w:line="276" w:lineRule="auto"/>
        <w:ind w:left="720"/>
        <w:rPr>
          <w:rFonts w:asciiTheme="minorHAnsi" w:hAnsiTheme="minorHAnsi" w:cstheme="minorHAnsi"/>
          <w:color w:val="000099"/>
        </w:rPr>
      </w:pPr>
      <w:r w:rsidRPr="008E2343">
        <w:rPr>
          <w:rFonts w:asciiTheme="minorHAnsi" w:hAnsiTheme="minorHAnsi" w:cstheme="minorHAnsi"/>
          <w:color w:val="000099"/>
        </w:rPr>
        <w:t>There is no minimum number stated in the FOA, but applicants should propose a subaward strategy “that will ensure the greatest impact and benefit for people of all ages with paralysis, their families, and their support networks”</w:t>
      </w:r>
      <w:r w:rsidR="00C30F17" w:rsidRPr="008E2343">
        <w:rPr>
          <w:rFonts w:asciiTheme="minorHAnsi" w:hAnsiTheme="minorHAnsi" w:cstheme="minorHAnsi"/>
          <w:color w:val="000099"/>
        </w:rPr>
        <w:t xml:space="preserve"> as described on page 4 of the FOA.</w:t>
      </w:r>
    </w:p>
    <w:p w14:paraId="3CE69E05" w14:textId="77777777" w:rsidR="00C1139D" w:rsidRPr="00554CAC" w:rsidRDefault="00C1139D" w:rsidP="00554CAC">
      <w:pPr>
        <w:pStyle w:val="Default"/>
        <w:spacing w:line="276" w:lineRule="auto"/>
        <w:ind w:left="1440"/>
        <w:rPr>
          <w:rFonts w:asciiTheme="minorHAnsi" w:hAnsiTheme="minorHAnsi" w:cstheme="minorHAnsi"/>
          <w:color w:val="FF0000"/>
        </w:rPr>
      </w:pPr>
    </w:p>
    <w:p w14:paraId="76490A5E" w14:textId="56E09FC1" w:rsidR="00C1139D" w:rsidRDefault="00C1139D" w:rsidP="008E2343">
      <w:pPr>
        <w:numPr>
          <w:ilvl w:val="0"/>
          <w:numId w:val="5"/>
        </w:numPr>
        <w:spacing w:after="0"/>
        <w:rPr>
          <w:rFonts w:cstheme="minorHAnsi"/>
          <w:b/>
          <w:sz w:val="24"/>
          <w:szCs w:val="24"/>
        </w:rPr>
      </w:pPr>
      <w:r w:rsidRPr="00554CAC">
        <w:rPr>
          <w:rFonts w:cstheme="minorHAnsi"/>
          <w:b/>
          <w:sz w:val="24"/>
          <w:szCs w:val="24"/>
        </w:rPr>
        <w:t>Can subawards be awarded to organizations outside the United States or to organizations based inside the United States that do work outside of the United States?</w:t>
      </w:r>
    </w:p>
    <w:p w14:paraId="6B1FAF35" w14:textId="77777777" w:rsidR="0084119B" w:rsidRPr="00554CAC" w:rsidRDefault="0084119B" w:rsidP="00554CAC">
      <w:pPr>
        <w:autoSpaceDE w:val="0"/>
        <w:autoSpaceDN w:val="0"/>
        <w:adjustRightInd w:val="0"/>
        <w:spacing w:after="0"/>
        <w:rPr>
          <w:rFonts w:cstheme="minorHAnsi"/>
          <w:color w:val="000000"/>
          <w:sz w:val="24"/>
          <w:szCs w:val="24"/>
        </w:rPr>
      </w:pPr>
    </w:p>
    <w:p w14:paraId="39917638" w14:textId="77777777" w:rsidR="00C1139D" w:rsidRPr="008E2343" w:rsidRDefault="0084119B" w:rsidP="008E2343">
      <w:pPr>
        <w:pStyle w:val="Default"/>
        <w:spacing w:line="276" w:lineRule="auto"/>
        <w:ind w:left="720"/>
        <w:rPr>
          <w:rFonts w:asciiTheme="minorHAnsi" w:hAnsiTheme="minorHAnsi" w:cstheme="minorHAnsi"/>
          <w:color w:val="000099"/>
        </w:rPr>
      </w:pPr>
      <w:r w:rsidRPr="008E2343">
        <w:rPr>
          <w:rFonts w:asciiTheme="minorHAnsi" w:hAnsiTheme="minorHAnsi" w:cstheme="minorHAnsi"/>
          <w:color w:val="000099"/>
        </w:rPr>
        <w:t xml:space="preserve">Page 6 of the FOA states </w:t>
      </w:r>
      <w:r w:rsidR="00C1139D" w:rsidRPr="008E2343">
        <w:rPr>
          <w:rFonts w:asciiTheme="minorHAnsi" w:hAnsiTheme="minorHAnsi" w:cstheme="minorHAnsi"/>
          <w:color w:val="000099"/>
        </w:rPr>
        <w:t>“Applicants should describe how they will make subawards to nonprofit organizations that serve people with paralysis living in the United States.”</w:t>
      </w:r>
    </w:p>
    <w:p w14:paraId="1C7126D3" w14:textId="77777777" w:rsidR="000F064D" w:rsidRPr="00554CAC" w:rsidRDefault="000F064D" w:rsidP="00554CAC">
      <w:pPr>
        <w:spacing w:after="0"/>
        <w:ind w:left="720" w:firstLine="720"/>
        <w:rPr>
          <w:rFonts w:cstheme="minorHAnsi"/>
          <w:sz w:val="24"/>
          <w:szCs w:val="24"/>
        </w:rPr>
      </w:pPr>
    </w:p>
    <w:p w14:paraId="71B7E36D" w14:textId="42BDF2E3" w:rsidR="00C1139D" w:rsidRDefault="00C1139D" w:rsidP="008E2343">
      <w:pPr>
        <w:numPr>
          <w:ilvl w:val="0"/>
          <w:numId w:val="5"/>
        </w:numPr>
        <w:spacing w:after="0"/>
        <w:rPr>
          <w:rFonts w:cstheme="minorHAnsi"/>
          <w:b/>
          <w:sz w:val="24"/>
          <w:szCs w:val="24"/>
        </w:rPr>
      </w:pPr>
      <w:r w:rsidRPr="00554CAC">
        <w:rPr>
          <w:rFonts w:cstheme="minorHAnsi"/>
          <w:b/>
          <w:sz w:val="24"/>
          <w:szCs w:val="24"/>
        </w:rPr>
        <w:t>Is there a page limit for the Appendix?</w:t>
      </w:r>
    </w:p>
    <w:p w14:paraId="7CA41ABA" w14:textId="77777777" w:rsidR="008E2343" w:rsidRDefault="008E2343" w:rsidP="00554CAC">
      <w:pPr>
        <w:pStyle w:val="Default"/>
        <w:spacing w:line="276" w:lineRule="auto"/>
        <w:rPr>
          <w:rFonts w:asciiTheme="minorHAnsi" w:hAnsiTheme="minorHAnsi" w:cstheme="minorHAnsi"/>
          <w:color w:val="002060"/>
        </w:rPr>
      </w:pPr>
    </w:p>
    <w:p w14:paraId="16BE7860" w14:textId="416F8ACD" w:rsidR="00C1139D" w:rsidRPr="008E2343" w:rsidRDefault="00C1139D" w:rsidP="008E2343">
      <w:pPr>
        <w:pStyle w:val="Default"/>
        <w:spacing w:line="276" w:lineRule="auto"/>
        <w:ind w:left="720"/>
        <w:rPr>
          <w:rFonts w:asciiTheme="minorHAnsi" w:hAnsiTheme="minorHAnsi" w:cstheme="minorHAnsi"/>
          <w:color w:val="000099"/>
        </w:rPr>
      </w:pPr>
      <w:r w:rsidRPr="008E2343">
        <w:rPr>
          <w:rFonts w:asciiTheme="minorHAnsi" w:hAnsiTheme="minorHAnsi" w:cstheme="minorHAnsi"/>
          <w:color w:val="000099"/>
        </w:rPr>
        <w:t>The FOA contains a 50-page limit for the applicant’s Project Narrative. As originally published, the FOA also contained an additional 50-page limit for the Appendix, but that Appendix page limit has now been removed through a modification to the FOA as of March 2, 2018. There is now no page limit for the Appendix.</w:t>
      </w:r>
    </w:p>
    <w:p w14:paraId="241CB698" w14:textId="77777777" w:rsidR="00C1139D" w:rsidRPr="008E2343" w:rsidRDefault="00C1139D" w:rsidP="008E2343">
      <w:pPr>
        <w:pStyle w:val="Default"/>
        <w:spacing w:line="276" w:lineRule="auto"/>
        <w:ind w:left="720"/>
        <w:rPr>
          <w:rFonts w:asciiTheme="minorHAnsi" w:hAnsiTheme="minorHAnsi" w:cstheme="minorHAnsi"/>
          <w:color w:val="000099"/>
        </w:rPr>
      </w:pPr>
    </w:p>
    <w:p w14:paraId="7C95B623" w14:textId="77777777" w:rsidR="00C1139D" w:rsidRPr="008E2343" w:rsidRDefault="00C1139D" w:rsidP="008E2343">
      <w:pPr>
        <w:pStyle w:val="Default"/>
        <w:spacing w:line="276" w:lineRule="auto"/>
        <w:ind w:left="720"/>
        <w:rPr>
          <w:rFonts w:asciiTheme="minorHAnsi" w:hAnsiTheme="minorHAnsi" w:cstheme="minorHAnsi"/>
          <w:color w:val="000099"/>
        </w:rPr>
      </w:pPr>
      <w:r w:rsidRPr="008E2343">
        <w:rPr>
          <w:rFonts w:asciiTheme="minorHAnsi" w:hAnsiTheme="minorHAnsi" w:cstheme="minorHAnsi"/>
          <w:color w:val="000099"/>
        </w:rPr>
        <w:t xml:space="preserve">The Project Narrative includes the following elements: Summary/Abstract, Problem Statement, Goal(s) and Objective(s), Proposed Intervention, Special Target Populations and Organizations, Outcomes, Project Management, Evaluation, Dissemination, and Organizational Capability. </w:t>
      </w:r>
    </w:p>
    <w:p w14:paraId="16796384" w14:textId="77777777" w:rsidR="00C1139D" w:rsidRPr="008E2343" w:rsidRDefault="00C1139D" w:rsidP="008E2343">
      <w:pPr>
        <w:pStyle w:val="Default"/>
        <w:spacing w:line="276" w:lineRule="auto"/>
        <w:ind w:left="720"/>
        <w:rPr>
          <w:rFonts w:asciiTheme="minorHAnsi" w:hAnsiTheme="minorHAnsi" w:cstheme="minorHAnsi"/>
          <w:color w:val="000099"/>
        </w:rPr>
      </w:pPr>
    </w:p>
    <w:p w14:paraId="49EB69BD" w14:textId="77777777" w:rsidR="00C1139D" w:rsidRPr="008E2343" w:rsidRDefault="00C1139D" w:rsidP="008E2343">
      <w:pPr>
        <w:pStyle w:val="Default"/>
        <w:spacing w:line="276" w:lineRule="auto"/>
        <w:ind w:left="720"/>
        <w:rPr>
          <w:rFonts w:asciiTheme="minorHAnsi" w:hAnsiTheme="minorHAnsi" w:cstheme="minorHAnsi"/>
          <w:color w:val="000099"/>
        </w:rPr>
      </w:pPr>
      <w:r w:rsidRPr="008E2343">
        <w:rPr>
          <w:rFonts w:asciiTheme="minorHAnsi" w:hAnsiTheme="minorHAnsi" w:cstheme="minorHAnsi"/>
          <w:color w:val="000099"/>
        </w:rPr>
        <w:t xml:space="preserve">The Appendix documents should include the Project work plan, Letters of Commitment, Vitae of Key Personnel, Budget, Narrative Budget Justification, Standard Forms for Assurances, Certifications, Disclosures, Organization Charts, and Logic Models. </w:t>
      </w:r>
    </w:p>
    <w:p w14:paraId="674446A2" w14:textId="77777777" w:rsidR="00C1139D" w:rsidRPr="008E2343" w:rsidRDefault="00C1139D" w:rsidP="008E2343">
      <w:pPr>
        <w:pStyle w:val="Default"/>
        <w:spacing w:line="276" w:lineRule="auto"/>
        <w:ind w:left="720"/>
        <w:rPr>
          <w:rFonts w:asciiTheme="minorHAnsi" w:hAnsiTheme="minorHAnsi" w:cstheme="minorHAnsi"/>
          <w:color w:val="000099"/>
        </w:rPr>
      </w:pPr>
    </w:p>
    <w:p w14:paraId="41569FED" w14:textId="1D37CFF7" w:rsidR="00C1139D" w:rsidRPr="008E2343" w:rsidRDefault="00C1139D" w:rsidP="008E2343">
      <w:pPr>
        <w:pStyle w:val="Default"/>
        <w:spacing w:line="276" w:lineRule="auto"/>
        <w:ind w:left="720"/>
        <w:rPr>
          <w:rFonts w:asciiTheme="minorHAnsi" w:hAnsiTheme="minorHAnsi" w:cstheme="minorHAnsi"/>
          <w:color w:val="000099"/>
        </w:rPr>
      </w:pPr>
      <w:r w:rsidRPr="008E2343">
        <w:rPr>
          <w:rFonts w:asciiTheme="minorHAnsi" w:hAnsiTheme="minorHAnsi" w:cstheme="minorHAnsi"/>
          <w:color w:val="000099"/>
        </w:rPr>
        <w:t>Applicants should not send pamphlets, brochures, other printed material, or any additional letters of endorsement beyond any that may be required along with their applications.</w:t>
      </w:r>
      <w:r w:rsidR="00257520" w:rsidRPr="008E2343">
        <w:rPr>
          <w:rFonts w:asciiTheme="minorHAnsi" w:hAnsiTheme="minorHAnsi" w:cstheme="minorHAnsi"/>
          <w:color w:val="000099"/>
        </w:rPr>
        <w:t xml:space="preserve"> Please see </w:t>
      </w:r>
      <w:r w:rsidRPr="008E2343">
        <w:rPr>
          <w:rFonts w:asciiTheme="minorHAnsi" w:hAnsiTheme="minorHAnsi" w:cstheme="minorHAnsi"/>
          <w:color w:val="000099"/>
        </w:rPr>
        <w:t>p</w:t>
      </w:r>
      <w:r w:rsidR="008E2343" w:rsidRPr="008E2343">
        <w:rPr>
          <w:rFonts w:asciiTheme="minorHAnsi" w:hAnsiTheme="minorHAnsi" w:cstheme="minorHAnsi"/>
          <w:color w:val="000099"/>
        </w:rPr>
        <w:t>ages</w:t>
      </w:r>
      <w:r w:rsidRPr="008E2343">
        <w:rPr>
          <w:rFonts w:asciiTheme="minorHAnsi" w:hAnsiTheme="minorHAnsi" w:cstheme="minorHAnsi"/>
          <w:color w:val="000099"/>
        </w:rPr>
        <w:t xml:space="preserve"> 12, 14, 17</w:t>
      </w:r>
      <w:r w:rsidR="00257520" w:rsidRPr="008E2343">
        <w:rPr>
          <w:rFonts w:asciiTheme="minorHAnsi" w:hAnsiTheme="minorHAnsi" w:cstheme="minorHAnsi"/>
          <w:color w:val="000099"/>
        </w:rPr>
        <w:t xml:space="preserve"> in the FOA.</w:t>
      </w:r>
    </w:p>
    <w:p w14:paraId="3342103B" w14:textId="77777777" w:rsidR="00C1139D" w:rsidRPr="008E2343" w:rsidRDefault="00C1139D" w:rsidP="00554CAC">
      <w:pPr>
        <w:autoSpaceDE w:val="0"/>
        <w:autoSpaceDN w:val="0"/>
        <w:adjustRightInd w:val="0"/>
        <w:spacing w:after="0"/>
        <w:ind w:left="720"/>
        <w:rPr>
          <w:rFonts w:eastAsia="Times New Roman" w:cstheme="minorHAnsi"/>
          <w:color w:val="000099"/>
          <w:sz w:val="24"/>
          <w:szCs w:val="24"/>
        </w:rPr>
      </w:pPr>
    </w:p>
    <w:p w14:paraId="087565B4" w14:textId="063FE50F" w:rsidR="00C1139D" w:rsidRDefault="00C1139D" w:rsidP="008E2343">
      <w:pPr>
        <w:numPr>
          <w:ilvl w:val="0"/>
          <w:numId w:val="5"/>
        </w:numPr>
        <w:spacing w:after="0"/>
        <w:rPr>
          <w:rFonts w:cstheme="minorHAnsi"/>
          <w:b/>
          <w:sz w:val="24"/>
          <w:szCs w:val="24"/>
        </w:rPr>
      </w:pPr>
      <w:r w:rsidRPr="00554CAC">
        <w:rPr>
          <w:rFonts w:cstheme="minorHAnsi"/>
          <w:b/>
          <w:noProof/>
          <w:sz w:val="24"/>
          <w:szCs w:val="24"/>
        </w:rPr>
        <w:drawing>
          <wp:inline distT="0" distB="0" distL="0" distR="0" wp14:anchorId="71A21BE8" wp14:editId="731586D1">
            <wp:extent cx="9525" cy="9525"/>
            <wp:effectExtent l="0" t="0" r="0" b="0"/>
            <wp:docPr id="1" name="Picture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554CAC">
        <w:rPr>
          <w:rFonts w:cstheme="minorHAnsi"/>
          <w:b/>
          <w:sz w:val="24"/>
          <w:szCs w:val="24"/>
        </w:rPr>
        <w:t xml:space="preserve">Can you explain what the FOA means on page 6 when it says, “Applicants should describe how they will co-brand the NPRC jointly with ACL”? </w:t>
      </w:r>
    </w:p>
    <w:p w14:paraId="742870B1" w14:textId="77777777" w:rsidR="008E2343" w:rsidRDefault="008E2343" w:rsidP="00554CAC">
      <w:pPr>
        <w:pStyle w:val="Default"/>
        <w:spacing w:line="276" w:lineRule="auto"/>
        <w:rPr>
          <w:rFonts w:asciiTheme="minorHAnsi" w:hAnsiTheme="minorHAnsi" w:cstheme="minorHAnsi"/>
          <w:color w:val="002060"/>
        </w:rPr>
      </w:pPr>
    </w:p>
    <w:p w14:paraId="1ACB5BB2" w14:textId="33CA0598" w:rsidR="00257520" w:rsidRPr="008E2343" w:rsidRDefault="00C1139D" w:rsidP="008E2343">
      <w:pPr>
        <w:pStyle w:val="Default"/>
        <w:spacing w:line="276" w:lineRule="auto"/>
        <w:ind w:left="720"/>
        <w:rPr>
          <w:rFonts w:asciiTheme="minorHAnsi" w:hAnsiTheme="minorHAnsi" w:cstheme="minorHAnsi"/>
          <w:color w:val="000099"/>
        </w:rPr>
      </w:pPr>
      <w:r w:rsidRPr="008E2343">
        <w:rPr>
          <w:rFonts w:asciiTheme="minorHAnsi" w:hAnsiTheme="minorHAnsi" w:cstheme="minorHAnsi"/>
          <w:color w:val="000099"/>
        </w:rPr>
        <w:t>ACL expects the NPRC grantee to work with ACL to brand the NPRC and the NPRC’s products “in such a way that appropriately recognizes and acknowledges ACL’s financial contributions to NPRC activities”</w:t>
      </w:r>
      <w:r w:rsidR="00257520" w:rsidRPr="008E2343">
        <w:rPr>
          <w:rFonts w:asciiTheme="minorHAnsi" w:hAnsiTheme="minorHAnsi" w:cstheme="minorHAnsi"/>
          <w:color w:val="000099"/>
        </w:rPr>
        <w:t xml:space="preserve"> as r</w:t>
      </w:r>
      <w:r w:rsidRPr="008E2343">
        <w:rPr>
          <w:rFonts w:asciiTheme="minorHAnsi" w:hAnsiTheme="minorHAnsi" w:cstheme="minorHAnsi"/>
          <w:color w:val="000099"/>
        </w:rPr>
        <w:t>eference</w:t>
      </w:r>
      <w:r w:rsidR="00257520" w:rsidRPr="008E2343">
        <w:rPr>
          <w:rFonts w:asciiTheme="minorHAnsi" w:hAnsiTheme="minorHAnsi" w:cstheme="minorHAnsi"/>
          <w:color w:val="000099"/>
        </w:rPr>
        <w:t>d on</w:t>
      </w:r>
      <w:r w:rsidRPr="008E2343">
        <w:rPr>
          <w:rFonts w:asciiTheme="minorHAnsi" w:hAnsiTheme="minorHAnsi" w:cstheme="minorHAnsi"/>
          <w:color w:val="000099"/>
        </w:rPr>
        <w:t xml:space="preserve"> p</w:t>
      </w:r>
      <w:r w:rsidR="008E2343" w:rsidRPr="008E2343">
        <w:rPr>
          <w:rFonts w:asciiTheme="minorHAnsi" w:hAnsiTheme="minorHAnsi" w:cstheme="minorHAnsi"/>
          <w:color w:val="000099"/>
        </w:rPr>
        <w:t>ages</w:t>
      </w:r>
      <w:r w:rsidRPr="008E2343">
        <w:rPr>
          <w:rFonts w:asciiTheme="minorHAnsi" w:hAnsiTheme="minorHAnsi" w:cstheme="minorHAnsi"/>
          <w:color w:val="000099"/>
        </w:rPr>
        <w:t xml:space="preserve"> 6, 11</w:t>
      </w:r>
      <w:r w:rsidR="00257520" w:rsidRPr="008E2343">
        <w:rPr>
          <w:rFonts w:asciiTheme="minorHAnsi" w:hAnsiTheme="minorHAnsi" w:cstheme="minorHAnsi"/>
          <w:color w:val="000099"/>
        </w:rPr>
        <w:t xml:space="preserve">.  </w:t>
      </w:r>
    </w:p>
    <w:p w14:paraId="18C8EB45" w14:textId="77777777" w:rsidR="008E2343" w:rsidRPr="008E2343" w:rsidRDefault="008E2343" w:rsidP="008E2343">
      <w:pPr>
        <w:pStyle w:val="Default"/>
        <w:spacing w:line="276" w:lineRule="auto"/>
        <w:ind w:left="720"/>
        <w:rPr>
          <w:rFonts w:asciiTheme="minorHAnsi" w:hAnsiTheme="minorHAnsi" w:cstheme="minorHAnsi"/>
          <w:color w:val="000099"/>
        </w:rPr>
      </w:pPr>
    </w:p>
    <w:p w14:paraId="06898313" w14:textId="22526E97" w:rsidR="00257520" w:rsidRPr="008E2343" w:rsidRDefault="008E2343" w:rsidP="008E2343">
      <w:pPr>
        <w:pStyle w:val="Default"/>
        <w:spacing w:line="276" w:lineRule="auto"/>
        <w:ind w:left="720"/>
        <w:rPr>
          <w:rFonts w:asciiTheme="minorHAnsi" w:hAnsiTheme="minorHAnsi" w:cstheme="minorHAnsi"/>
          <w:color w:val="000099"/>
        </w:rPr>
      </w:pPr>
      <w:r w:rsidRPr="008E2343">
        <w:rPr>
          <w:rFonts w:asciiTheme="minorHAnsi" w:hAnsiTheme="minorHAnsi" w:cstheme="minorHAnsi"/>
          <w:color w:val="000099"/>
        </w:rPr>
        <w:t xml:space="preserve">This includes such things as adherence with </w:t>
      </w:r>
      <w:r w:rsidR="00257520" w:rsidRPr="008E2343">
        <w:rPr>
          <w:rFonts w:asciiTheme="minorHAnsi" w:hAnsiTheme="minorHAnsi" w:cstheme="minorHAnsi"/>
          <w:color w:val="000099"/>
        </w:rPr>
        <w:t xml:space="preserve">HHS Grant Policy Guidelines Section II-70, </w:t>
      </w:r>
      <w:r w:rsidRPr="008E2343">
        <w:rPr>
          <w:rFonts w:asciiTheme="minorHAnsi" w:hAnsiTheme="minorHAnsi" w:cstheme="minorHAnsi"/>
          <w:color w:val="000099"/>
        </w:rPr>
        <w:t xml:space="preserve">in which </w:t>
      </w:r>
      <w:r w:rsidR="00257520" w:rsidRPr="008E2343">
        <w:rPr>
          <w:rFonts w:asciiTheme="minorHAnsi" w:hAnsiTheme="minorHAnsi" w:cstheme="minorHAnsi"/>
          <w:color w:val="000099"/>
        </w:rPr>
        <w:t xml:space="preserve">HHS encourages recipients as a means of sharing knowledge, to arrange for publication of the results and accomplishments of HHS-supported activities. For each publication that results from HHS </w:t>
      </w:r>
      <w:r w:rsidR="00257520" w:rsidRPr="008E2343">
        <w:rPr>
          <w:rFonts w:asciiTheme="minorHAnsi" w:hAnsiTheme="minorHAnsi" w:cstheme="minorHAnsi"/>
          <w:color w:val="000099"/>
        </w:rPr>
        <w:lastRenderedPageBreak/>
        <w:t xml:space="preserve">grant-supported activities, recipients must include an acknowledgment of grant support using one of the following statements: </w:t>
      </w:r>
    </w:p>
    <w:p w14:paraId="4F695F89" w14:textId="77777777" w:rsidR="008E2343" w:rsidRPr="008E2343" w:rsidRDefault="008E2343" w:rsidP="008E2343">
      <w:pPr>
        <w:pStyle w:val="Default"/>
        <w:spacing w:line="276" w:lineRule="auto"/>
        <w:ind w:left="720"/>
        <w:rPr>
          <w:rFonts w:asciiTheme="minorHAnsi" w:hAnsiTheme="minorHAnsi" w:cstheme="minorHAnsi"/>
          <w:color w:val="000099"/>
        </w:rPr>
      </w:pPr>
    </w:p>
    <w:p w14:paraId="64762759" w14:textId="77777777" w:rsidR="00257520" w:rsidRPr="008E2343" w:rsidRDefault="00257520" w:rsidP="008E2343">
      <w:pPr>
        <w:pStyle w:val="Default"/>
        <w:spacing w:line="276" w:lineRule="auto"/>
        <w:ind w:left="1440"/>
        <w:rPr>
          <w:rFonts w:asciiTheme="minorHAnsi" w:hAnsiTheme="minorHAnsi" w:cstheme="minorHAnsi"/>
          <w:color w:val="000099"/>
        </w:rPr>
      </w:pPr>
      <w:r w:rsidRPr="008E2343">
        <w:rPr>
          <w:rFonts w:asciiTheme="minorHAnsi" w:hAnsiTheme="minorHAnsi" w:cstheme="minorHAnsi"/>
          <w:color w:val="000099"/>
        </w:rPr>
        <w:t xml:space="preserve">“This publication was made possible by Grant Number ________ from _________.” </w:t>
      </w:r>
    </w:p>
    <w:p w14:paraId="23D06B0F" w14:textId="77777777" w:rsidR="00257520" w:rsidRPr="008E2343" w:rsidRDefault="00257520" w:rsidP="008E2343">
      <w:pPr>
        <w:pStyle w:val="Default"/>
        <w:spacing w:line="276" w:lineRule="auto"/>
        <w:ind w:left="1440"/>
        <w:rPr>
          <w:rFonts w:asciiTheme="minorHAnsi" w:hAnsiTheme="minorHAnsi" w:cstheme="minorHAnsi"/>
          <w:color w:val="000099"/>
        </w:rPr>
      </w:pPr>
      <w:r w:rsidRPr="008E2343">
        <w:rPr>
          <w:rFonts w:asciiTheme="minorHAnsi" w:hAnsiTheme="minorHAnsi" w:cstheme="minorHAnsi"/>
          <w:color w:val="000099"/>
        </w:rPr>
        <w:t xml:space="preserve">“The project described was supported by Grant Number ________ from ________.” </w:t>
      </w:r>
    </w:p>
    <w:p w14:paraId="0356DDB0" w14:textId="77777777" w:rsidR="008E2343" w:rsidRPr="008E2343" w:rsidRDefault="008E2343" w:rsidP="008E2343">
      <w:pPr>
        <w:pStyle w:val="Default"/>
        <w:spacing w:line="276" w:lineRule="auto"/>
        <w:ind w:left="720"/>
        <w:rPr>
          <w:rFonts w:asciiTheme="minorHAnsi" w:hAnsiTheme="minorHAnsi" w:cstheme="minorHAnsi"/>
          <w:color w:val="000099"/>
        </w:rPr>
      </w:pPr>
    </w:p>
    <w:p w14:paraId="7BDF4F3D" w14:textId="21EAF3DE" w:rsidR="00C1139D" w:rsidRPr="008E2343" w:rsidRDefault="00257520" w:rsidP="008E2343">
      <w:pPr>
        <w:pStyle w:val="Default"/>
        <w:spacing w:line="276" w:lineRule="auto"/>
        <w:ind w:left="720"/>
        <w:rPr>
          <w:rFonts w:asciiTheme="minorHAnsi" w:hAnsiTheme="minorHAnsi" w:cstheme="minorHAnsi"/>
          <w:color w:val="000099"/>
        </w:rPr>
      </w:pPr>
      <w:r w:rsidRPr="008E2343">
        <w:rPr>
          <w:rFonts w:asciiTheme="minorHAnsi" w:hAnsiTheme="minorHAnsi" w:cstheme="minorHAnsi"/>
          <w:color w:val="000099"/>
        </w:rPr>
        <w:t xml:space="preserve">Recipients also must include a disclaimer stating </w:t>
      </w:r>
      <w:r w:rsidR="008E2343" w:rsidRPr="008E2343">
        <w:rPr>
          <w:rFonts w:asciiTheme="minorHAnsi" w:hAnsiTheme="minorHAnsi" w:cstheme="minorHAnsi"/>
          <w:color w:val="000099"/>
        </w:rPr>
        <w:t xml:space="preserve">that the publication’s </w:t>
      </w:r>
      <w:r w:rsidRPr="008E2343">
        <w:rPr>
          <w:rFonts w:asciiTheme="minorHAnsi" w:hAnsiTheme="minorHAnsi" w:cstheme="minorHAnsi"/>
          <w:color w:val="000099"/>
        </w:rPr>
        <w:t xml:space="preserve">contents are solely the responsibility of the authors and do not necessarily represent the official views of </w:t>
      </w:r>
      <w:r w:rsidR="008E2343" w:rsidRPr="008E2343">
        <w:rPr>
          <w:rFonts w:asciiTheme="minorHAnsi" w:hAnsiTheme="minorHAnsi" w:cstheme="minorHAnsi"/>
          <w:color w:val="000099"/>
        </w:rPr>
        <w:t>ACL</w:t>
      </w:r>
      <w:r w:rsidRPr="008E2343">
        <w:rPr>
          <w:rFonts w:asciiTheme="minorHAnsi" w:hAnsiTheme="minorHAnsi" w:cstheme="minorHAnsi"/>
          <w:color w:val="000099"/>
        </w:rPr>
        <w:t xml:space="preserve"> or HHS. </w:t>
      </w:r>
    </w:p>
    <w:p w14:paraId="40EFCE72" w14:textId="77777777" w:rsidR="009B7A5F" w:rsidRPr="00554CAC" w:rsidRDefault="009B7A5F" w:rsidP="00554CAC">
      <w:pPr>
        <w:autoSpaceDE w:val="0"/>
        <w:autoSpaceDN w:val="0"/>
        <w:adjustRightInd w:val="0"/>
        <w:spacing w:after="0"/>
        <w:ind w:left="360"/>
        <w:rPr>
          <w:rFonts w:cstheme="minorHAnsi"/>
          <w:b/>
          <w:color w:val="222222"/>
          <w:sz w:val="24"/>
          <w:szCs w:val="24"/>
        </w:rPr>
      </w:pPr>
    </w:p>
    <w:p w14:paraId="4ACFCBD9" w14:textId="728B6F29" w:rsidR="00C1139D" w:rsidRDefault="00C1139D" w:rsidP="008E2343">
      <w:pPr>
        <w:numPr>
          <w:ilvl w:val="0"/>
          <w:numId w:val="5"/>
        </w:numPr>
        <w:spacing w:after="0"/>
        <w:rPr>
          <w:rFonts w:cstheme="minorHAnsi"/>
          <w:b/>
          <w:sz w:val="24"/>
          <w:szCs w:val="24"/>
        </w:rPr>
      </w:pPr>
      <w:r w:rsidRPr="00554CAC">
        <w:rPr>
          <w:rFonts w:cstheme="minorHAnsi"/>
          <w:b/>
          <w:sz w:val="24"/>
          <w:szCs w:val="24"/>
        </w:rPr>
        <w:t xml:space="preserve">Can you provide a definition of technical assistance? </w:t>
      </w:r>
    </w:p>
    <w:p w14:paraId="20CC14E8" w14:textId="77777777" w:rsidR="00C1139D" w:rsidRPr="00554CAC" w:rsidRDefault="00C1139D" w:rsidP="00554CAC">
      <w:pPr>
        <w:pStyle w:val="BodyText"/>
        <w:spacing w:line="276" w:lineRule="auto"/>
        <w:rPr>
          <w:rFonts w:asciiTheme="minorHAnsi" w:hAnsiTheme="minorHAnsi" w:cstheme="minorHAnsi"/>
        </w:rPr>
      </w:pPr>
    </w:p>
    <w:p w14:paraId="504AD049" w14:textId="37F2C7C1" w:rsidR="00C1139D" w:rsidRPr="00554CAC" w:rsidRDefault="00C1139D" w:rsidP="008E2343">
      <w:pPr>
        <w:pStyle w:val="Default"/>
        <w:spacing w:line="276" w:lineRule="auto"/>
        <w:ind w:left="720"/>
        <w:rPr>
          <w:rFonts w:asciiTheme="minorHAnsi" w:hAnsiTheme="minorHAnsi" w:cstheme="minorHAnsi"/>
          <w:color w:val="002060"/>
        </w:rPr>
      </w:pPr>
      <w:r w:rsidRPr="008E2343">
        <w:rPr>
          <w:rFonts w:asciiTheme="minorHAnsi" w:hAnsiTheme="minorHAnsi" w:cstheme="minorHAnsi"/>
          <w:color w:val="000099"/>
        </w:rPr>
        <w:t>There is no definition of technical assist</w:t>
      </w:r>
      <w:r w:rsidR="008E2343" w:rsidRPr="008E2343">
        <w:rPr>
          <w:rFonts w:asciiTheme="minorHAnsi" w:hAnsiTheme="minorHAnsi" w:cstheme="minorHAnsi"/>
          <w:color w:val="000099"/>
        </w:rPr>
        <w:t>ance in the FOA</w:t>
      </w:r>
      <w:r w:rsidR="008E2343">
        <w:rPr>
          <w:rFonts w:asciiTheme="minorHAnsi" w:hAnsiTheme="minorHAnsi" w:cstheme="minorHAnsi"/>
          <w:color w:val="000099"/>
        </w:rPr>
        <w:t>,</w:t>
      </w:r>
      <w:r w:rsidR="008E2343" w:rsidRPr="008E2343">
        <w:rPr>
          <w:rFonts w:asciiTheme="minorHAnsi" w:hAnsiTheme="minorHAnsi" w:cstheme="minorHAnsi"/>
          <w:color w:val="000099"/>
        </w:rPr>
        <w:t xml:space="preserve"> but in general t</w:t>
      </w:r>
      <w:r w:rsidRPr="008E2343">
        <w:rPr>
          <w:rFonts w:asciiTheme="minorHAnsi" w:hAnsiTheme="minorHAnsi" w:cstheme="minorHAnsi"/>
          <w:color w:val="000099"/>
        </w:rPr>
        <w:t>echnical a</w:t>
      </w:r>
      <w:r w:rsidR="008E2343" w:rsidRPr="008E2343">
        <w:rPr>
          <w:rFonts w:asciiTheme="minorHAnsi" w:hAnsiTheme="minorHAnsi" w:cstheme="minorHAnsi"/>
          <w:color w:val="000099"/>
        </w:rPr>
        <w:t>ssistance</w:t>
      </w:r>
      <w:r w:rsidRPr="008E2343">
        <w:rPr>
          <w:rFonts w:asciiTheme="minorHAnsi" w:hAnsiTheme="minorHAnsi" w:cstheme="minorHAnsi"/>
          <w:color w:val="000099"/>
        </w:rPr>
        <w:t xml:space="preserve"> is</w:t>
      </w:r>
      <w:r w:rsidR="008E2343" w:rsidRPr="008E2343">
        <w:rPr>
          <w:rFonts w:asciiTheme="minorHAnsi" w:hAnsiTheme="minorHAnsi" w:cstheme="minorHAnsi"/>
          <w:color w:val="000099"/>
        </w:rPr>
        <w:t xml:space="preserve"> th</w:t>
      </w:r>
      <w:r w:rsidRPr="008E2343">
        <w:rPr>
          <w:rFonts w:asciiTheme="minorHAnsi" w:hAnsiTheme="minorHAnsi" w:cstheme="minorHAnsi"/>
          <w:color w:val="000099"/>
        </w:rPr>
        <w:t xml:space="preserve">e process of providing targeted support to an organization with a development need or problem. </w:t>
      </w:r>
      <w:r w:rsidR="008E2343" w:rsidRPr="008E2343">
        <w:rPr>
          <w:rFonts w:asciiTheme="minorHAnsi" w:hAnsiTheme="minorHAnsi" w:cstheme="minorHAnsi"/>
          <w:color w:val="000099"/>
        </w:rPr>
        <w:t>Technical assistance</w:t>
      </w:r>
      <w:r w:rsidRPr="008E2343">
        <w:rPr>
          <w:rFonts w:asciiTheme="minorHAnsi" w:hAnsiTheme="minorHAnsi" w:cstheme="minorHAnsi"/>
          <w:color w:val="000099"/>
        </w:rPr>
        <w:t xml:space="preserve"> is one of the most effective methods for building the capacity of an organization. </w:t>
      </w:r>
    </w:p>
    <w:p w14:paraId="61256FB6" w14:textId="77777777" w:rsidR="00C1139D" w:rsidRPr="00554CAC" w:rsidRDefault="00C1139D" w:rsidP="00554CAC">
      <w:pPr>
        <w:autoSpaceDE w:val="0"/>
        <w:autoSpaceDN w:val="0"/>
        <w:adjustRightInd w:val="0"/>
        <w:spacing w:after="0"/>
        <w:ind w:left="720"/>
        <w:rPr>
          <w:rFonts w:eastAsia="Times New Roman" w:cstheme="minorHAnsi"/>
          <w:color w:val="7030A0"/>
          <w:sz w:val="24"/>
          <w:szCs w:val="24"/>
        </w:rPr>
      </w:pPr>
    </w:p>
    <w:p w14:paraId="743B883C" w14:textId="32597EC4" w:rsidR="00C1139D" w:rsidRDefault="00C1139D" w:rsidP="008E2343">
      <w:pPr>
        <w:numPr>
          <w:ilvl w:val="0"/>
          <w:numId w:val="5"/>
        </w:numPr>
        <w:spacing w:after="0"/>
        <w:rPr>
          <w:rFonts w:cstheme="minorHAnsi"/>
          <w:b/>
          <w:sz w:val="24"/>
          <w:szCs w:val="24"/>
        </w:rPr>
      </w:pPr>
      <w:r w:rsidRPr="00554CAC">
        <w:rPr>
          <w:rFonts w:cstheme="minorHAnsi"/>
          <w:b/>
          <w:sz w:val="24"/>
          <w:szCs w:val="24"/>
        </w:rPr>
        <w:t xml:space="preserve">Are organizations allowed to apply for both </w:t>
      </w:r>
      <w:r w:rsidR="00BD610C">
        <w:rPr>
          <w:rFonts w:cstheme="minorHAnsi"/>
          <w:b/>
          <w:sz w:val="24"/>
          <w:szCs w:val="24"/>
        </w:rPr>
        <w:t xml:space="preserve">the </w:t>
      </w:r>
      <w:r w:rsidR="00BD610C" w:rsidRPr="00554CAC">
        <w:rPr>
          <w:rFonts w:cstheme="minorHAnsi"/>
          <w:b/>
          <w:sz w:val="24"/>
          <w:szCs w:val="24"/>
        </w:rPr>
        <w:t>National Paralysis Resource Center and the State PRC Pilot Programs</w:t>
      </w:r>
      <w:r w:rsidRPr="00554CAC">
        <w:rPr>
          <w:rFonts w:cstheme="minorHAnsi"/>
          <w:b/>
          <w:sz w:val="24"/>
          <w:szCs w:val="24"/>
        </w:rPr>
        <w:t xml:space="preserve">? And if so, are they required to indicate that they've applied for </w:t>
      </w:r>
      <w:r w:rsidR="00BD610C">
        <w:rPr>
          <w:rFonts w:cstheme="minorHAnsi"/>
          <w:b/>
          <w:sz w:val="24"/>
          <w:szCs w:val="24"/>
        </w:rPr>
        <w:t>both in their applications</w:t>
      </w:r>
      <w:r w:rsidRPr="00554CAC">
        <w:rPr>
          <w:rFonts w:cstheme="minorHAnsi"/>
          <w:b/>
          <w:sz w:val="24"/>
          <w:szCs w:val="24"/>
        </w:rPr>
        <w:t>?</w:t>
      </w:r>
    </w:p>
    <w:p w14:paraId="2AE64DF3" w14:textId="77777777" w:rsidR="00C1139D" w:rsidRPr="00554CAC" w:rsidRDefault="00C1139D" w:rsidP="00554CAC">
      <w:pPr>
        <w:autoSpaceDE w:val="0"/>
        <w:autoSpaceDN w:val="0"/>
        <w:adjustRightInd w:val="0"/>
        <w:spacing w:after="0"/>
        <w:ind w:left="720"/>
        <w:rPr>
          <w:rFonts w:eastAsia="Times New Roman" w:cstheme="minorHAnsi"/>
          <w:b/>
          <w:color w:val="222222"/>
          <w:sz w:val="24"/>
          <w:szCs w:val="24"/>
        </w:rPr>
      </w:pPr>
    </w:p>
    <w:p w14:paraId="60492955" w14:textId="2DAD3F2D" w:rsidR="00C1139D" w:rsidRPr="00554CAC" w:rsidRDefault="008E2343" w:rsidP="008E2343">
      <w:pPr>
        <w:pStyle w:val="Default"/>
        <w:spacing w:line="276" w:lineRule="auto"/>
        <w:ind w:left="720"/>
        <w:rPr>
          <w:rFonts w:asciiTheme="minorHAnsi" w:hAnsiTheme="minorHAnsi" w:cstheme="minorHAnsi"/>
          <w:color w:val="002060"/>
        </w:rPr>
      </w:pPr>
      <w:r>
        <w:rPr>
          <w:rFonts w:asciiTheme="minorHAnsi" w:hAnsiTheme="minorHAnsi" w:cstheme="minorHAnsi"/>
          <w:color w:val="000099"/>
        </w:rPr>
        <w:t>Organizations</w:t>
      </w:r>
      <w:r w:rsidR="00C1139D" w:rsidRPr="008E2343">
        <w:rPr>
          <w:rFonts w:asciiTheme="minorHAnsi" w:hAnsiTheme="minorHAnsi" w:cstheme="minorHAnsi"/>
          <w:color w:val="000099"/>
        </w:rPr>
        <w:t xml:space="preserve"> may apply for both </w:t>
      </w:r>
      <w:r w:rsidRPr="008E2343">
        <w:rPr>
          <w:rFonts w:asciiTheme="minorHAnsi" w:hAnsiTheme="minorHAnsi" w:cstheme="minorHAnsi"/>
          <w:color w:val="000099"/>
        </w:rPr>
        <w:t>grants</w:t>
      </w:r>
      <w:r>
        <w:rPr>
          <w:rFonts w:asciiTheme="minorHAnsi" w:hAnsiTheme="minorHAnsi" w:cstheme="minorHAnsi"/>
          <w:color w:val="000099"/>
        </w:rPr>
        <w:t>,</w:t>
      </w:r>
      <w:r w:rsidRPr="008E2343">
        <w:rPr>
          <w:rFonts w:asciiTheme="minorHAnsi" w:hAnsiTheme="minorHAnsi" w:cstheme="minorHAnsi"/>
          <w:color w:val="000099"/>
        </w:rPr>
        <w:t xml:space="preserve"> </w:t>
      </w:r>
      <w:r w:rsidR="00BD610C">
        <w:rPr>
          <w:rFonts w:asciiTheme="minorHAnsi" w:hAnsiTheme="minorHAnsi" w:cstheme="minorHAnsi"/>
          <w:color w:val="000099"/>
        </w:rPr>
        <w:t>and there is no</w:t>
      </w:r>
      <w:r w:rsidR="00C1139D" w:rsidRPr="008E2343">
        <w:rPr>
          <w:rFonts w:asciiTheme="minorHAnsi" w:hAnsiTheme="minorHAnsi" w:cstheme="minorHAnsi"/>
          <w:color w:val="000099"/>
        </w:rPr>
        <w:t xml:space="preserve"> requirement within the FOA</w:t>
      </w:r>
      <w:r w:rsidR="00BD610C">
        <w:rPr>
          <w:rFonts w:asciiTheme="minorHAnsi" w:hAnsiTheme="minorHAnsi" w:cstheme="minorHAnsi"/>
          <w:color w:val="000099"/>
        </w:rPr>
        <w:t>s</w:t>
      </w:r>
      <w:r w:rsidR="00C1139D" w:rsidRPr="008E2343">
        <w:rPr>
          <w:rFonts w:asciiTheme="minorHAnsi" w:hAnsiTheme="minorHAnsi" w:cstheme="minorHAnsi"/>
          <w:color w:val="000099"/>
        </w:rPr>
        <w:t xml:space="preserve"> </w:t>
      </w:r>
      <w:r>
        <w:rPr>
          <w:rFonts w:asciiTheme="minorHAnsi" w:hAnsiTheme="minorHAnsi" w:cstheme="minorHAnsi"/>
          <w:color w:val="000099"/>
        </w:rPr>
        <w:t>that they must</w:t>
      </w:r>
      <w:r w:rsidR="00C1139D" w:rsidRPr="008E2343">
        <w:rPr>
          <w:rFonts w:asciiTheme="minorHAnsi" w:hAnsiTheme="minorHAnsi" w:cstheme="minorHAnsi"/>
          <w:color w:val="000099"/>
        </w:rPr>
        <w:t xml:space="preserve"> indicate that they are applying for both.</w:t>
      </w:r>
    </w:p>
    <w:p w14:paraId="71C39BB6" w14:textId="77777777" w:rsidR="002B40C5" w:rsidRPr="00554CAC" w:rsidRDefault="002B40C5" w:rsidP="00554CAC">
      <w:pPr>
        <w:spacing w:after="0"/>
        <w:rPr>
          <w:rFonts w:cstheme="minorHAnsi"/>
          <w:sz w:val="24"/>
          <w:szCs w:val="24"/>
        </w:rPr>
      </w:pPr>
    </w:p>
    <w:p w14:paraId="78397C4A" w14:textId="007457FF" w:rsidR="008C0F72" w:rsidRDefault="008C0F72" w:rsidP="008E2343">
      <w:pPr>
        <w:numPr>
          <w:ilvl w:val="0"/>
          <w:numId w:val="5"/>
        </w:numPr>
        <w:spacing w:after="0"/>
        <w:rPr>
          <w:rFonts w:cstheme="minorHAnsi"/>
          <w:b/>
          <w:sz w:val="24"/>
          <w:szCs w:val="24"/>
        </w:rPr>
      </w:pPr>
      <w:r w:rsidRPr="00554CAC">
        <w:rPr>
          <w:rFonts w:cstheme="minorHAnsi"/>
          <w:b/>
          <w:sz w:val="24"/>
          <w:szCs w:val="24"/>
        </w:rPr>
        <w:t xml:space="preserve">What are the “conflict of interest” rules for grant recipients? </w:t>
      </w:r>
    </w:p>
    <w:p w14:paraId="506227BB" w14:textId="77777777" w:rsidR="008C0F72" w:rsidRPr="00554CAC" w:rsidRDefault="008C0F72" w:rsidP="00554CAC">
      <w:pPr>
        <w:autoSpaceDE w:val="0"/>
        <w:autoSpaceDN w:val="0"/>
        <w:adjustRightInd w:val="0"/>
        <w:spacing w:after="0"/>
        <w:ind w:left="720"/>
        <w:rPr>
          <w:rFonts w:eastAsia="Times New Roman" w:cstheme="minorHAnsi"/>
          <w:b/>
          <w:color w:val="222222"/>
          <w:sz w:val="24"/>
          <w:szCs w:val="24"/>
        </w:rPr>
      </w:pPr>
    </w:p>
    <w:p w14:paraId="609B0CB8" w14:textId="2226F57B" w:rsidR="00DA3C12" w:rsidRPr="00554CAC" w:rsidRDefault="00CD0D32" w:rsidP="008E2343">
      <w:pPr>
        <w:pStyle w:val="Default"/>
        <w:spacing w:line="276" w:lineRule="auto"/>
        <w:ind w:left="720"/>
        <w:rPr>
          <w:rFonts w:asciiTheme="minorHAnsi" w:hAnsiTheme="minorHAnsi" w:cstheme="minorHAnsi"/>
          <w:color w:val="002060"/>
        </w:rPr>
      </w:pPr>
      <w:r>
        <w:rPr>
          <w:rFonts w:asciiTheme="minorHAnsi" w:hAnsiTheme="minorHAnsi" w:cstheme="minorHAnsi"/>
          <w:color w:val="000099"/>
        </w:rPr>
        <w:t>A g</w:t>
      </w:r>
      <w:r w:rsidR="00085535" w:rsidRPr="008E2343">
        <w:rPr>
          <w:rFonts w:asciiTheme="minorHAnsi" w:hAnsiTheme="minorHAnsi" w:cstheme="minorHAnsi"/>
          <w:color w:val="000099"/>
        </w:rPr>
        <w:t xml:space="preserve">rant recipient or a </w:t>
      </w:r>
      <w:r w:rsidR="00DA3C12" w:rsidRPr="008E2343">
        <w:rPr>
          <w:rFonts w:asciiTheme="minorHAnsi" w:hAnsiTheme="minorHAnsi" w:cstheme="minorHAnsi"/>
          <w:color w:val="000099"/>
        </w:rPr>
        <w:t xml:space="preserve">non-Federal entity must maintain written standards of conduct covering conflicts of interest and governing the actions of its employees engaged in the selection, award and administration of contracts. No employee, officer, or agent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 The officers, employees, and agents of the non-Federal entity may neither solicit nor accept gratuities, favors, or anything of monetary value from contractors or parties to subcontracts. However, non-Federal entities may set standards for situations in which the financial interest is not substantial or the gift is an unsolicited item of nominal value. The standards of conduct must provide for disciplinary actions to be applied for violations of such standards by officers, employees, or agents of the non-Federal entity. </w:t>
      </w:r>
      <w:r w:rsidR="001C6A51" w:rsidRPr="008E2343">
        <w:rPr>
          <w:rFonts w:asciiTheme="minorHAnsi" w:hAnsiTheme="minorHAnsi" w:cstheme="minorHAnsi"/>
          <w:color w:val="000099"/>
        </w:rPr>
        <w:t>(45 CFR 75.327(c)(1)</w:t>
      </w:r>
    </w:p>
    <w:p w14:paraId="3743DC3D" w14:textId="77777777" w:rsidR="00D60422" w:rsidRPr="00554CAC" w:rsidRDefault="00D60422" w:rsidP="00554CAC">
      <w:pPr>
        <w:autoSpaceDE w:val="0"/>
        <w:autoSpaceDN w:val="0"/>
        <w:adjustRightInd w:val="0"/>
        <w:spacing w:after="0"/>
        <w:rPr>
          <w:rFonts w:eastAsia="Times New Roman" w:cstheme="minorHAnsi"/>
          <w:color w:val="7030A0"/>
          <w:sz w:val="24"/>
          <w:szCs w:val="24"/>
        </w:rPr>
      </w:pPr>
    </w:p>
    <w:p w14:paraId="4763EF4C" w14:textId="463730B2" w:rsidR="008E2343" w:rsidRPr="00CD0D32" w:rsidRDefault="008E2343" w:rsidP="00CD0D32">
      <w:pPr>
        <w:numPr>
          <w:ilvl w:val="0"/>
          <w:numId w:val="5"/>
        </w:numPr>
        <w:spacing w:after="0"/>
        <w:rPr>
          <w:rFonts w:cstheme="minorHAnsi"/>
          <w:b/>
          <w:sz w:val="24"/>
          <w:szCs w:val="24"/>
        </w:rPr>
      </w:pPr>
      <w:r w:rsidRPr="00554CAC">
        <w:rPr>
          <w:rFonts w:cstheme="minorHAnsi"/>
          <w:b/>
          <w:sz w:val="24"/>
          <w:szCs w:val="24"/>
        </w:rPr>
        <w:t xml:space="preserve">How do you envision the relationship </w:t>
      </w:r>
      <w:r w:rsidR="008E27C5">
        <w:rPr>
          <w:rFonts w:cstheme="minorHAnsi"/>
          <w:b/>
          <w:sz w:val="24"/>
          <w:szCs w:val="24"/>
        </w:rPr>
        <w:t xml:space="preserve">between the </w:t>
      </w:r>
      <w:r w:rsidR="008E27C5" w:rsidRPr="00554CAC">
        <w:rPr>
          <w:rFonts w:cstheme="minorHAnsi"/>
          <w:b/>
          <w:sz w:val="24"/>
          <w:szCs w:val="24"/>
        </w:rPr>
        <w:t xml:space="preserve">National Paralysis Resource Center and the State PRC Pilot Programs </w:t>
      </w:r>
      <w:r w:rsidRPr="00CD0D32">
        <w:rPr>
          <w:rFonts w:cstheme="minorHAnsi"/>
          <w:b/>
          <w:sz w:val="24"/>
          <w:szCs w:val="24"/>
        </w:rPr>
        <w:t xml:space="preserve">with regards to the </w:t>
      </w:r>
      <w:r w:rsidR="00CD0D32">
        <w:rPr>
          <w:rFonts w:cstheme="minorHAnsi"/>
          <w:b/>
          <w:sz w:val="24"/>
          <w:szCs w:val="24"/>
        </w:rPr>
        <w:t>Quality of Life subaward</w:t>
      </w:r>
      <w:r w:rsidRPr="00CD0D32">
        <w:rPr>
          <w:rFonts w:cstheme="minorHAnsi"/>
          <w:b/>
          <w:sz w:val="24"/>
          <w:szCs w:val="24"/>
        </w:rPr>
        <w:t xml:space="preserve"> program and technical assistance? </w:t>
      </w:r>
      <w:r w:rsidR="00CD0D32" w:rsidRPr="00CD0D32">
        <w:rPr>
          <w:rFonts w:cstheme="minorHAnsi"/>
          <w:b/>
          <w:sz w:val="24"/>
          <w:szCs w:val="24"/>
        </w:rPr>
        <w:t>Will there be</w:t>
      </w:r>
      <w:r w:rsidR="00CD0D32" w:rsidRPr="00554CAC">
        <w:rPr>
          <w:rFonts w:cstheme="minorHAnsi"/>
          <w:b/>
          <w:sz w:val="24"/>
          <w:szCs w:val="24"/>
        </w:rPr>
        <w:t xml:space="preserve"> a shared database system? </w:t>
      </w:r>
    </w:p>
    <w:p w14:paraId="0620DBC1" w14:textId="77777777" w:rsidR="00CD0D32" w:rsidRPr="00CD0D32" w:rsidRDefault="00CD0D32" w:rsidP="008E2343">
      <w:pPr>
        <w:spacing w:after="0"/>
        <w:ind w:left="720"/>
        <w:rPr>
          <w:rFonts w:cstheme="minorHAnsi"/>
          <w:color w:val="000000"/>
          <w:sz w:val="24"/>
          <w:szCs w:val="24"/>
        </w:rPr>
      </w:pPr>
    </w:p>
    <w:p w14:paraId="5FE00DC0" w14:textId="414404BB" w:rsidR="008E2343" w:rsidRPr="008E27C5" w:rsidRDefault="00CD0D32" w:rsidP="008E2343">
      <w:pPr>
        <w:spacing w:after="0"/>
        <w:ind w:left="720"/>
        <w:rPr>
          <w:rFonts w:eastAsia="Times New Roman" w:cstheme="minorHAnsi"/>
          <w:color w:val="000099"/>
          <w:sz w:val="24"/>
          <w:szCs w:val="24"/>
        </w:rPr>
      </w:pPr>
      <w:r w:rsidRPr="008E27C5">
        <w:rPr>
          <w:rFonts w:cstheme="minorHAnsi"/>
          <w:color w:val="000099"/>
          <w:sz w:val="24"/>
          <w:szCs w:val="24"/>
        </w:rPr>
        <w:t>The NPRC grantee will w</w:t>
      </w:r>
      <w:r w:rsidRPr="00CD0D32">
        <w:rPr>
          <w:rFonts w:cstheme="minorHAnsi"/>
          <w:color w:val="000099"/>
          <w:sz w:val="24"/>
          <w:szCs w:val="24"/>
        </w:rPr>
        <w:t xml:space="preserve">ork with </w:t>
      </w:r>
      <w:r w:rsidR="008E27C5" w:rsidRPr="008E27C5">
        <w:rPr>
          <w:rFonts w:cstheme="minorHAnsi"/>
          <w:color w:val="000099"/>
          <w:sz w:val="24"/>
          <w:szCs w:val="24"/>
        </w:rPr>
        <w:t xml:space="preserve">and through </w:t>
      </w:r>
      <w:r w:rsidRPr="00CD0D32">
        <w:rPr>
          <w:rFonts w:cstheme="minorHAnsi"/>
          <w:color w:val="000099"/>
          <w:sz w:val="24"/>
          <w:szCs w:val="24"/>
        </w:rPr>
        <w:t>ACL to provide TA materials and resources to the PRC State Pilot Program grantees</w:t>
      </w:r>
      <w:r w:rsidR="008E27C5" w:rsidRPr="008E27C5">
        <w:rPr>
          <w:rFonts w:cstheme="minorHAnsi"/>
          <w:color w:val="000099"/>
          <w:sz w:val="24"/>
          <w:szCs w:val="24"/>
        </w:rPr>
        <w:t>, as appropriate</w:t>
      </w:r>
      <w:r w:rsidRPr="008E27C5">
        <w:rPr>
          <w:rFonts w:cstheme="minorHAnsi"/>
          <w:color w:val="000099"/>
          <w:sz w:val="24"/>
          <w:szCs w:val="24"/>
        </w:rPr>
        <w:t xml:space="preserve"> (page 11)</w:t>
      </w:r>
      <w:r w:rsidR="008E27C5" w:rsidRPr="008E27C5">
        <w:rPr>
          <w:rFonts w:cstheme="minorHAnsi"/>
          <w:color w:val="000099"/>
          <w:sz w:val="24"/>
          <w:szCs w:val="24"/>
        </w:rPr>
        <w:t>.</w:t>
      </w:r>
      <w:r w:rsidRPr="008E27C5">
        <w:rPr>
          <w:rFonts w:cstheme="minorHAnsi"/>
          <w:color w:val="000099"/>
          <w:sz w:val="24"/>
          <w:szCs w:val="24"/>
        </w:rPr>
        <w:t xml:space="preserve"> There are no plans for a shared database system.</w:t>
      </w:r>
    </w:p>
    <w:p w14:paraId="00F51843" w14:textId="77777777" w:rsidR="00CD0D32" w:rsidRPr="00CD0D32" w:rsidRDefault="00CD0D32" w:rsidP="00CD0D32">
      <w:pPr>
        <w:autoSpaceDE w:val="0"/>
        <w:autoSpaceDN w:val="0"/>
        <w:adjustRightInd w:val="0"/>
        <w:spacing w:after="0" w:line="240" w:lineRule="auto"/>
        <w:rPr>
          <w:rFonts w:cstheme="minorHAnsi"/>
          <w:color w:val="000000"/>
          <w:sz w:val="24"/>
          <w:szCs w:val="24"/>
        </w:rPr>
      </w:pPr>
    </w:p>
    <w:p w14:paraId="4164F17E" w14:textId="161D0DCF" w:rsidR="00974202" w:rsidRDefault="00974202" w:rsidP="008E27C5">
      <w:pPr>
        <w:numPr>
          <w:ilvl w:val="0"/>
          <w:numId w:val="5"/>
        </w:numPr>
        <w:spacing w:after="0"/>
        <w:rPr>
          <w:rFonts w:cstheme="minorHAnsi"/>
          <w:b/>
          <w:sz w:val="24"/>
          <w:szCs w:val="24"/>
        </w:rPr>
      </w:pPr>
      <w:r w:rsidRPr="00554CAC">
        <w:rPr>
          <w:rFonts w:cstheme="minorHAnsi"/>
          <w:b/>
          <w:sz w:val="24"/>
          <w:szCs w:val="24"/>
        </w:rPr>
        <w:t>Is there going to be consistency between the subaward processes of the National Paralysis Resource Center and the State PRC Pilot Programs with respect to the review process, application, evaluation, reporting, timeline</w:t>
      </w:r>
      <w:r w:rsidR="008E27C5">
        <w:rPr>
          <w:rFonts w:cstheme="minorHAnsi"/>
          <w:b/>
          <w:sz w:val="24"/>
          <w:szCs w:val="24"/>
        </w:rPr>
        <w:t>,</w:t>
      </w:r>
      <w:r w:rsidRPr="00554CAC">
        <w:rPr>
          <w:rFonts w:cstheme="minorHAnsi"/>
          <w:b/>
          <w:sz w:val="24"/>
          <w:szCs w:val="24"/>
        </w:rPr>
        <w:t xml:space="preserve"> and priority areas?</w:t>
      </w:r>
    </w:p>
    <w:p w14:paraId="589146BD" w14:textId="77777777" w:rsidR="00D60422" w:rsidRPr="00554CAC" w:rsidRDefault="00D60422" w:rsidP="00554CAC">
      <w:pPr>
        <w:autoSpaceDE w:val="0"/>
        <w:autoSpaceDN w:val="0"/>
        <w:adjustRightInd w:val="0"/>
        <w:spacing w:after="0"/>
        <w:rPr>
          <w:rFonts w:eastAsia="Times New Roman" w:cstheme="minorHAnsi"/>
          <w:color w:val="7030A0"/>
          <w:sz w:val="24"/>
          <w:szCs w:val="24"/>
        </w:rPr>
      </w:pPr>
    </w:p>
    <w:p w14:paraId="74B17998" w14:textId="221DAE32" w:rsidR="00974202" w:rsidRPr="00554CAC" w:rsidRDefault="008E27C5" w:rsidP="008E27C5">
      <w:pPr>
        <w:pStyle w:val="Default"/>
        <w:spacing w:line="276" w:lineRule="auto"/>
        <w:ind w:left="720"/>
        <w:rPr>
          <w:rFonts w:asciiTheme="minorHAnsi" w:hAnsiTheme="minorHAnsi" w:cstheme="minorHAnsi"/>
          <w:b/>
          <w:color w:val="222222"/>
        </w:rPr>
      </w:pPr>
      <w:r w:rsidRPr="008E27C5">
        <w:rPr>
          <w:rFonts w:asciiTheme="minorHAnsi" w:hAnsiTheme="minorHAnsi" w:cstheme="minorHAnsi"/>
          <w:color w:val="000099"/>
        </w:rPr>
        <w:t>Within the parameters laid out in the respective FOAs, each grantee will design their own approach to the subaward proce</w:t>
      </w:r>
      <w:r>
        <w:rPr>
          <w:rFonts w:asciiTheme="minorHAnsi" w:hAnsiTheme="minorHAnsi" w:cstheme="minorHAnsi"/>
          <w:color w:val="000099"/>
        </w:rPr>
        <w:t>sses</w:t>
      </w:r>
      <w:r w:rsidRPr="008E27C5">
        <w:rPr>
          <w:rFonts w:asciiTheme="minorHAnsi" w:hAnsiTheme="minorHAnsi" w:cstheme="minorHAnsi"/>
          <w:color w:val="000099"/>
        </w:rPr>
        <w:t>.</w:t>
      </w:r>
      <w:r>
        <w:rPr>
          <w:rFonts w:asciiTheme="minorHAnsi" w:hAnsiTheme="minorHAnsi" w:cstheme="minorHAnsi"/>
          <w:color w:val="000099"/>
        </w:rPr>
        <w:t xml:space="preserve"> </w:t>
      </w:r>
      <w:r w:rsidR="00D60422" w:rsidRPr="008E27C5">
        <w:rPr>
          <w:rFonts w:asciiTheme="minorHAnsi" w:hAnsiTheme="minorHAnsi" w:cstheme="minorHAnsi"/>
          <w:color w:val="000099"/>
        </w:rPr>
        <w:t>The ACL project officer will work closely with the PRC State Pilot Program</w:t>
      </w:r>
      <w:r>
        <w:rPr>
          <w:rFonts w:asciiTheme="minorHAnsi" w:hAnsiTheme="minorHAnsi" w:cstheme="minorHAnsi"/>
          <w:color w:val="000099"/>
        </w:rPr>
        <w:t xml:space="preserve"> grantees</w:t>
      </w:r>
      <w:r w:rsidR="00D60422" w:rsidRPr="008E27C5">
        <w:rPr>
          <w:rFonts w:asciiTheme="minorHAnsi" w:hAnsiTheme="minorHAnsi" w:cstheme="minorHAnsi"/>
          <w:color w:val="000099"/>
        </w:rPr>
        <w:t xml:space="preserve"> and the NPRC </w:t>
      </w:r>
      <w:r>
        <w:rPr>
          <w:rFonts w:asciiTheme="minorHAnsi" w:hAnsiTheme="minorHAnsi" w:cstheme="minorHAnsi"/>
          <w:color w:val="000099"/>
        </w:rPr>
        <w:t xml:space="preserve">grantee </w:t>
      </w:r>
      <w:r w:rsidR="00D60422" w:rsidRPr="008E27C5">
        <w:rPr>
          <w:rFonts w:asciiTheme="minorHAnsi" w:hAnsiTheme="minorHAnsi" w:cstheme="minorHAnsi"/>
          <w:color w:val="000099"/>
        </w:rPr>
        <w:t xml:space="preserve">to avoid duplication of subawards within the Pilot states. </w:t>
      </w:r>
    </w:p>
    <w:p w14:paraId="526B3957" w14:textId="77777777" w:rsidR="000F3B4A" w:rsidRPr="00554CAC" w:rsidRDefault="000F3B4A" w:rsidP="00554CAC">
      <w:pPr>
        <w:pStyle w:val="ListParagraph"/>
        <w:autoSpaceDE w:val="0"/>
        <w:autoSpaceDN w:val="0"/>
        <w:adjustRightInd w:val="0"/>
        <w:spacing w:after="0"/>
        <w:rPr>
          <w:rFonts w:eastAsia="Times New Roman" w:cstheme="minorHAnsi"/>
          <w:b/>
          <w:color w:val="222222"/>
          <w:sz w:val="24"/>
          <w:szCs w:val="24"/>
        </w:rPr>
      </w:pPr>
    </w:p>
    <w:p w14:paraId="32E8F1D8" w14:textId="6122FB37" w:rsidR="00C82151" w:rsidRDefault="00C82151" w:rsidP="008E27C5">
      <w:pPr>
        <w:numPr>
          <w:ilvl w:val="0"/>
          <w:numId w:val="5"/>
        </w:numPr>
        <w:spacing w:after="0"/>
        <w:rPr>
          <w:rFonts w:cstheme="minorHAnsi"/>
          <w:b/>
          <w:sz w:val="24"/>
          <w:szCs w:val="24"/>
        </w:rPr>
      </w:pPr>
      <w:r w:rsidRPr="00554CAC">
        <w:rPr>
          <w:rFonts w:cstheme="minorHAnsi"/>
          <w:b/>
          <w:sz w:val="24"/>
          <w:szCs w:val="24"/>
        </w:rPr>
        <w:t xml:space="preserve">Do paralysis-related educational materials and products, created as a result of the </w:t>
      </w:r>
      <w:r w:rsidR="00BD610C">
        <w:rPr>
          <w:rFonts w:cstheme="minorHAnsi"/>
          <w:b/>
          <w:sz w:val="24"/>
          <w:szCs w:val="24"/>
        </w:rPr>
        <w:t xml:space="preserve">National </w:t>
      </w:r>
      <w:r w:rsidRPr="00554CAC">
        <w:rPr>
          <w:rFonts w:cstheme="minorHAnsi"/>
          <w:b/>
          <w:sz w:val="24"/>
          <w:szCs w:val="24"/>
        </w:rPr>
        <w:t xml:space="preserve">Paralysis Resource Center grants, become the property of the </w:t>
      </w:r>
      <w:r w:rsidR="00BD610C">
        <w:rPr>
          <w:rFonts w:cstheme="minorHAnsi"/>
          <w:b/>
          <w:sz w:val="24"/>
          <w:szCs w:val="24"/>
        </w:rPr>
        <w:t>N</w:t>
      </w:r>
      <w:r w:rsidRPr="00554CAC">
        <w:rPr>
          <w:rFonts w:cstheme="minorHAnsi"/>
          <w:b/>
          <w:sz w:val="24"/>
          <w:szCs w:val="24"/>
        </w:rPr>
        <w:t>PRC?</w:t>
      </w:r>
    </w:p>
    <w:p w14:paraId="6EC885FC" w14:textId="77777777" w:rsidR="00974202" w:rsidRPr="00554CAC" w:rsidRDefault="00974202" w:rsidP="00554CAC">
      <w:pPr>
        <w:pStyle w:val="Default"/>
        <w:spacing w:line="276" w:lineRule="auto"/>
        <w:rPr>
          <w:rFonts w:asciiTheme="minorHAnsi" w:hAnsiTheme="minorHAnsi" w:cstheme="minorHAnsi"/>
        </w:rPr>
      </w:pPr>
      <w:r w:rsidRPr="00554CAC">
        <w:rPr>
          <w:rFonts w:asciiTheme="minorHAnsi" w:hAnsiTheme="minorHAnsi" w:cstheme="minorHAnsi"/>
        </w:rPr>
        <w:t xml:space="preserve">  </w:t>
      </w:r>
    </w:p>
    <w:p w14:paraId="3A7FD4CF" w14:textId="2B8C00EC" w:rsidR="005C145E" w:rsidRPr="00554CAC" w:rsidRDefault="005C145E" w:rsidP="008E27C5">
      <w:pPr>
        <w:pStyle w:val="Default"/>
        <w:spacing w:line="276" w:lineRule="auto"/>
        <w:ind w:left="720"/>
        <w:rPr>
          <w:rFonts w:asciiTheme="minorHAnsi" w:hAnsiTheme="minorHAnsi" w:cstheme="minorHAnsi"/>
          <w:color w:val="002060"/>
        </w:rPr>
      </w:pPr>
      <w:r w:rsidRPr="008E27C5">
        <w:rPr>
          <w:rFonts w:asciiTheme="minorHAnsi" w:hAnsiTheme="minorHAnsi" w:cstheme="minorHAnsi"/>
          <w:color w:val="000099"/>
        </w:rPr>
        <w:t>Regarding the rights to data and intangible and copyrights, please refer to th</w:t>
      </w:r>
      <w:r w:rsidR="008E27C5" w:rsidRPr="008E27C5">
        <w:rPr>
          <w:rFonts w:asciiTheme="minorHAnsi" w:hAnsiTheme="minorHAnsi" w:cstheme="minorHAnsi"/>
          <w:color w:val="000099"/>
        </w:rPr>
        <w:t>e following policies:</w:t>
      </w:r>
    </w:p>
    <w:p w14:paraId="754A9BB3" w14:textId="77777777" w:rsidR="005C145E" w:rsidRPr="00554CAC" w:rsidRDefault="005C145E" w:rsidP="00554CAC">
      <w:pPr>
        <w:pStyle w:val="Default"/>
        <w:spacing w:line="276" w:lineRule="auto"/>
        <w:rPr>
          <w:rFonts w:asciiTheme="minorHAnsi" w:hAnsiTheme="minorHAnsi" w:cstheme="minorHAnsi"/>
          <w:color w:val="002060"/>
        </w:rPr>
      </w:pPr>
    </w:p>
    <w:p w14:paraId="235B974A" w14:textId="783056CF" w:rsidR="005C145E" w:rsidRPr="008E27C5" w:rsidRDefault="00BD610C" w:rsidP="008E27C5">
      <w:pPr>
        <w:pStyle w:val="Default"/>
        <w:spacing w:line="276" w:lineRule="auto"/>
        <w:ind w:left="1080"/>
        <w:rPr>
          <w:rFonts w:asciiTheme="minorHAnsi" w:hAnsiTheme="minorHAnsi" w:cstheme="minorHAnsi"/>
          <w:i/>
          <w:color w:val="000099"/>
        </w:rPr>
      </w:pPr>
      <w:hyperlink r:id="rId9" w:tooltip="Code of Federal Regulations" w:history="1">
        <w:r w:rsidR="005C145E" w:rsidRPr="008E27C5">
          <w:rPr>
            <w:rFonts w:asciiTheme="minorHAnsi" w:hAnsiTheme="minorHAnsi" w:cstheme="minorHAnsi"/>
            <w:i/>
            <w:color w:val="000099"/>
          </w:rPr>
          <w:t>CFR</w:t>
        </w:r>
      </w:hyperlink>
      <w:r w:rsidR="005C145E" w:rsidRPr="008E27C5">
        <w:rPr>
          <w:rFonts w:asciiTheme="minorHAnsi" w:hAnsiTheme="minorHAnsi" w:cstheme="minorHAnsi"/>
          <w:i/>
          <w:color w:val="000099"/>
        </w:rPr>
        <w:t xml:space="preserve"> › </w:t>
      </w:r>
      <w:hyperlink r:id="rId10" w:tooltip="Title 45 - Public Welfare" w:history="1">
        <w:r w:rsidR="005C145E" w:rsidRPr="008E27C5">
          <w:rPr>
            <w:rFonts w:asciiTheme="minorHAnsi" w:hAnsiTheme="minorHAnsi" w:cstheme="minorHAnsi"/>
            <w:i/>
            <w:color w:val="000099"/>
          </w:rPr>
          <w:t>Title 45</w:t>
        </w:r>
      </w:hyperlink>
      <w:r w:rsidR="005C145E" w:rsidRPr="008E27C5">
        <w:rPr>
          <w:rFonts w:asciiTheme="minorHAnsi" w:hAnsiTheme="minorHAnsi" w:cstheme="minorHAnsi"/>
          <w:i/>
          <w:color w:val="000099"/>
        </w:rPr>
        <w:t xml:space="preserve"> › </w:t>
      </w:r>
      <w:hyperlink r:id="rId11" w:tooltip="Chapter A - Department of Health and Human Services" w:history="1">
        <w:r w:rsidR="005C145E" w:rsidRPr="008E27C5">
          <w:rPr>
            <w:rFonts w:asciiTheme="minorHAnsi" w:hAnsiTheme="minorHAnsi" w:cstheme="minorHAnsi"/>
            <w:i/>
            <w:color w:val="000099"/>
          </w:rPr>
          <w:t>Chapter A</w:t>
        </w:r>
      </w:hyperlink>
      <w:r w:rsidR="005C145E" w:rsidRPr="008E27C5">
        <w:rPr>
          <w:rFonts w:asciiTheme="minorHAnsi" w:hAnsiTheme="minorHAnsi" w:cstheme="minorHAnsi"/>
          <w:i/>
          <w:color w:val="000099"/>
        </w:rPr>
        <w:t xml:space="preserve"> › </w:t>
      </w:r>
      <w:hyperlink r:id="rId12" w:tooltip="Subchapter A - GENERAL ADMINISTRATION&#10;&#10;&#10;" w:history="1">
        <w:r w:rsidR="005C145E" w:rsidRPr="008E27C5">
          <w:rPr>
            <w:rFonts w:asciiTheme="minorHAnsi" w:hAnsiTheme="minorHAnsi" w:cstheme="minorHAnsi"/>
            <w:i/>
            <w:color w:val="000099"/>
          </w:rPr>
          <w:t>Subchapter A</w:t>
        </w:r>
      </w:hyperlink>
      <w:r w:rsidR="005C145E" w:rsidRPr="008E27C5">
        <w:rPr>
          <w:rFonts w:asciiTheme="minorHAnsi" w:hAnsiTheme="minorHAnsi" w:cstheme="minorHAnsi"/>
          <w:i/>
          <w:color w:val="000099"/>
        </w:rPr>
        <w:t xml:space="preserve"> › </w:t>
      </w:r>
      <w:hyperlink r:id="rId13" w:tooltip="Part 75 - UNIFORM ADMINISTRATIVE REQUIREMENTS, COST PRINCIPLES, AND AUDIT REQUIREMENTS FOR HHS AWARDS&#10;" w:history="1">
        <w:r w:rsidR="005C145E" w:rsidRPr="008E27C5">
          <w:rPr>
            <w:rFonts w:asciiTheme="minorHAnsi" w:hAnsiTheme="minorHAnsi" w:cstheme="minorHAnsi"/>
            <w:i/>
            <w:color w:val="000099"/>
          </w:rPr>
          <w:t>Part 75</w:t>
        </w:r>
      </w:hyperlink>
      <w:r w:rsidR="005C145E" w:rsidRPr="008E27C5">
        <w:rPr>
          <w:rFonts w:asciiTheme="minorHAnsi" w:hAnsiTheme="minorHAnsi" w:cstheme="minorHAnsi"/>
          <w:i/>
          <w:color w:val="000099"/>
        </w:rPr>
        <w:t xml:space="preserve"> › </w:t>
      </w:r>
      <w:hyperlink r:id="rId14" w:tooltip="Subpart D - Post Federal Award Requirements" w:history="1">
        <w:r w:rsidR="005C145E" w:rsidRPr="008E27C5">
          <w:rPr>
            <w:rFonts w:asciiTheme="minorHAnsi" w:hAnsiTheme="minorHAnsi" w:cstheme="minorHAnsi"/>
            <w:i/>
            <w:color w:val="000099"/>
          </w:rPr>
          <w:t>Subpart D</w:t>
        </w:r>
      </w:hyperlink>
      <w:r w:rsidR="005C145E" w:rsidRPr="008E27C5">
        <w:rPr>
          <w:rFonts w:asciiTheme="minorHAnsi" w:hAnsiTheme="minorHAnsi" w:cstheme="minorHAnsi"/>
          <w:i/>
          <w:color w:val="000099"/>
        </w:rPr>
        <w:t xml:space="preserve"> › Section 75.322</w:t>
      </w:r>
    </w:p>
    <w:p w14:paraId="717F40A0" w14:textId="77777777" w:rsidR="008E27C5" w:rsidRPr="008E27C5" w:rsidRDefault="008E27C5" w:rsidP="008E27C5">
      <w:pPr>
        <w:pStyle w:val="Default"/>
        <w:spacing w:line="276" w:lineRule="auto"/>
        <w:ind w:left="1440"/>
        <w:rPr>
          <w:rFonts w:asciiTheme="minorHAnsi" w:hAnsiTheme="minorHAnsi" w:cstheme="minorHAnsi"/>
          <w:color w:val="000099"/>
        </w:rPr>
      </w:pPr>
    </w:p>
    <w:p w14:paraId="0BC7C6C8" w14:textId="02B84C27" w:rsidR="005C145E" w:rsidRDefault="005C145E" w:rsidP="008E27C5">
      <w:pPr>
        <w:pStyle w:val="Default"/>
        <w:numPr>
          <w:ilvl w:val="0"/>
          <w:numId w:val="7"/>
        </w:numPr>
        <w:spacing w:line="276" w:lineRule="auto"/>
        <w:rPr>
          <w:rFonts w:asciiTheme="minorHAnsi" w:hAnsiTheme="minorHAnsi" w:cstheme="minorHAnsi"/>
          <w:color w:val="000099"/>
        </w:rPr>
      </w:pPr>
      <w:r w:rsidRPr="008E27C5">
        <w:rPr>
          <w:rFonts w:asciiTheme="minorHAnsi" w:hAnsiTheme="minorHAnsi" w:cstheme="minorHAnsi"/>
          <w:color w:val="000099"/>
        </w:rPr>
        <w:t xml:space="preserve">Title to </w:t>
      </w:r>
      <w:hyperlink r:id="rId15" w:tooltip="intangible property" w:history="1">
        <w:r w:rsidRPr="008E27C5">
          <w:rPr>
            <w:rFonts w:asciiTheme="minorHAnsi" w:hAnsiTheme="minorHAnsi" w:cstheme="minorHAnsi"/>
            <w:color w:val="000099"/>
          </w:rPr>
          <w:t>intangible property</w:t>
        </w:r>
      </w:hyperlink>
      <w:r w:rsidRPr="008E27C5">
        <w:rPr>
          <w:rFonts w:asciiTheme="minorHAnsi" w:hAnsiTheme="minorHAnsi" w:cstheme="minorHAnsi"/>
          <w:color w:val="000099"/>
        </w:rPr>
        <w:t xml:space="preserve"> (see </w:t>
      </w:r>
      <w:hyperlink r:id="rId16" w:tooltip="§ 75.2" w:history="1">
        <w:r w:rsidRPr="008E27C5">
          <w:rPr>
            <w:rFonts w:asciiTheme="minorHAnsi" w:hAnsiTheme="minorHAnsi" w:cstheme="minorHAnsi"/>
            <w:color w:val="000099"/>
          </w:rPr>
          <w:t>§ 75.2</w:t>
        </w:r>
      </w:hyperlink>
      <w:r w:rsidR="008E27C5">
        <w:rPr>
          <w:rFonts w:asciiTheme="minorHAnsi" w:hAnsiTheme="minorHAnsi" w:cstheme="minorHAnsi"/>
          <w:color w:val="000099"/>
        </w:rPr>
        <w:t xml:space="preserve"> </w:t>
      </w:r>
      <w:r w:rsidRPr="008E27C5">
        <w:rPr>
          <w:rFonts w:asciiTheme="minorHAnsi" w:hAnsiTheme="minorHAnsi" w:cstheme="minorHAnsi"/>
          <w:color w:val="000099"/>
        </w:rPr>
        <w:t xml:space="preserve">Intangible property) acquired under a </w:t>
      </w:r>
      <w:hyperlink r:id="rId17" w:tooltip="Federal award" w:history="1">
        <w:r w:rsidRPr="008E27C5">
          <w:rPr>
            <w:rFonts w:asciiTheme="minorHAnsi" w:hAnsiTheme="minorHAnsi" w:cstheme="minorHAnsi"/>
            <w:color w:val="000099"/>
          </w:rPr>
          <w:t>Federal award</w:t>
        </w:r>
      </w:hyperlink>
      <w:r w:rsidRPr="008E27C5">
        <w:rPr>
          <w:rFonts w:asciiTheme="minorHAnsi" w:hAnsiTheme="minorHAnsi" w:cstheme="minorHAnsi"/>
          <w:color w:val="000099"/>
        </w:rPr>
        <w:t xml:space="preserve"> vests upon acquisition in the </w:t>
      </w:r>
      <w:hyperlink r:id="rId18" w:tooltip="non-Federal entity" w:history="1">
        <w:r w:rsidRPr="008E27C5">
          <w:rPr>
            <w:rFonts w:asciiTheme="minorHAnsi" w:hAnsiTheme="minorHAnsi" w:cstheme="minorHAnsi"/>
            <w:color w:val="000099"/>
          </w:rPr>
          <w:t>non-Federal entity</w:t>
        </w:r>
      </w:hyperlink>
      <w:r w:rsidRPr="008E27C5">
        <w:rPr>
          <w:rFonts w:asciiTheme="minorHAnsi" w:hAnsiTheme="minorHAnsi" w:cstheme="minorHAnsi"/>
          <w:color w:val="000099"/>
        </w:rPr>
        <w:t xml:space="preserve">. The </w:t>
      </w:r>
      <w:hyperlink r:id="rId19" w:tooltip="non-Federal entity" w:history="1">
        <w:r w:rsidRPr="008E27C5">
          <w:rPr>
            <w:rFonts w:asciiTheme="minorHAnsi" w:hAnsiTheme="minorHAnsi" w:cstheme="minorHAnsi"/>
            <w:color w:val="000099"/>
          </w:rPr>
          <w:t>non-Federal entity</w:t>
        </w:r>
      </w:hyperlink>
      <w:r w:rsidRPr="008E27C5">
        <w:rPr>
          <w:rFonts w:asciiTheme="minorHAnsi" w:hAnsiTheme="minorHAnsi" w:cstheme="minorHAnsi"/>
          <w:color w:val="000099"/>
        </w:rPr>
        <w:t xml:space="preserve"> must use that </w:t>
      </w:r>
      <w:hyperlink r:id="rId20" w:tooltip="property" w:history="1">
        <w:r w:rsidRPr="008E27C5">
          <w:rPr>
            <w:rFonts w:asciiTheme="minorHAnsi" w:hAnsiTheme="minorHAnsi" w:cstheme="minorHAnsi"/>
            <w:color w:val="000099"/>
          </w:rPr>
          <w:t>property</w:t>
        </w:r>
      </w:hyperlink>
      <w:r w:rsidRPr="008E27C5">
        <w:rPr>
          <w:rFonts w:asciiTheme="minorHAnsi" w:hAnsiTheme="minorHAnsi" w:cstheme="minorHAnsi"/>
          <w:color w:val="000099"/>
        </w:rPr>
        <w:t xml:space="preserve"> for the originally-authorized purpose, and must not encumber the </w:t>
      </w:r>
      <w:hyperlink r:id="rId21" w:tooltip="property" w:history="1">
        <w:r w:rsidRPr="008E27C5">
          <w:rPr>
            <w:rFonts w:asciiTheme="minorHAnsi" w:hAnsiTheme="minorHAnsi" w:cstheme="minorHAnsi"/>
            <w:color w:val="000099"/>
          </w:rPr>
          <w:t>property</w:t>
        </w:r>
      </w:hyperlink>
      <w:r w:rsidRPr="008E27C5">
        <w:rPr>
          <w:rFonts w:asciiTheme="minorHAnsi" w:hAnsiTheme="minorHAnsi" w:cstheme="minorHAnsi"/>
          <w:color w:val="000099"/>
        </w:rPr>
        <w:t xml:space="preserve"> without approval of the </w:t>
      </w:r>
      <w:hyperlink r:id="rId22" w:tooltip="HHS awarding agency" w:history="1">
        <w:r w:rsidRPr="008E27C5">
          <w:rPr>
            <w:rFonts w:asciiTheme="minorHAnsi" w:hAnsiTheme="minorHAnsi" w:cstheme="minorHAnsi"/>
            <w:color w:val="000099"/>
          </w:rPr>
          <w:t>HHS awarding agency</w:t>
        </w:r>
      </w:hyperlink>
      <w:r w:rsidRPr="008E27C5">
        <w:rPr>
          <w:rFonts w:asciiTheme="minorHAnsi" w:hAnsiTheme="minorHAnsi" w:cstheme="minorHAnsi"/>
          <w:color w:val="000099"/>
        </w:rPr>
        <w:t xml:space="preserve">. When no longer needed for the originally authorized purpose, disposition of the </w:t>
      </w:r>
      <w:hyperlink r:id="rId23" w:tooltip="intangible property" w:history="1">
        <w:r w:rsidRPr="008E27C5">
          <w:rPr>
            <w:rFonts w:asciiTheme="minorHAnsi" w:hAnsiTheme="minorHAnsi" w:cstheme="minorHAnsi"/>
            <w:color w:val="000099"/>
          </w:rPr>
          <w:t>intangible property</w:t>
        </w:r>
      </w:hyperlink>
      <w:r w:rsidRPr="008E27C5">
        <w:rPr>
          <w:rFonts w:asciiTheme="minorHAnsi" w:hAnsiTheme="minorHAnsi" w:cstheme="minorHAnsi"/>
          <w:color w:val="000099"/>
        </w:rPr>
        <w:t xml:space="preserve"> must occur in accordance with the provisions in </w:t>
      </w:r>
      <w:hyperlink r:id="rId24" w:anchor="e" w:tooltip="§ 75.320(e)" w:history="1">
        <w:r w:rsidRPr="008E27C5">
          <w:rPr>
            <w:rFonts w:asciiTheme="minorHAnsi" w:hAnsiTheme="minorHAnsi" w:cstheme="minorHAnsi"/>
            <w:color w:val="000099"/>
          </w:rPr>
          <w:t>§ 75.320(e)</w:t>
        </w:r>
      </w:hyperlink>
      <w:r w:rsidRPr="008E27C5">
        <w:rPr>
          <w:rFonts w:asciiTheme="minorHAnsi" w:hAnsiTheme="minorHAnsi" w:cstheme="minorHAnsi"/>
          <w:color w:val="000099"/>
        </w:rPr>
        <w:t xml:space="preserve">. </w:t>
      </w:r>
    </w:p>
    <w:p w14:paraId="22B48BF3" w14:textId="77777777" w:rsidR="008E27C5" w:rsidRDefault="005C145E" w:rsidP="008E27C5">
      <w:pPr>
        <w:pStyle w:val="Default"/>
        <w:numPr>
          <w:ilvl w:val="0"/>
          <w:numId w:val="7"/>
        </w:numPr>
        <w:spacing w:line="276" w:lineRule="auto"/>
        <w:rPr>
          <w:rFonts w:asciiTheme="minorHAnsi" w:hAnsiTheme="minorHAnsi" w:cstheme="minorHAnsi"/>
          <w:color w:val="000099"/>
        </w:rPr>
      </w:pPr>
      <w:r w:rsidRPr="008E27C5">
        <w:rPr>
          <w:rFonts w:asciiTheme="minorHAnsi" w:hAnsiTheme="minorHAnsi" w:cstheme="minorHAnsi"/>
          <w:color w:val="000099"/>
        </w:rPr>
        <w:t xml:space="preserve">The </w:t>
      </w:r>
      <w:hyperlink r:id="rId25" w:tooltip="non-Federal entity" w:history="1">
        <w:r w:rsidRPr="008E27C5">
          <w:rPr>
            <w:rFonts w:asciiTheme="minorHAnsi" w:hAnsiTheme="minorHAnsi" w:cstheme="minorHAnsi"/>
            <w:color w:val="000099"/>
          </w:rPr>
          <w:t>non-Federal entity</w:t>
        </w:r>
      </w:hyperlink>
      <w:r w:rsidRPr="008E27C5">
        <w:rPr>
          <w:rFonts w:asciiTheme="minorHAnsi" w:hAnsiTheme="minorHAnsi" w:cstheme="minorHAnsi"/>
          <w:color w:val="000099"/>
        </w:rPr>
        <w:t xml:space="preserve"> may copyright any work that is subject to copyright and was developed, or for which ownership was acquired, under a </w:t>
      </w:r>
      <w:hyperlink r:id="rId26" w:tooltip="Federal award" w:history="1">
        <w:r w:rsidRPr="008E27C5">
          <w:rPr>
            <w:rFonts w:asciiTheme="minorHAnsi" w:hAnsiTheme="minorHAnsi" w:cstheme="minorHAnsi"/>
            <w:color w:val="000099"/>
          </w:rPr>
          <w:t>Federal award</w:t>
        </w:r>
      </w:hyperlink>
      <w:r w:rsidRPr="008E27C5">
        <w:rPr>
          <w:rFonts w:asciiTheme="minorHAnsi" w:hAnsiTheme="minorHAnsi" w:cstheme="minorHAnsi"/>
          <w:color w:val="000099"/>
        </w:rPr>
        <w:t xml:space="preserve">. The </w:t>
      </w:r>
      <w:hyperlink r:id="rId27" w:tooltip="HHS awarding agency" w:history="1">
        <w:r w:rsidRPr="008E27C5">
          <w:rPr>
            <w:rFonts w:asciiTheme="minorHAnsi" w:hAnsiTheme="minorHAnsi" w:cstheme="minorHAnsi"/>
            <w:color w:val="000099"/>
          </w:rPr>
          <w:t>HHS awarding agency</w:t>
        </w:r>
      </w:hyperlink>
      <w:r w:rsidRPr="008E27C5">
        <w:rPr>
          <w:rFonts w:asciiTheme="minorHAnsi" w:hAnsiTheme="minorHAnsi" w:cstheme="minorHAnsi"/>
          <w:color w:val="000099"/>
        </w:rPr>
        <w:t xml:space="preserve"> reserves a royalty-free, nonexclusive and irrevocable right to reproduce, publish, or otherwise use the work for Federal purposes, an</w:t>
      </w:r>
      <w:bookmarkStart w:id="0" w:name="_GoBack"/>
      <w:bookmarkEnd w:id="0"/>
      <w:r w:rsidRPr="008E27C5">
        <w:rPr>
          <w:rFonts w:asciiTheme="minorHAnsi" w:hAnsiTheme="minorHAnsi" w:cstheme="minorHAnsi"/>
          <w:color w:val="000099"/>
        </w:rPr>
        <w:t xml:space="preserve">d to authorize others to do so. </w:t>
      </w:r>
    </w:p>
    <w:p w14:paraId="52353A8B" w14:textId="77777777" w:rsidR="008E27C5" w:rsidRDefault="005C145E" w:rsidP="008E27C5">
      <w:pPr>
        <w:pStyle w:val="Default"/>
        <w:numPr>
          <w:ilvl w:val="0"/>
          <w:numId w:val="7"/>
        </w:numPr>
        <w:spacing w:line="276" w:lineRule="auto"/>
        <w:rPr>
          <w:rFonts w:asciiTheme="minorHAnsi" w:hAnsiTheme="minorHAnsi" w:cstheme="minorHAnsi"/>
          <w:color w:val="000099"/>
        </w:rPr>
      </w:pPr>
      <w:r w:rsidRPr="008E27C5">
        <w:rPr>
          <w:rFonts w:asciiTheme="minorHAnsi" w:hAnsiTheme="minorHAnsi" w:cstheme="minorHAnsi"/>
          <w:color w:val="000099"/>
        </w:rPr>
        <w:t xml:space="preserve">The </w:t>
      </w:r>
      <w:hyperlink r:id="rId28" w:tooltip="non-Federal entity" w:history="1">
        <w:r w:rsidRPr="008E27C5">
          <w:rPr>
            <w:rFonts w:asciiTheme="minorHAnsi" w:hAnsiTheme="minorHAnsi" w:cstheme="minorHAnsi"/>
            <w:color w:val="000099"/>
          </w:rPr>
          <w:t>non-Federal entity</w:t>
        </w:r>
      </w:hyperlink>
      <w:r w:rsidRPr="008E27C5">
        <w:rPr>
          <w:rFonts w:asciiTheme="minorHAnsi" w:hAnsiTheme="minorHAnsi" w:cstheme="minorHAnsi"/>
          <w:color w:val="000099"/>
        </w:rPr>
        <w:t xml:space="preserve"> is subject to applicable regulations governing patents and inventions, including government-wide regulations issued by the Department of Commerce at </w:t>
      </w:r>
      <w:hyperlink r:id="rId29" w:tooltip="37 CFR part 401." w:history="1">
        <w:r w:rsidRPr="008E27C5">
          <w:rPr>
            <w:rFonts w:asciiTheme="minorHAnsi" w:hAnsiTheme="minorHAnsi" w:cstheme="minorHAnsi"/>
            <w:color w:val="000099"/>
          </w:rPr>
          <w:t>37 CFR part 401.</w:t>
        </w:r>
      </w:hyperlink>
      <w:r w:rsidRPr="008E27C5">
        <w:rPr>
          <w:rFonts w:asciiTheme="minorHAnsi" w:hAnsiTheme="minorHAnsi" w:cstheme="minorHAnsi"/>
          <w:color w:val="000099"/>
        </w:rPr>
        <w:t xml:space="preserve"> </w:t>
      </w:r>
    </w:p>
    <w:p w14:paraId="640B10D4" w14:textId="1C9D1B83" w:rsidR="005C145E" w:rsidRPr="008E27C5" w:rsidRDefault="005C145E" w:rsidP="008E27C5">
      <w:pPr>
        <w:pStyle w:val="Default"/>
        <w:numPr>
          <w:ilvl w:val="0"/>
          <w:numId w:val="7"/>
        </w:numPr>
        <w:spacing w:line="276" w:lineRule="auto"/>
        <w:rPr>
          <w:rFonts w:asciiTheme="minorHAnsi" w:hAnsiTheme="minorHAnsi" w:cstheme="minorHAnsi"/>
          <w:color w:val="000099"/>
        </w:rPr>
      </w:pPr>
      <w:r w:rsidRPr="008E27C5">
        <w:rPr>
          <w:rFonts w:asciiTheme="minorHAnsi" w:hAnsiTheme="minorHAnsi" w:cstheme="minorHAnsi"/>
          <w:color w:val="000099"/>
        </w:rPr>
        <w:t xml:space="preserve">The Federal Government has the right to: </w:t>
      </w:r>
    </w:p>
    <w:p w14:paraId="4675B830" w14:textId="7177714A" w:rsidR="00C82151" w:rsidRDefault="005C145E" w:rsidP="008E27C5">
      <w:pPr>
        <w:pStyle w:val="Default"/>
        <w:numPr>
          <w:ilvl w:val="0"/>
          <w:numId w:val="8"/>
        </w:numPr>
        <w:spacing w:line="276" w:lineRule="auto"/>
        <w:rPr>
          <w:rFonts w:asciiTheme="minorHAnsi" w:hAnsiTheme="minorHAnsi" w:cstheme="minorHAnsi"/>
          <w:color w:val="000099"/>
        </w:rPr>
      </w:pPr>
      <w:r w:rsidRPr="008E27C5">
        <w:rPr>
          <w:rFonts w:asciiTheme="minorHAnsi" w:hAnsiTheme="minorHAnsi" w:cstheme="minorHAnsi"/>
          <w:color w:val="000099"/>
        </w:rPr>
        <w:t xml:space="preserve">Obtain, reproduce, publish, or otherwise use the data produced under a </w:t>
      </w:r>
      <w:hyperlink r:id="rId30" w:tooltip="Federal award" w:history="1">
        <w:r w:rsidRPr="008E27C5">
          <w:rPr>
            <w:rFonts w:asciiTheme="minorHAnsi" w:hAnsiTheme="minorHAnsi" w:cstheme="minorHAnsi"/>
            <w:color w:val="000099"/>
          </w:rPr>
          <w:t>Federal award</w:t>
        </w:r>
      </w:hyperlink>
      <w:r w:rsidRPr="008E27C5">
        <w:rPr>
          <w:rFonts w:asciiTheme="minorHAnsi" w:hAnsiTheme="minorHAnsi" w:cstheme="minorHAnsi"/>
          <w:color w:val="000099"/>
        </w:rPr>
        <w:t>; and (2) Authorize others to receive, reproduce, publish, or otherwise use such data for Federal purpose</w:t>
      </w:r>
      <w:r w:rsidR="000F3B4A" w:rsidRPr="008E27C5">
        <w:rPr>
          <w:rFonts w:asciiTheme="minorHAnsi" w:hAnsiTheme="minorHAnsi" w:cstheme="minorHAnsi"/>
          <w:color w:val="000099"/>
        </w:rPr>
        <w:t>.</w:t>
      </w:r>
    </w:p>
    <w:p w14:paraId="1B458842" w14:textId="77777777" w:rsidR="008E27C5" w:rsidRPr="008E27C5" w:rsidRDefault="008E27C5" w:rsidP="008E27C5">
      <w:pPr>
        <w:pStyle w:val="Default"/>
        <w:spacing w:line="276" w:lineRule="auto"/>
        <w:ind w:left="2520"/>
        <w:rPr>
          <w:rFonts w:asciiTheme="minorHAnsi" w:hAnsiTheme="minorHAnsi" w:cstheme="minorHAnsi"/>
          <w:color w:val="000099"/>
        </w:rPr>
      </w:pPr>
    </w:p>
    <w:p w14:paraId="5CF3BD1D" w14:textId="7515640E" w:rsidR="005C145E" w:rsidRPr="008E27C5" w:rsidRDefault="00C82151" w:rsidP="008E27C5">
      <w:pPr>
        <w:pStyle w:val="Default"/>
        <w:spacing w:line="276" w:lineRule="auto"/>
        <w:ind w:left="1080"/>
        <w:rPr>
          <w:rFonts w:asciiTheme="minorHAnsi" w:hAnsiTheme="minorHAnsi" w:cstheme="minorHAnsi"/>
          <w:i/>
          <w:color w:val="000099"/>
        </w:rPr>
      </w:pPr>
      <w:r w:rsidRPr="008E27C5">
        <w:rPr>
          <w:rFonts w:asciiTheme="minorHAnsi" w:hAnsiTheme="minorHAnsi" w:cstheme="minorHAnsi"/>
          <w:i/>
          <w:color w:val="000099"/>
        </w:rPr>
        <w:t>HHS GPS Section II-69</w:t>
      </w:r>
    </w:p>
    <w:p w14:paraId="50AC5ADB" w14:textId="77777777" w:rsidR="008E27C5" w:rsidRPr="008E27C5" w:rsidRDefault="008E27C5" w:rsidP="008E27C5">
      <w:pPr>
        <w:pStyle w:val="Default"/>
        <w:spacing w:line="276" w:lineRule="auto"/>
        <w:ind w:left="1440"/>
        <w:rPr>
          <w:rFonts w:asciiTheme="minorHAnsi" w:hAnsiTheme="minorHAnsi" w:cstheme="minorHAnsi"/>
          <w:color w:val="000099"/>
        </w:rPr>
      </w:pPr>
    </w:p>
    <w:p w14:paraId="7004786B" w14:textId="1CA765A9" w:rsidR="00C82151" w:rsidRPr="00554CAC" w:rsidRDefault="00C82151" w:rsidP="008E27C5">
      <w:pPr>
        <w:pStyle w:val="Default"/>
        <w:spacing w:line="276" w:lineRule="auto"/>
        <w:ind w:left="1440"/>
        <w:rPr>
          <w:rFonts w:asciiTheme="minorHAnsi" w:hAnsiTheme="minorHAnsi" w:cstheme="minorHAnsi"/>
          <w:color w:val="002060"/>
        </w:rPr>
      </w:pPr>
      <w:r w:rsidRPr="008E27C5">
        <w:rPr>
          <w:rFonts w:asciiTheme="minorHAnsi" w:hAnsiTheme="minorHAnsi" w:cstheme="minorHAnsi"/>
          <w:color w:val="000099"/>
        </w:rPr>
        <w:t>It is HHS policy that the results and accomplishments of the activities that it funds should be made available to the public. PIs/PDs and recipient organizations are expected to make the results and accomplishments of their activities available to the research community and to the public at large.</w:t>
      </w:r>
    </w:p>
    <w:p w14:paraId="60DF4D37" w14:textId="62E9C12E" w:rsidR="000F064D" w:rsidRPr="000F064D" w:rsidRDefault="000F064D" w:rsidP="00554CAC">
      <w:pPr>
        <w:pStyle w:val="Default"/>
        <w:widowControl w:val="0"/>
        <w:suppressAutoHyphens/>
        <w:spacing w:line="276" w:lineRule="auto"/>
        <w:rPr>
          <w:rFonts w:asciiTheme="majorHAnsi" w:hAnsiTheme="majorHAnsi" w:cstheme="minorHAnsi"/>
          <w:b/>
          <w:color w:val="FF0000"/>
          <w:sz w:val="28"/>
          <w:szCs w:val="28"/>
        </w:rPr>
      </w:pPr>
    </w:p>
    <w:sectPr w:rsidR="000F064D" w:rsidRPr="000F064D">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39D3C" w14:textId="77777777" w:rsidR="00052A3D" w:rsidRDefault="00052A3D" w:rsidP="00C1139D">
      <w:pPr>
        <w:spacing w:after="0" w:line="240" w:lineRule="auto"/>
      </w:pPr>
      <w:r>
        <w:separator/>
      </w:r>
    </w:p>
  </w:endnote>
  <w:endnote w:type="continuationSeparator" w:id="0">
    <w:p w14:paraId="62FFBBE9" w14:textId="77777777" w:rsidR="00052A3D" w:rsidRDefault="00052A3D" w:rsidP="00C11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167828"/>
      <w:docPartObj>
        <w:docPartGallery w:val="Page Numbers (Bottom of Page)"/>
        <w:docPartUnique/>
      </w:docPartObj>
    </w:sdtPr>
    <w:sdtEndPr>
      <w:rPr>
        <w:noProof/>
      </w:rPr>
    </w:sdtEndPr>
    <w:sdtContent>
      <w:p w14:paraId="76861A87" w14:textId="00DD7EAD" w:rsidR="00C1139D" w:rsidRDefault="000F3B4A" w:rsidP="00554CAC">
        <w:pPr>
          <w:pStyle w:val="Footer"/>
          <w:jc w:val="right"/>
        </w:pPr>
        <w:r>
          <w:fldChar w:fldCharType="begin"/>
        </w:r>
        <w:r>
          <w:instrText xml:space="preserve"> PAGE   \* MERGEFORMAT </w:instrText>
        </w:r>
        <w:r>
          <w:fldChar w:fldCharType="separate"/>
        </w:r>
        <w:r w:rsidR="00BD610C">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F7871" w14:textId="77777777" w:rsidR="00052A3D" w:rsidRDefault="00052A3D" w:rsidP="00C1139D">
      <w:pPr>
        <w:spacing w:after="0" w:line="240" w:lineRule="auto"/>
      </w:pPr>
      <w:r>
        <w:separator/>
      </w:r>
    </w:p>
  </w:footnote>
  <w:footnote w:type="continuationSeparator" w:id="0">
    <w:p w14:paraId="719005D3" w14:textId="77777777" w:rsidR="00052A3D" w:rsidRDefault="00052A3D" w:rsidP="00C1139D">
      <w:pPr>
        <w:spacing w:after="0" w:line="240" w:lineRule="auto"/>
      </w:pPr>
      <w:r>
        <w:continuationSeparator/>
      </w:r>
    </w:p>
  </w:footnote>
  <w:footnote w:id="1">
    <w:p w14:paraId="637D9503" w14:textId="45A4DEF9" w:rsidR="00554CAC" w:rsidRDefault="00554CAC">
      <w:pPr>
        <w:pStyle w:val="FootnoteText"/>
      </w:pPr>
      <w:r>
        <w:rPr>
          <w:rStyle w:val="FootnoteReference"/>
        </w:rPr>
        <w:footnoteRef/>
      </w:r>
      <w:r>
        <w:t xml:space="preserve"> </w:t>
      </w:r>
      <w:r w:rsidRPr="00554CAC">
        <w:t>All page numbers referenced here reflect the printed page number from the PDF version of the funding opportunity announcement.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80829"/>
    <w:multiLevelType w:val="hybridMultilevel"/>
    <w:tmpl w:val="24064480"/>
    <w:lvl w:ilvl="0" w:tplc="83FCBA4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E421986"/>
    <w:multiLevelType w:val="hybridMultilevel"/>
    <w:tmpl w:val="68866B6C"/>
    <w:lvl w:ilvl="0" w:tplc="D898C9E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69F16D9"/>
    <w:multiLevelType w:val="hybridMultilevel"/>
    <w:tmpl w:val="C0AC2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925538"/>
    <w:multiLevelType w:val="hybridMultilevel"/>
    <w:tmpl w:val="C0AC2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DA737F"/>
    <w:multiLevelType w:val="hybridMultilevel"/>
    <w:tmpl w:val="3A7E60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8A57C6"/>
    <w:multiLevelType w:val="multilevel"/>
    <w:tmpl w:val="3926E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C60E0C"/>
    <w:multiLevelType w:val="hybridMultilevel"/>
    <w:tmpl w:val="670A75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620D22"/>
    <w:multiLevelType w:val="hybridMultilevel"/>
    <w:tmpl w:val="3726F4DA"/>
    <w:lvl w:ilvl="0" w:tplc="0409000F">
      <w:start w:val="1"/>
      <w:numFmt w:val="decimal"/>
      <w:lvlText w:val="%1."/>
      <w:lvlJc w:val="left"/>
      <w:pPr>
        <w:ind w:left="720" w:hanging="360"/>
      </w:pPr>
      <w:rPr>
        <w:rFonts w:hint="default"/>
        <w:color w:val="auto"/>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6"/>
  </w:num>
  <w:num w:numId="4">
    <w:abstractNumId w:val="5"/>
  </w:num>
  <w:num w:numId="5">
    <w:abstractNumId w:val="2"/>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39D"/>
    <w:rsid w:val="000217B4"/>
    <w:rsid w:val="00052A3D"/>
    <w:rsid w:val="00085535"/>
    <w:rsid w:val="000A7622"/>
    <w:rsid w:val="000F064D"/>
    <w:rsid w:val="000F3B4A"/>
    <w:rsid w:val="00146AA5"/>
    <w:rsid w:val="0014786D"/>
    <w:rsid w:val="00174BC7"/>
    <w:rsid w:val="001B2BB7"/>
    <w:rsid w:val="001C6A51"/>
    <w:rsid w:val="00257520"/>
    <w:rsid w:val="0026057C"/>
    <w:rsid w:val="00270ECC"/>
    <w:rsid w:val="002B40C5"/>
    <w:rsid w:val="002E4BDC"/>
    <w:rsid w:val="00302706"/>
    <w:rsid w:val="003127F5"/>
    <w:rsid w:val="00317AF5"/>
    <w:rsid w:val="004A5232"/>
    <w:rsid w:val="00554CAC"/>
    <w:rsid w:val="005A5C0E"/>
    <w:rsid w:val="005C145E"/>
    <w:rsid w:val="005D3A00"/>
    <w:rsid w:val="005F6A1B"/>
    <w:rsid w:val="0061607B"/>
    <w:rsid w:val="00617DBF"/>
    <w:rsid w:val="00652775"/>
    <w:rsid w:val="00656C10"/>
    <w:rsid w:val="006834F8"/>
    <w:rsid w:val="00705CE3"/>
    <w:rsid w:val="00711621"/>
    <w:rsid w:val="00781B16"/>
    <w:rsid w:val="0084119B"/>
    <w:rsid w:val="00850293"/>
    <w:rsid w:val="008C0F72"/>
    <w:rsid w:val="008E2343"/>
    <w:rsid w:val="008E27C5"/>
    <w:rsid w:val="008F7AD7"/>
    <w:rsid w:val="00971416"/>
    <w:rsid w:val="00974202"/>
    <w:rsid w:val="009B2AC3"/>
    <w:rsid w:val="009B7A5F"/>
    <w:rsid w:val="009C4B1C"/>
    <w:rsid w:val="009E773E"/>
    <w:rsid w:val="00A10C74"/>
    <w:rsid w:val="00A8395F"/>
    <w:rsid w:val="00AB53DA"/>
    <w:rsid w:val="00AD4030"/>
    <w:rsid w:val="00BD1A02"/>
    <w:rsid w:val="00BD610C"/>
    <w:rsid w:val="00BF2FAF"/>
    <w:rsid w:val="00C1139D"/>
    <w:rsid w:val="00C22D04"/>
    <w:rsid w:val="00C30F17"/>
    <w:rsid w:val="00C82151"/>
    <w:rsid w:val="00CA0EB1"/>
    <w:rsid w:val="00CD0D32"/>
    <w:rsid w:val="00CE1B60"/>
    <w:rsid w:val="00D60422"/>
    <w:rsid w:val="00DA3C12"/>
    <w:rsid w:val="00DC23DE"/>
    <w:rsid w:val="00E31C5A"/>
    <w:rsid w:val="00E326E2"/>
    <w:rsid w:val="00E869AB"/>
    <w:rsid w:val="00EC0573"/>
    <w:rsid w:val="00F2558A"/>
    <w:rsid w:val="00F32C74"/>
    <w:rsid w:val="00F66D8F"/>
    <w:rsid w:val="00FB5D6B"/>
    <w:rsid w:val="00FC0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23FFF"/>
  <w15:chartTrackingRefBased/>
  <w15:docId w15:val="{FD38E1A9-C0A4-4CE5-B28D-9CFEDCF68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13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rsid w:val="00C1139D"/>
    <w:pPr>
      <w:tabs>
        <w:tab w:val="left" w:pos="5040"/>
      </w:tabs>
      <w:spacing w:after="0" w:line="264" w:lineRule="auto"/>
    </w:pPr>
    <w:rPr>
      <w:rFonts w:ascii="Times New Roman" w:eastAsia="MS Mincho" w:hAnsi="Times New Roman" w:cs="Times New Roman"/>
      <w:sz w:val="24"/>
      <w:szCs w:val="24"/>
    </w:rPr>
  </w:style>
  <w:style w:type="character" w:customStyle="1" w:styleId="BodyTextChar">
    <w:name w:val="Body Text Char"/>
    <w:basedOn w:val="DefaultParagraphFont"/>
    <w:link w:val="BodyText"/>
    <w:rsid w:val="00C1139D"/>
    <w:rPr>
      <w:rFonts w:ascii="Times New Roman" w:eastAsia="MS Mincho" w:hAnsi="Times New Roman" w:cs="Times New Roman"/>
      <w:sz w:val="24"/>
      <w:szCs w:val="24"/>
    </w:rPr>
  </w:style>
  <w:style w:type="paragraph" w:customStyle="1" w:styleId="Default">
    <w:name w:val="Default"/>
    <w:rsid w:val="00C1139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C1139D"/>
    <w:rPr>
      <w:sz w:val="16"/>
      <w:szCs w:val="16"/>
    </w:rPr>
  </w:style>
  <w:style w:type="paragraph" w:styleId="CommentText">
    <w:name w:val="annotation text"/>
    <w:basedOn w:val="Normal"/>
    <w:link w:val="CommentTextChar"/>
    <w:uiPriority w:val="99"/>
    <w:semiHidden/>
    <w:unhideWhenUsed/>
    <w:rsid w:val="00C1139D"/>
    <w:pPr>
      <w:spacing w:line="240" w:lineRule="auto"/>
    </w:pPr>
    <w:rPr>
      <w:sz w:val="20"/>
      <w:szCs w:val="20"/>
    </w:rPr>
  </w:style>
  <w:style w:type="character" w:customStyle="1" w:styleId="CommentTextChar">
    <w:name w:val="Comment Text Char"/>
    <w:basedOn w:val="DefaultParagraphFont"/>
    <w:link w:val="CommentText"/>
    <w:uiPriority w:val="99"/>
    <w:semiHidden/>
    <w:rsid w:val="00C1139D"/>
    <w:rPr>
      <w:sz w:val="20"/>
      <w:szCs w:val="20"/>
    </w:rPr>
  </w:style>
  <w:style w:type="paragraph" w:styleId="ListParagraph">
    <w:name w:val="List Paragraph"/>
    <w:basedOn w:val="Normal"/>
    <w:uiPriority w:val="34"/>
    <w:qFormat/>
    <w:rsid w:val="00C1139D"/>
    <w:pPr>
      <w:ind w:left="720"/>
      <w:contextualSpacing/>
    </w:pPr>
  </w:style>
  <w:style w:type="paragraph" w:styleId="BalloonText">
    <w:name w:val="Balloon Text"/>
    <w:basedOn w:val="Normal"/>
    <w:link w:val="BalloonTextChar"/>
    <w:uiPriority w:val="99"/>
    <w:semiHidden/>
    <w:unhideWhenUsed/>
    <w:rsid w:val="00C113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139D"/>
    <w:rPr>
      <w:rFonts w:ascii="Segoe UI" w:hAnsi="Segoe UI" w:cs="Segoe UI"/>
      <w:sz w:val="18"/>
      <w:szCs w:val="18"/>
    </w:rPr>
  </w:style>
  <w:style w:type="paragraph" w:styleId="Header">
    <w:name w:val="header"/>
    <w:basedOn w:val="Normal"/>
    <w:link w:val="HeaderChar"/>
    <w:uiPriority w:val="99"/>
    <w:unhideWhenUsed/>
    <w:rsid w:val="00C11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39D"/>
  </w:style>
  <w:style w:type="paragraph" w:styleId="Footer">
    <w:name w:val="footer"/>
    <w:basedOn w:val="Normal"/>
    <w:link w:val="FooterChar"/>
    <w:uiPriority w:val="99"/>
    <w:unhideWhenUsed/>
    <w:rsid w:val="00C11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39D"/>
  </w:style>
  <w:style w:type="character" w:styleId="Hyperlink">
    <w:name w:val="Hyperlink"/>
    <w:basedOn w:val="DefaultParagraphFont"/>
    <w:uiPriority w:val="99"/>
    <w:semiHidden/>
    <w:unhideWhenUsed/>
    <w:rsid w:val="008C0F72"/>
    <w:rPr>
      <w:rFonts w:ascii="Times New Roman" w:hAnsi="Times New Roman" w:cs="Times New Roman" w:hint="default"/>
      <w:color w:val="000000"/>
      <w:u w:val="single"/>
    </w:rPr>
  </w:style>
  <w:style w:type="paragraph" w:styleId="CommentSubject">
    <w:name w:val="annotation subject"/>
    <w:basedOn w:val="CommentText"/>
    <w:next w:val="CommentText"/>
    <w:link w:val="CommentSubjectChar"/>
    <w:uiPriority w:val="99"/>
    <w:semiHidden/>
    <w:unhideWhenUsed/>
    <w:rsid w:val="000F064D"/>
    <w:rPr>
      <w:b/>
      <w:bCs/>
    </w:rPr>
  </w:style>
  <w:style w:type="character" w:customStyle="1" w:styleId="CommentSubjectChar">
    <w:name w:val="Comment Subject Char"/>
    <w:basedOn w:val="CommentTextChar"/>
    <w:link w:val="CommentSubject"/>
    <w:uiPriority w:val="99"/>
    <w:semiHidden/>
    <w:rsid w:val="000F064D"/>
    <w:rPr>
      <w:b/>
      <w:bCs/>
      <w:sz w:val="20"/>
      <w:szCs w:val="20"/>
    </w:rPr>
  </w:style>
  <w:style w:type="paragraph" w:styleId="Revision">
    <w:name w:val="Revision"/>
    <w:hidden/>
    <w:uiPriority w:val="99"/>
    <w:semiHidden/>
    <w:rsid w:val="00DC23DE"/>
    <w:pPr>
      <w:spacing w:after="0" w:line="240" w:lineRule="auto"/>
    </w:pPr>
  </w:style>
  <w:style w:type="paragraph" w:customStyle="1" w:styleId="psection-1">
    <w:name w:val="psection-1"/>
    <w:basedOn w:val="Normal"/>
    <w:rsid w:val="009B7A5F"/>
    <w:pPr>
      <w:spacing w:before="150" w:after="150" w:line="240" w:lineRule="auto"/>
    </w:pPr>
    <w:rPr>
      <w:rFonts w:ascii="Times New Roman" w:eastAsia="Times New Roman" w:hAnsi="Times New Roman" w:cs="Times New Roman"/>
      <w:sz w:val="24"/>
      <w:szCs w:val="24"/>
    </w:rPr>
  </w:style>
  <w:style w:type="paragraph" w:customStyle="1" w:styleId="psection-2">
    <w:name w:val="psection-2"/>
    <w:basedOn w:val="Normal"/>
    <w:rsid w:val="009B7A5F"/>
    <w:pPr>
      <w:spacing w:after="150" w:line="240" w:lineRule="auto"/>
      <w:ind w:left="240"/>
    </w:pPr>
    <w:rPr>
      <w:rFonts w:ascii="Times New Roman" w:eastAsia="Times New Roman" w:hAnsi="Times New Roman" w:cs="Times New Roman"/>
      <w:sz w:val="24"/>
      <w:szCs w:val="24"/>
    </w:rPr>
  </w:style>
  <w:style w:type="character" w:customStyle="1" w:styleId="enumxml1">
    <w:name w:val="enumxml1"/>
    <w:basedOn w:val="DefaultParagraphFont"/>
    <w:rsid w:val="009B7A5F"/>
    <w:rPr>
      <w:b/>
      <w:bCs/>
    </w:rPr>
  </w:style>
  <w:style w:type="character" w:customStyle="1" w:styleId="enumxml2">
    <w:name w:val="enumxml2"/>
    <w:basedOn w:val="DefaultParagraphFont"/>
    <w:rsid w:val="009B7A5F"/>
    <w:rPr>
      <w:b/>
      <w:bCs/>
    </w:rPr>
  </w:style>
  <w:style w:type="character" w:customStyle="1" w:styleId="et031">
    <w:name w:val="et031"/>
    <w:basedOn w:val="DefaultParagraphFont"/>
    <w:rsid w:val="00C82151"/>
    <w:rPr>
      <w:i/>
      <w:iCs/>
    </w:rPr>
  </w:style>
  <w:style w:type="paragraph" w:styleId="FootnoteText">
    <w:name w:val="footnote text"/>
    <w:basedOn w:val="Normal"/>
    <w:link w:val="FootnoteTextChar"/>
    <w:uiPriority w:val="99"/>
    <w:semiHidden/>
    <w:unhideWhenUsed/>
    <w:rsid w:val="00554C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4CAC"/>
    <w:rPr>
      <w:sz w:val="20"/>
      <w:szCs w:val="20"/>
    </w:rPr>
  </w:style>
  <w:style w:type="character" w:styleId="FootnoteReference">
    <w:name w:val="footnote reference"/>
    <w:basedOn w:val="DefaultParagraphFont"/>
    <w:uiPriority w:val="99"/>
    <w:semiHidden/>
    <w:unhideWhenUsed/>
    <w:rsid w:val="00554C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132941">
      <w:bodyDiv w:val="1"/>
      <w:marLeft w:val="0"/>
      <w:marRight w:val="0"/>
      <w:marTop w:val="0"/>
      <w:marBottom w:val="0"/>
      <w:divBdr>
        <w:top w:val="none" w:sz="0" w:space="0" w:color="auto"/>
        <w:left w:val="none" w:sz="0" w:space="0" w:color="auto"/>
        <w:bottom w:val="none" w:sz="0" w:space="0" w:color="auto"/>
        <w:right w:val="none" w:sz="0" w:space="0" w:color="auto"/>
      </w:divBdr>
    </w:div>
    <w:div w:id="1227106199">
      <w:bodyDiv w:val="1"/>
      <w:marLeft w:val="0"/>
      <w:marRight w:val="0"/>
      <w:marTop w:val="0"/>
      <w:marBottom w:val="0"/>
      <w:divBdr>
        <w:top w:val="none" w:sz="0" w:space="0" w:color="auto"/>
        <w:left w:val="none" w:sz="0" w:space="0" w:color="auto"/>
        <w:bottom w:val="none" w:sz="0" w:space="0" w:color="auto"/>
        <w:right w:val="none" w:sz="0" w:space="0" w:color="auto"/>
      </w:divBdr>
    </w:div>
    <w:div w:id="1439135949">
      <w:bodyDiv w:val="1"/>
      <w:marLeft w:val="0"/>
      <w:marRight w:val="0"/>
      <w:marTop w:val="0"/>
      <w:marBottom w:val="0"/>
      <w:divBdr>
        <w:top w:val="none" w:sz="0" w:space="0" w:color="auto"/>
        <w:left w:val="none" w:sz="0" w:space="0" w:color="auto"/>
        <w:bottom w:val="none" w:sz="0" w:space="0" w:color="auto"/>
        <w:right w:val="none" w:sz="0" w:space="0" w:color="auto"/>
      </w:divBdr>
    </w:div>
    <w:div w:id="181602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www.law.cornell.edu/cfr/text/45/part-75" TargetMode="External"/><Relationship Id="rId18" Type="http://schemas.openxmlformats.org/officeDocument/2006/relationships/hyperlink" Target="https://www.law.cornell.edu/definitions/index.php?width=840&amp;height=800&amp;iframe=true&amp;def_id=4abc5fd8990e9cdafea16cf096f3eee3&amp;term_occur=2&amp;term_src=Title:45:Chapter:A:Subchapter:A:Part:75:Subpart:D:Subjgrp:25:75.322" TargetMode="External"/><Relationship Id="rId26" Type="http://schemas.openxmlformats.org/officeDocument/2006/relationships/hyperlink" Target="https://www.law.cornell.edu/definitions/index.php?width=840&amp;height=800&amp;iframe=true&amp;def_id=25c609af891bdc2964eba22ef9621db0&amp;term_occur=2&amp;term_src=Title:45:Chapter:A:Subchapter:A:Part:75:Subpart:D:Subjgrp:25:75.322" TargetMode="External"/><Relationship Id="rId3" Type="http://schemas.openxmlformats.org/officeDocument/2006/relationships/styles" Target="styles.xml"/><Relationship Id="rId21" Type="http://schemas.openxmlformats.org/officeDocument/2006/relationships/hyperlink" Target="https://www.law.cornell.edu/definitions/index.php?width=840&amp;height=800&amp;iframe=true&amp;def_id=2ef098dc3c2efa593cfa683d121f47a0&amp;term_occur=2&amp;term_src=Title:45:Chapter:A:Subchapter:A:Part:75:Subpart:D:Subjgrp:25:75.322" TargetMode="External"/><Relationship Id="rId7" Type="http://schemas.openxmlformats.org/officeDocument/2006/relationships/endnotes" Target="endnotes.xml"/><Relationship Id="rId12" Type="http://schemas.openxmlformats.org/officeDocument/2006/relationships/hyperlink" Target="https://www.law.cornell.edu/cfr/text/45/subtitle-A/subchapter-A" TargetMode="External"/><Relationship Id="rId17" Type="http://schemas.openxmlformats.org/officeDocument/2006/relationships/hyperlink" Target="https://www.law.cornell.edu/definitions/index.php?width=840&amp;height=800&amp;iframe=true&amp;def_id=25c609af891bdc2964eba22ef9621db0&amp;term_occur=1&amp;term_src=Title:45:Chapter:A:Subchapter:A:Part:75:Subpart:D:Subjgrp:25:75.322" TargetMode="External"/><Relationship Id="rId25" Type="http://schemas.openxmlformats.org/officeDocument/2006/relationships/hyperlink" Target="https://www.law.cornell.edu/definitions/index.php?width=840&amp;height=800&amp;iframe=true&amp;def_id=4abc5fd8990e9cdafea16cf096f3eee3&amp;term_occur=3&amp;term_src=Title:45:Chapter:A:Subchapter:A:Part:75:Subpart:D:Subjgrp:25:75.32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aw.cornell.edu/cfr/text/45/75.2" TargetMode="External"/><Relationship Id="rId20" Type="http://schemas.openxmlformats.org/officeDocument/2006/relationships/hyperlink" Target="https://www.law.cornell.edu/definitions/index.php?width=840&amp;height=800&amp;iframe=true&amp;def_id=2ef098dc3c2efa593cfa683d121f47a0&amp;term_occur=1&amp;term_src=Title:45:Chapter:A:Subchapter:A:Part:75:Subpart:D:Subjgrp:25:75.322" TargetMode="External"/><Relationship Id="rId29" Type="http://schemas.openxmlformats.org/officeDocument/2006/relationships/hyperlink" Target="https://www.law.cornell.edu/cfr/text/37/part-4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w.cornell.edu/cfr/text/45/chapter-A" TargetMode="External"/><Relationship Id="rId24" Type="http://schemas.openxmlformats.org/officeDocument/2006/relationships/hyperlink" Target="https://www.law.cornell.edu/cfr/text/45/75.320"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aw.cornell.edu/definitions/index.php?width=840&amp;height=800&amp;iframe=true&amp;def_id=9159ba4b0aba8bf168a2f0d87e17cb73&amp;term_occur=2&amp;term_src=Title:45:Chapter:A:Subchapter:A:Part:75:Subpart:D:Subjgrp:25:75.322" TargetMode="External"/><Relationship Id="rId23" Type="http://schemas.openxmlformats.org/officeDocument/2006/relationships/hyperlink" Target="https://www.law.cornell.edu/definitions/index.php?width=840&amp;height=800&amp;iframe=true&amp;def_id=9159ba4b0aba8bf168a2f0d87e17cb73&amp;term_occur=3&amp;term_src=Title:45:Chapter:A:Subchapter:A:Part:75:Subpart:D:Subjgrp:25:75.322" TargetMode="External"/><Relationship Id="rId28" Type="http://schemas.openxmlformats.org/officeDocument/2006/relationships/hyperlink" Target="https://www.law.cornell.edu/definitions/index.php?width=840&amp;height=800&amp;iframe=true&amp;def_id=4abc5fd8990e9cdafea16cf096f3eee3&amp;term_occur=4&amp;term_src=Title:45:Chapter:A:Subchapter:A:Part:75:Subpart:D:Subjgrp:25:75.322" TargetMode="External"/><Relationship Id="rId10" Type="http://schemas.openxmlformats.org/officeDocument/2006/relationships/hyperlink" Target="https://www.law.cornell.edu/cfr/text/45" TargetMode="External"/><Relationship Id="rId19" Type="http://schemas.openxmlformats.org/officeDocument/2006/relationships/hyperlink" Target="https://www.law.cornell.edu/definitions/index.php?width=840&amp;height=800&amp;iframe=true&amp;def_id=4abc5fd8990e9cdafea16cf096f3eee3&amp;term_occur=1&amp;term_src=Title:45:Chapter:A:Subchapter:A:Part:75:Subpart:D:Subjgrp:25:75.322"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aw.cornell.edu/cfr/text" TargetMode="External"/><Relationship Id="rId14" Type="http://schemas.openxmlformats.org/officeDocument/2006/relationships/hyperlink" Target="https://www.law.cornell.edu/cfr/text/45/part-75/subpart-D" TargetMode="External"/><Relationship Id="rId22" Type="http://schemas.openxmlformats.org/officeDocument/2006/relationships/hyperlink" Target="https://www.law.cornell.edu/definitions/index.php?width=840&amp;height=800&amp;iframe=true&amp;def_id=7b49d385626678af2ab82788b3799570&amp;term_occur=1&amp;term_src=Title:45:Chapter:A:Subchapter:A:Part:75:Subpart:D:Subjgrp:25:75.322" TargetMode="External"/><Relationship Id="rId27" Type="http://schemas.openxmlformats.org/officeDocument/2006/relationships/hyperlink" Target="https://www.law.cornell.edu/definitions/index.php?width=840&amp;height=800&amp;iframe=true&amp;def_id=7b49d385626678af2ab82788b3799570&amp;term_occur=2&amp;term_src=Title:45:Chapter:A:Subchapter:A:Part:75:Subpart:D:Subjgrp:25:75.322" TargetMode="External"/><Relationship Id="rId30" Type="http://schemas.openxmlformats.org/officeDocument/2006/relationships/hyperlink" Target="https://www.law.cornell.edu/definitions/index.php?width=840&amp;height=800&amp;iframe=true&amp;def_id=25c609af891bdc2964eba22ef9621db0&amp;term_occur=3&amp;term_src=Title:45:Chapter:A:Subchapter:A:Part:75:Subpart:D:Subjgrp:25:75.3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3C650-718D-4D99-83C1-544F9F6BE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2039</Words>
  <Characters>11628</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Leef, Elizabeth  (ACL)</dc:creator>
  <cp:keywords/>
  <dc:description/>
  <cp:lastModifiedBy>Campbell, Thom (ACL)</cp:lastModifiedBy>
  <cp:revision>2</cp:revision>
  <cp:lastPrinted>2018-04-06T13:30:00Z</cp:lastPrinted>
  <dcterms:created xsi:type="dcterms:W3CDTF">2018-04-06T18:51:00Z</dcterms:created>
  <dcterms:modified xsi:type="dcterms:W3CDTF">2018-04-06T18:51:00Z</dcterms:modified>
</cp:coreProperties>
</file>