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4084" w:rsidRDefault="00B04084" w:rsidP="00B04084">
      <w:pPr>
        <w:ind w:right="299"/>
        <w:jc w:val="center"/>
        <w:rPr>
          <w:rFonts w:asciiTheme="minorHAnsi" w:hAnsiTheme="minorHAnsi" w:cstheme="minorHAnsi"/>
          <w:b/>
          <w:u w:val="single"/>
        </w:rPr>
      </w:pPr>
      <w:r>
        <w:rPr>
          <w:rFonts w:asciiTheme="minorHAnsi" w:hAnsiTheme="minorHAnsi" w:cstheme="minorHAnsi"/>
          <w:b/>
          <w:u w:val="single"/>
        </w:rPr>
        <w:t>Department of State</w:t>
      </w:r>
    </w:p>
    <w:p w:rsidR="00B04084" w:rsidRDefault="00B04084" w:rsidP="00B04084">
      <w:pPr>
        <w:ind w:right="299"/>
        <w:jc w:val="center"/>
        <w:rPr>
          <w:rFonts w:asciiTheme="minorHAnsi" w:hAnsiTheme="minorHAnsi" w:cstheme="minorHAnsi"/>
          <w:b/>
          <w:u w:val="single"/>
        </w:rPr>
      </w:pPr>
      <w:r>
        <w:rPr>
          <w:rFonts w:asciiTheme="minorHAnsi" w:hAnsiTheme="minorHAnsi" w:cstheme="minorHAnsi"/>
          <w:b/>
          <w:u w:val="single"/>
        </w:rPr>
        <w:t>Bureau of Counterterrorism (CT)</w:t>
      </w:r>
    </w:p>
    <w:p w:rsidR="00B04084" w:rsidRDefault="00B04084" w:rsidP="00B04084">
      <w:pPr>
        <w:ind w:right="299"/>
        <w:jc w:val="center"/>
        <w:rPr>
          <w:rFonts w:asciiTheme="minorHAnsi" w:hAnsiTheme="minorHAnsi" w:cstheme="minorHAnsi"/>
          <w:b/>
          <w:u w:val="single"/>
        </w:rPr>
      </w:pPr>
      <w:r>
        <w:rPr>
          <w:rFonts w:asciiTheme="minorHAnsi" w:hAnsiTheme="minorHAnsi" w:cstheme="minorHAnsi"/>
          <w:b/>
          <w:u w:val="single"/>
        </w:rPr>
        <w:t xml:space="preserve">NOFO </w:t>
      </w:r>
      <w:r w:rsidRPr="00AB0239">
        <w:rPr>
          <w:rFonts w:asciiTheme="minorHAnsi" w:hAnsiTheme="minorHAnsi" w:cstheme="minorHAnsi"/>
          <w:b/>
          <w:u w:val="single"/>
        </w:rPr>
        <w:t>SFOP0005</w:t>
      </w:r>
      <w:r>
        <w:rPr>
          <w:rFonts w:asciiTheme="minorHAnsi" w:hAnsiTheme="minorHAnsi" w:cstheme="minorHAnsi"/>
          <w:b/>
          <w:u w:val="single"/>
        </w:rPr>
        <w:t>952</w:t>
      </w:r>
    </w:p>
    <w:p w:rsidR="00B04084" w:rsidRDefault="00B04084" w:rsidP="00B04084">
      <w:pPr>
        <w:ind w:right="299"/>
        <w:jc w:val="center"/>
        <w:rPr>
          <w:rFonts w:asciiTheme="minorHAnsi" w:hAnsiTheme="minorHAnsi" w:cstheme="minorHAnsi"/>
          <w:b/>
          <w:u w:val="single"/>
        </w:rPr>
      </w:pPr>
      <w:r>
        <w:rPr>
          <w:rFonts w:asciiTheme="minorHAnsi" w:hAnsiTheme="minorHAnsi" w:cstheme="minorHAnsi"/>
          <w:b/>
          <w:u w:val="single"/>
        </w:rPr>
        <w:t>July 16, 2019</w:t>
      </w:r>
    </w:p>
    <w:p w:rsidR="00B04084" w:rsidRDefault="00B04084" w:rsidP="00B04084">
      <w:pPr>
        <w:ind w:right="299"/>
        <w:jc w:val="center"/>
        <w:rPr>
          <w:rFonts w:asciiTheme="minorHAnsi" w:hAnsiTheme="minorHAnsi" w:cstheme="minorHAnsi"/>
          <w:b/>
          <w:u w:val="single"/>
        </w:rPr>
      </w:pPr>
    </w:p>
    <w:p w:rsidR="00B04084" w:rsidRDefault="00B04084" w:rsidP="00B04084">
      <w:pPr>
        <w:ind w:right="299"/>
        <w:jc w:val="center"/>
        <w:rPr>
          <w:rFonts w:asciiTheme="minorHAnsi" w:hAnsiTheme="minorHAnsi" w:cstheme="minorHAnsi"/>
          <w:b/>
          <w:u w:val="single"/>
        </w:rPr>
      </w:pPr>
      <w:r w:rsidRPr="00DF68CD">
        <w:rPr>
          <w:rFonts w:asciiTheme="minorHAnsi" w:hAnsiTheme="minorHAnsi" w:cstheme="minorHAnsi"/>
          <w:b/>
          <w:u w:val="single"/>
        </w:rPr>
        <w:t>PROACT: Community-Based Intervention Program</w:t>
      </w:r>
      <w:r>
        <w:rPr>
          <w:rFonts w:asciiTheme="minorHAnsi" w:hAnsiTheme="minorHAnsi" w:cstheme="minorHAnsi"/>
          <w:b/>
          <w:u w:val="single"/>
        </w:rPr>
        <w:t xml:space="preserve"> – Questions and Answers</w:t>
      </w:r>
    </w:p>
    <w:p w:rsidR="00B04084" w:rsidRPr="00636500" w:rsidRDefault="00B04084" w:rsidP="00B04084">
      <w:pPr>
        <w:tabs>
          <w:tab w:val="left" w:pos="360"/>
        </w:tabs>
        <w:ind w:right="299"/>
        <w:jc w:val="center"/>
        <w:rPr>
          <w:rFonts w:asciiTheme="minorHAnsi" w:hAnsiTheme="minorHAnsi" w:cstheme="minorHAnsi"/>
          <w:color w:val="000000" w:themeColor="text1"/>
        </w:rPr>
      </w:pPr>
    </w:p>
    <w:p w:rsidR="00B04084" w:rsidRPr="00AC12DF" w:rsidRDefault="00B04084" w:rsidP="00B04084">
      <w:pPr>
        <w:tabs>
          <w:tab w:val="left" w:pos="720"/>
        </w:tabs>
        <w:rPr>
          <w:rFonts w:asciiTheme="minorHAnsi" w:hAnsiTheme="minorHAnsi" w:cstheme="minorHAnsi"/>
          <w:i/>
          <w:color w:val="000000" w:themeColor="text1"/>
        </w:rPr>
      </w:pPr>
      <w:r w:rsidRPr="00636500">
        <w:rPr>
          <w:rFonts w:asciiTheme="minorHAnsi" w:hAnsiTheme="minorHAnsi" w:cstheme="minorHAnsi"/>
          <w:i/>
          <w:color w:val="000000" w:themeColor="text1"/>
        </w:rPr>
        <w:t>Q</w:t>
      </w:r>
      <w:r>
        <w:rPr>
          <w:rFonts w:asciiTheme="minorHAnsi" w:hAnsiTheme="minorHAnsi" w:cstheme="minorHAnsi"/>
          <w:i/>
          <w:color w:val="000000" w:themeColor="text1"/>
        </w:rPr>
        <w:t xml:space="preserve">1.  Can </w:t>
      </w:r>
      <w:r w:rsidRPr="000D58CC">
        <w:rPr>
          <w:rFonts w:asciiTheme="minorHAnsi" w:hAnsiTheme="minorHAnsi" w:cstheme="minorHAnsi"/>
          <w:i/>
          <w:color w:val="000000" w:themeColor="text1"/>
        </w:rPr>
        <w:t xml:space="preserve">applicants </w:t>
      </w:r>
      <w:r>
        <w:rPr>
          <w:rFonts w:asciiTheme="minorHAnsi" w:hAnsiTheme="minorHAnsi" w:cstheme="minorHAnsi"/>
          <w:i/>
          <w:color w:val="000000" w:themeColor="text1"/>
        </w:rPr>
        <w:t>insert</w:t>
      </w:r>
      <w:r w:rsidRPr="000D58CC">
        <w:rPr>
          <w:rFonts w:asciiTheme="minorHAnsi" w:hAnsiTheme="minorHAnsi" w:cstheme="minorHAnsi"/>
          <w:i/>
          <w:color w:val="000000" w:themeColor="text1"/>
        </w:rPr>
        <w:t xml:space="preserve"> additional columns </w:t>
      </w:r>
      <w:r>
        <w:rPr>
          <w:rFonts w:asciiTheme="minorHAnsi" w:hAnsiTheme="minorHAnsi" w:cstheme="minorHAnsi"/>
          <w:i/>
          <w:color w:val="000000" w:themeColor="text1"/>
        </w:rPr>
        <w:t>in</w:t>
      </w:r>
      <w:r w:rsidRPr="000D58CC">
        <w:rPr>
          <w:rFonts w:asciiTheme="minorHAnsi" w:hAnsiTheme="minorHAnsi" w:cstheme="minorHAnsi"/>
          <w:i/>
          <w:color w:val="000000" w:themeColor="text1"/>
        </w:rPr>
        <w:t xml:space="preserve">to the Detailed Line Item Budget template to present yearly </w:t>
      </w:r>
      <w:r>
        <w:rPr>
          <w:rFonts w:asciiTheme="minorHAnsi" w:hAnsiTheme="minorHAnsi" w:cstheme="minorHAnsi"/>
          <w:i/>
          <w:color w:val="000000" w:themeColor="text1"/>
        </w:rPr>
        <w:t>cost breakdowns, in addition to adding new lines?</w:t>
      </w:r>
    </w:p>
    <w:p w:rsidR="00B04084" w:rsidRDefault="00B04084" w:rsidP="00B04084">
      <w:pPr>
        <w:autoSpaceDE w:val="0"/>
        <w:autoSpaceDN w:val="0"/>
        <w:rPr>
          <w:rFonts w:asciiTheme="minorHAnsi" w:hAnsiTheme="minorHAnsi" w:cstheme="minorHAnsi"/>
          <w:b/>
          <w:color w:val="000000" w:themeColor="text1"/>
        </w:rPr>
      </w:pPr>
    </w:p>
    <w:p w:rsidR="00B04084" w:rsidRDefault="00B04084" w:rsidP="00B04084">
      <w:pPr>
        <w:autoSpaceDE w:val="0"/>
        <w:autoSpaceDN w:val="0"/>
        <w:rPr>
          <w:b/>
          <w:bCs/>
          <w:color w:val="000000"/>
        </w:rPr>
      </w:pPr>
      <w:r w:rsidRPr="00B04084">
        <w:rPr>
          <w:rFonts w:asciiTheme="minorHAnsi" w:hAnsiTheme="minorHAnsi" w:cstheme="minorHAnsi"/>
          <w:b/>
          <w:color w:val="000000" w:themeColor="text1"/>
          <w:u w:val="single"/>
        </w:rPr>
        <w:t>Response</w:t>
      </w:r>
      <w:r>
        <w:rPr>
          <w:rFonts w:asciiTheme="minorHAnsi" w:hAnsiTheme="minorHAnsi" w:cstheme="minorHAnsi"/>
          <w:b/>
          <w:color w:val="000000" w:themeColor="text1"/>
        </w:rPr>
        <w:t xml:space="preserve">: </w:t>
      </w:r>
      <w:r>
        <w:rPr>
          <w:rFonts w:asciiTheme="minorHAnsi" w:hAnsiTheme="minorHAnsi" w:cstheme="minorHAnsi"/>
          <w:b/>
          <w:color w:val="000000" w:themeColor="text1"/>
        </w:rPr>
        <w:t xml:space="preserve"> Applicants may insert additional lines within the OMB approved </w:t>
      </w:r>
      <w:r w:rsidRPr="00B04084">
        <w:rPr>
          <w:rFonts w:asciiTheme="minorHAnsi" w:hAnsiTheme="minorHAnsi" w:cstheme="minorHAnsi"/>
          <w:b/>
          <w:i/>
          <w:color w:val="000000" w:themeColor="text1"/>
        </w:rPr>
        <w:t>cost category</w:t>
      </w:r>
      <w:r>
        <w:rPr>
          <w:rFonts w:asciiTheme="minorHAnsi" w:hAnsiTheme="minorHAnsi" w:cstheme="minorHAnsi"/>
          <w:b/>
          <w:i/>
          <w:color w:val="000000" w:themeColor="text1"/>
        </w:rPr>
        <w:t xml:space="preserve">, e.g., Personnel, Fringe, etc.  </w:t>
      </w:r>
      <w:r w:rsidRPr="00B04084">
        <w:rPr>
          <w:rFonts w:asciiTheme="minorHAnsi" w:hAnsiTheme="minorHAnsi" w:cstheme="minorHAnsi"/>
          <w:b/>
          <w:color w:val="000000" w:themeColor="text1"/>
        </w:rPr>
        <w:t>Cost categories must remain as is, additional cost categories may not be added.  With regard t</w:t>
      </w:r>
      <w:r>
        <w:rPr>
          <w:rFonts w:asciiTheme="minorHAnsi" w:hAnsiTheme="minorHAnsi" w:cstheme="minorHAnsi"/>
          <w:b/>
          <w:color w:val="000000" w:themeColor="text1"/>
        </w:rPr>
        <w:t>o inserting additional columns, cost breakdowns, such as unit costs and other information to explain the calculation,</w:t>
      </w:r>
      <w:bookmarkStart w:id="0" w:name="_GoBack"/>
      <w:bookmarkEnd w:id="0"/>
      <w:r>
        <w:rPr>
          <w:rFonts w:asciiTheme="minorHAnsi" w:hAnsiTheme="minorHAnsi" w:cstheme="minorHAnsi"/>
          <w:b/>
          <w:color w:val="000000" w:themeColor="text1"/>
        </w:rPr>
        <w:t xml:space="preserve"> must be provided in the budget narrative document in Word (please follow the instructions in the PSI)</w:t>
      </w:r>
    </w:p>
    <w:p w:rsidR="00F8746D" w:rsidRDefault="00F8746D"/>
    <w:sectPr w:rsidR="00F8746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4084"/>
    <w:rsid w:val="00B04084"/>
    <w:rsid w:val="00F87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6829EF"/>
  <w15:chartTrackingRefBased/>
  <w15:docId w15:val="{A3466DA1-97C9-4C1E-94B7-AA8C29B44B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04084"/>
    <w:pPr>
      <w:spacing w:after="0" w:line="240" w:lineRule="auto"/>
    </w:pPr>
    <w:rPr>
      <w:rFonts w:ascii="Calibri" w:hAnsi="Calibri" w:cs="Calibri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111</Words>
  <Characters>637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U.S. Department of State</Company>
  <LinksUpToDate>false</LinksUpToDate>
  <CharactersWithSpaces>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Chagnon, Ruta</dc:creator>
  <cp:keywords/>
  <dc:description/>
  <cp:lastModifiedBy>Chagnon, Ruta</cp:lastModifiedBy>
  <cp:revision>1</cp:revision>
  <dcterms:created xsi:type="dcterms:W3CDTF">2019-07-17T11:39:00Z</dcterms:created>
  <dcterms:modified xsi:type="dcterms:W3CDTF">2019-07-17T11:47:00Z</dcterms:modified>
</cp:coreProperties>
</file>