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7DDC4" w14:textId="1C563ED9" w:rsidR="00CA06DD" w:rsidRDefault="00CA06DD" w:rsidP="00CA06DD">
      <w:pPr>
        <w:pStyle w:val="Heading4"/>
      </w:pPr>
      <w:r>
        <w:t xml:space="preserve">Example - </w:t>
      </w:r>
      <w:r>
        <w:t>Work Plan</w:t>
      </w:r>
    </w:p>
    <w:p w14:paraId="56B3789A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The work plan allows the project officer to monitor implementation of activities and progress on project</w:t>
      </w:r>
    </w:p>
    <w:p w14:paraId="3E2681F7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period outcomes. Applicants should be instructed to provide a detailed work plan for the first year of the</w:t>
      </w:r>
    </w:p>
    <w:p w14:paraId="6654A849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 xml:space="preserve">project and a </w:t>
      </w:r>
      <w:r w:rsidRPr="00A17E21">
        <w:rPr>
          <w:rFonts w:ascii="TimesNewRomanPS-ItalicMT" w:hAnsi="TimesNewRomanPS-ItalicMT" w:cs="TimesNewRomanPS-ItalicMT"/>
          <w:i/>
          <w:iCs/>
          <w:color w:val="000000"/>
          <w:u w:val="single"/>
        </w:rPr>
        <w:t>high-level</w:t>
      </w:r>
      <w:r>
        <w:rPr>
          <w:rFonts w:ascii="TimesNewRomanPS-ItalicMT" w:hAnsi="TimesNewRomanPS-ItalicMT" w:cs="TimesNewRomanPS-ItalicMT"/>
          <w:i/>
          <w:iCs/>
          <w:color w:val="000000"/>
        </w:rPr>
        <w:t xml:space="preserve"> work plan for subsequent years.</w:t>
      </w:r>
    </w:p>
    <w:p w14:paraId="58C8E444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</w:p>
    <w:p w14:paraId="2DE9E630" w14:textId="77777777" w:rsidR="00CA06DD" w:rsidRPr="00A17E21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  <w:u w:val="single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 xml:space="preserve">No specific work plan format is required, </w:t>
      </w:r>
      <w:r w:rsidRPr="00A17E21">
        <w:rPr>
          <w:rFonts w:ascii="TimesNewRomanPS-ItalicMT" w:hAnsi="TimesNewRomanPS-ItalicMT" w:cs="TimesNewRomanPS-ItalicMT"/>
          <w:i/>
          <w:iCs/>
          <w:color w:val="000000"/>
          <w:u w:val="single"/>
        </w:rPr>
        <w:t>as long as it is clear how the components in the work plan</w:t>
      </w:r>
    </w:p>
    <w:p w14:paraId="01307EFB" w14:textId="77777777" w:rsidR="00CA06DD" w:rsidRPr="00A17E21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  <w:u w:val="single"/>
        </w:rPr>
      </w:pPr>
      <w:r w:rsidRPr="00A17E21">
        <w:rPr>
          <w:rFonts w:ascii="TimesNewRomanPS-ItalicMT" w:hAnsi="TimesNewRomanPS-ItalicMT" w:cs="TimesNewRomanPS-ItalicMT"/>
          <w:i/>
          <w:iCs/>
          <w:color w:val="000000"/>
          <w:u w:val="single"/>
        </w:rPr>
        <w:t>crosswalk to the strategies and activities, outcomes, and evaluation and performance measures</w:t>
      </w:r>
    </w:p>
    <w:p w14:paraId="3C8417DC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 w:rsidRPr="00A17E21">
        <w:rPr>
          <w:rFonts w:ascii="TimesNewRomanPS-ItalicMT" w:hAnsi="TimesNewRomanPS-ItalicMT" w:cs="TimesNewRomanPS-ItalicMT"/>
          <w:i/>
          <w:iCs/>
          <w:color w:val="000000"/>
          <w:u w:val="single"/>
        </w:rPr>
        <w:t xml:space="preserve">presented in the logic model and the narrative sections of the </w:t>
      </w:r>
      <w:r>
        <w:rPr>
          <w:rFonts w:ascii="TimesNewRomanPS-ItalicMT" w:hAnsi="TimesNewRomanPS-ItalicMT" w:cs="TimesNewRomanPS-ItalicMT"/>
          <w:i/>
          <w:iCs/>
          <w:color w:val="000000"/>
          <w:u w:val="single"/>
        </w:rPr>
        <w:t>NOFO</w:t>
      </w:r>
      <w:r>
        <w:rPr>
          <w:rFonts w:ascii="TimesNewRomanPS-ItalicMT" w:hAnsi="TimesNewRomanPS-ItalicMT" w:cs="TimesNewRomanPS-ItalicMT"/>
          <w:i/>
          <w:iCs/>
          <w:color w:val="000000"/>
        </w:rPr>
        <w:t>. This will ensure that the applicant</w:t>
      </w:r>
    </w:p>
    <w:p w14:paraId="32942100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sees the work plan as proceeding from what was presented earlier and not as a separate, standalone</w:t>
      </w:r>
    </w:p>
    <w:p w14:paraId="77C2C647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document.</w:t>
      </w:r>
    </w:p>
    <w:p w14:paraId="063D845D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</w:p>
    <w:p w14:paraId="010B8CED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It is strongly preferred that CDC NOFO authors use strategies/activities/outcomes language for the work plan section. However, if there is a very compelling reason to use “goals” and “objectives,” those</w:t>
      </w:r>
    </w:p>
    <w:p w14:paraId="332A08DC" w14:textId="77777777" w:rsidR="00CA06DD" w:rsidRPr="00A17E21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  <w:u w:val="single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 xml:space="preserve">terms may be used in this section,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</w:rPr>
        <w:t xml:space="preserve">but </w:t>
      </w:r>
      <w:r>
        <w:rPr>
          <w:rFonts w:ascii="TimesNewRomanPS-ItalicMT" w:hAnsi="TimesNewRomanPS-ItalicMT" w:cs="TimesNewRomanPS-ItalicMT"/>
          <w:i/>
          <w:iCs/>
          <w:color w:val="000000"/>
        </w:rPr>
        <w:t xml:space="preserve">it </w:t>
      </w:r>
      <w:r w:rsidRPr="00A17E21">
        <w:rPr>
          <w:rFonts w:ascii="TimesNewRomanPS-ItalicMT" w:hAnsi="TimesNewRomanPS-ItalicMT" w:cs="TimesNewRomanPS-ItalicMT"/>
          <w:i/>
          <w:iCs/>
          <w:color w:val="000000"/>
          <w:u w:val="single"/>
        </w:rPr>
        <w:t>must be clear how these align with the outcomes in the logic</w:t>
      </w:r>
    </w:p>
    <w:p w14:paraId="6EA2B291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 w:rsidRPr="00A17E21">
        <w:rPr>
          <w:rFonts w:ascii="TimesNewRomanPS-ItalicMT" w:hAnsi="TimesNewRomanPS-ItalicMT" w:cs="TimesNewRomanPS-ItalicMT"/>
          <w:i/>
          <w:iCs/>
          <w:color w:val="000000"/>
          <w:u w:val="single"/>
        </w:rPr>
        <w:t>model and narrative.</w:t>
      </w:r>
      <w:r>
        <w:rPr>
          <w:rFonts w:ascii="TimesNewRomanPS-ItalicMT" w:hAnsi="TimesNewRomanPS-ItalicMT" w:cs="TimesNewRomanPS-ItalicMT"/>
          <w:i/>
          <w:iCs/>
          <w:color w:val="000000"/>
        </w:rPr>
        <w:t xml:space="preserve"> Likewise, if recipients are used to “SMART” objectives or indicators, it should be</w:t>
      </w:r>
    </w:p>
    <w:p w14:paraId="72A9576D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made clear that these are process or outcome measures (from the performance measurement and</w:t>
      </w:r>
    </w:p>
    <w:p w14:paraId="658BE4A9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evaluation section) that have just been re-written into “SMART” language.</w:t>
      </w:r>
    </w:p>
    <w:p w14:paraId="42D00F2C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</w:p>
    <w:p w14:paraId="42E2D46A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A sample work plan format is presented below to show how a traditional work plan aligns with the</w:t>
      </w:r>
    </w:p>
    <w:p w14:paraId="12FBC0A6" w14:textId="77777777" w:rsidR="00CA06DD" w:rsidRDefault="00CA06DD" w:rsidP="00CA06DD">
      <w:p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logic model and narrative.</w:t>
      </w:r>
    </w:p>
    <w:p w14:paraId="5F1A677C" w14:textId="77777777" w:rsidR="00CA06DD" w:rsidRPr="00A17E21" w:rsidRDefault="00CA06DD" w:rsidP="00CA06DD">
      <w:pPr>
        <w:pStyle w:val="ListParagraph"/>
        <w:numPr>
          <w:ilvl w:val="0"/>
          <w:numId w:val="1"/>
        </w:numPr>
        <w:shd w:val="clear" w:color="auto" w:fill="DEEAF6" w:themeFill="accent5" w:themeFillTint="33"/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color w:val="000000"/>
        </w:rPr>
      </w:pPr>
      <w:r w:rsidRPr="00A17E21">
        <w:rPr>
          <w:rFonts w:ascii="TimesNewRomanPS-ItalicMT" w:hAnsi="TimesNewRomanPS-ItalicMT" w:cs="TimesNewRomanPS-ItalicMT"/>
          <w:i/>
          <w:iCs/>
          <w:color w:val="000000"/>
        </w:rPr>
        <w:t xml:space="preserve">In this format, </w:t>
      </w:r>
      <w:r w:rsidRPr="00A17E21">
        <w:rPr>
          <w:rFonts w:ascii="TimesNewRomanPS-BoldItalicMT" w:hAnsi="TimesNewRomanPS-BoldItalicMT" w:cs="TimesNewRomanPS-BoldItalicMT"/>
          <w:b/>
          <w:bCs/>
          <w:i/>
          <w:iCs/>
          <w:color w:val="000000"/>
        </w:rPr>
        <w:t xml:space="preserve">the table would be completed for each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</w:rPr>
        <w:t>period of performance</w:t>
      </w:r>
      <w:r w:rsidRPr="00A17E21">
        <w:rPr>
          <w:rFonts w:ascii="TimesNewRomanPS-BoldItalicMT" w:hAnsi="TimesNewRomanPS-BoldItalicMT" w:cs="TimesNewRomanPS-BoldItalicMT"/>
          <w:b/>
          <w:bCs/>
          <w:i/>
          <w:iCs/>
          <w:color w:val="000000"/>
        </w:rPr>
        <w:t xml:space="preserve"> outcome</w:t>
      </w:r>
      <w:r w:rsidRPr="00A17E21">
        <w:rPr>
          <w:rFonts w:ascii="TimesNewRomanPS-ItalicMT" w:hAnsi="TimesNewRomanPS-ItalicMT" w:cs="TimesNewRomanPS-ItalicMT"/>
          <w:i/>
          <w:iCs/>
          <w:color w:val="000000"/>
        </w:rPr>
        <w:t>. If a particular</w:t>
      </w:r>
      <w:r>
        <w:rPr>
          <w:rFonts w:ascii="TimesNewRomanPS-ItalicMT" w:hAnsi="TimesNewRomanPS-ItalicMT" w:cs="TimesNewRomanPS-ItalicMT"/>
          <w:i/>
          <w:iCs/>
          <w:color w:val="000000"/>
        </w:rPr>
        <w:t xml:space="preserve"> </w:t>
      </w:r>
      <w:r w:rsidRPr="00A17E21">
        <w:rPr>
          <w:rFonts w:ascii="TimesNewRomanPS-ItalicMT" w:hAnsi="TimesNewRomanPS-ItalicMT" w:cs="TimesNewRomanPS-ItalicMT"/>
          <w:i/>
          <w:iCs/>
          <w:color w:val="000000"/>
        </w:rPr>
        <w:t>activity leads to multiple outcomes, it should be described under each outcome measure.</w:t>
      </w: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314"/>
        <w:gridCol w:w="2353"/>
        <w:gridCol w:w="2343"/>
        <w:gridCol w:w="2340"/>
      </w:tblGrid>
      <w:tr w:rsidR="00CA06DD" w14:paraId="500E6B96" w14:textId="77777777" w:rsidTr="00C86D5B">
        <w:tc>
          <w:tcPr>
            <w:tcW w:w="5034" w:type="dxa"/>
            <w:gridSpan w:val="2"/>
            <w:shd w:val="clear" w:color="auto" w:fill="DEEAF6" w:themeFill="accent5" w:themeFillTint="33"/>
          </w:tcPr>
          <w:p w14:paraId="1300EF52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Period of Performance</w:t>
            </w: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 xml:space="preserve"> Outcome:</w:t>
            </w:r>
          </w:p>
          <w:p w14:paraId="25E9C627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A17E21">
              <w:rPr>
                <w:rFonts w:ascii="TimesNewRomanPS-ItalicMT" w:hAnsi="TimesNewRomanPS-ItalicMT" w:cs="TimesNewRomanPS-ItalicMT"/>
                <w:i/>
                <w:iCs/>
                <w:color w:val="000000"/>
              </w:rPr>
              <w:t>[from Outcomes section and/or</w:t>
            </w:r>
            <w:r>
              <w:rPr>
                <w:rFonts w:ascii="TimesNewRomanPS-ItalicMT" w:hAnsi="TimesNewRomanPS-ItalicMT" w:cs="TimesNewRomanPS-ItalicMT"/>
                <w:i/>
                <w:iCs/>
                <w:color w:val="000000"/>
              </w:rPr>
              <w:t xml:space="preserve"> </w:t>
            </w:r>
            <w:r w:rsidRPr="00A17E21">
              <w:rPr>
                <w:rFonts w:ascii="TimesNewRomanPS-ItalicMT" w:hAnsi="TimesNewRomanPS-ItalicMT" w:cs="TimesNewRomanPS-ItalicMT"/>
                <w:i/>
                <w:iCs/>
                <w:color w:val="000000"/>
              </w:rPr>
              <w:t>logic model]</w:t>
            </w:r>
          </w:p>
        </w:tc>
        <w:tc>
          <w:tcPr>
            <w:tcW w:w="5036" w:type="dxa"/>
            <w:gridSpan w:val="2"/>
            <w:shd w:val="clear" w:color="auto" w:fill="DEEAF6" w:themeFill="accent5" w:themeFillTint="33"/>
          </w:tcPr>
          <w:p w14:paraId="146383D6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Outcome Measure:</w:t>
            </w:r>
          </w:p>
          <w:p w14:paraId="48C56F06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</w:rPr>
              <w:t>[from Evaluation and Performance</w:t>
            </w:r>
          </w:p>
          <w:p w14:paraId="5941218E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</w:rPr>
              <w:t>Measurement section]</w:t>
            </w:r>
          </w:p>
          <w:p w14:paraId="32B11F66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A06DD" w14:paraId="35657FAD" w14:textId="77777777" w:rsidTr="00C86D5B">
        <w:tc>
          <w:tcPr>
            <w:tcW w:w="2517" w:type="dxa"/>
            <w:shd w:val="clear" w:color="auto" w:fill="DEEAF6" w:themeFill="accent5" w:themeFillTint="33"/>
          </w:tcPr>
          <w:p w14:paraId="54424A09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Strategies and</w:t>
            </w:r>
          </w:p>
          <w:p w14:paraId="0E1F0E5E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Activities</w:t>
            </w:r>
          </w:p>
        </w:tc>
        <w:tc>
          <w:tcPr>
            <w:tcW w:w="2517" w:type="dxa"/>
            <w:shd w:val="clear" w:color="auto" w:fill="DEEAF6" w:themeFill="accent5" w:themeFillTint="33"/>
          </w:tcPr>
          <w:p w14:paraId="5876F07B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Process Measure</w:t>
            </w:r>
          </w:p>
          <w:p w14:paraId="65F491B2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</w:rPr>
              <w:t>[from Evaluation and</w:t>
            </w:r>
          </w:p>
          <w:p w14:paraId="728652E5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</w:rPr>
              <w:t>Performance</w:t>
            </w:r>
          </w:p>
          <w:p w14:paraId="26271759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color w:val="00000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color w:val="000000"/>
              </w:rPr>
              <w:t>Measurement section]</w:t>
            </w:r>
          </w:p>
        </w:tc>
        <w:tc>
          <w:tcPr>
            <w:tcW w:w="2518" w:type="dxa"/>
            <w:shd w:val="clear" w:color="auto" w:fill="DEEAF6" w:themeFill="accent5" w:themeFillTint="33"/>
          </w:tcPr>
          <w:p w14:paraId="44B78A6C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Responsible</w:t>
            </w:r>
          </w:p>
          <w:p w14:paraId="504629F3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Position /</w:t>
            </w:r>
          </w:p>
          <w:p w14:paraId="2EC42B84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Party</w:t>
            </w:r>
          </w:p>
        </w:tc>
        <w:tc>
          <w:tcPr>
            <w:tcW w:w="2518" w:type="dxa"/>
            <w:shd w:val="clear" w:color="auto" w:fill="DEEAF6" w:themeFill="accent5" w:themeFillTint="33"/>
          </w:tcPr>
          <w:p w14:paraId="36C6316F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Completion</w:t>
            </w:r>
          </w:p>
          <w:p w14:paraId="6C6337ED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A17E21">
              <w:rPr>
                <w:rFonts w:ascii="TimesNewRomanPS-BoldMT" w:hAnsi="TimesNewRomanPS-BoldMT" w:cs="TimesNewRomanPS-BoldMT"/>
                <w:b/>
                <w:bCs/>
                <w:color w:val="000000"/>
                <w:u w:val="single"/>
              </w:rPr>
              <w:t>Date</w:t>
            </w:r>
          </w:p>
        </w:tc>
      </w:tr>
      <w:tr w:rsidR="00CA06DD" w14:paraId="5324A9D2" w14:textId="77777777" w:rsidTr="00C86D5B">
        <w:tc>
          <w:tcPr>
            <w:tcW w:w="2517" w:type="dxa"/>
            <w:shd w:val="clear" w:color="auto" w:fill="DEEAF6" w:themeFill="accent5" w:themeFillTint="33"/>
          </w:tcPr>
          <w:p w14:paraId="11DFDE00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color w:val="000000"/>
              </w:rPr>
            </w:pPr>
            <w:r w:rsidRPr="00A17E21">
              <w:rPr>
                <w:rFonts w:ascii="TimesNewRomanPS-BoldMT" w:hAnsi="TimesNewRomanPS-BoldMT" w:cs="TimesNewRomanPS-BoldMT"/>
                <w:bCs/>
                <w:color w:val="000000"/>
              </w:rPr>
              <w:t>1.</w:t>
            </w:r>
          </w:p>
        </w:tc>
        <w:tc>
          <w:tcPr>
            <w:tcW w:w="2517" w:type="dxa"/>
            <w:shd w:val="clear" w:color="auto" w:fill="DEEAF6" w:themeFill="accent5" w:themeFillTint="33"/>
          </w:tcPr>
          <w:p w14:paraId="54546AC9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4591711E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77AD6C67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A06DD" w14:paraId="06743B35" w14:textId="77777777" w:rsidTr="00C86D5B">
        <w:tc>
          <w:tcPr>
            <w:tcW w:w="2517" w:type="dxa"/>
            <w:shd w:val="clear" w:color="auto" w:fill="DEEAF6" w:themeFill="accent5" w:themeFillTint="33"/>
          </w:tcPr>
          <w:p w14:paraId="4093C79D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color w:val="000000"/>
              </w:rPr>
            </w:pPr>
            <w:r w:rsidRPr="00A17E21">
              <w:rPr>
                <w:rFonts w:ascii="TimesNewRomanPS-BoldMT" w:hAnsi="TimesNewRomanPS-BoldMT" w:cs="TimesNewRomanPS-BoldMT"/>
                <w:bCs/>
                <w:color w:val="000000"/>
              </w:rPr>
              <w:t xml:space="preserve">2. </w:t>
            </w:r>
          </w:p>
        </w:tc>
        <w:tc>
          <w:tcPr>
            <w:tcW w:w="2517" w:type="dxa"/>
            <w:shd w:val="clear" w:color="auto" w:fill="DEEAF6" w:themeFill="accent5" w:themeFillTint="33"/>
          </w:tcPr>
          <w:p w14:paraId="005DA236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2324B2BB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51E983DB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A06DD" w14:paraId="18BB3E6B" w14:textId="77777777" w:rsidTr="00C86D5B">
        <w:tc>
          <w:tcPr>
            <w:tcW w:w="2517" w:type="dxa"/>
            <w:shd w:val="clear" w:color="auto" w:fill="DEEAF6" w:themeFill="accent5" w:themeFillTint="33"/>
          </w:tcPr>
          <w:p w14:paraId="34102125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</w:rPr>
              <w:t>3.</w:t>
            </w:r>
          </w:p>
        </w:tc>
        <w:tc>
          <w:tcPr>
            <w:tcW w:w="2517" w:type="dxa"/>
            <w:shd w:val="clear" w:color="auto" w:fill="DEEAF6" w:themeFill="accent5" w:themeFillTint="33"/>
          </w:tcPr>
          <w:p w14:paraId="69D44774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0FC62421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3F64CA8C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A06DD" w14:paraId="00A7F816" w14:textId="77777777" w:rsidTr="00C86D5B">
        <w:tc>
          <w:tcPr>
            <w:tcW w:w="2517" w:type="dxa"/>
            <w:shd w:val="clear" w:color="auto" w:fill="DEEAF6" w:themeFill="accent5" w:themeFillTint="33"/>
          </w:tcPr>
          <w:p w14:paraId="62565560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</w:rPr>
              <w:t>4.</w:t>
            </w:r>
          </w:p>
        </w:tc>
        <w:tc>
          <w:tcPr>
            <w:tcW w:w="2517" w:type="dxa"/>
            <w:shd w:val="clear" w:color="auto" w:fill="DEEAF6" w:themeFill="accent5" w:themeFillTint="33"/>
          </w:tcPr>
          <w:p w14:paraId="25164128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61CE69FB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46C4A2D7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A06DD" w14:paraId="535EBC4F" w14:textId="77777777" w:rsidTr="00C86D5B">
        <w:tc>
          <w:tcPr>
            <w:tcW w:w="2517" w:type="dxa"/>
            <w:shd w:val="clear" w:color="auto" w:fill="DEEAF6" w:themeFill="accent5" w:themeFillTint="33"/>
          </w:tcPr>
          <w:p w14:paraId="46E51FA3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</w:rPr>
              <w:t>5.</w:t>
            </w:r>
          </w:p>
        </w:tc>
        <w:tc>
          <w:tcPr>
            <w:tcW w:w="2517" w:type="dxa"/>
            <w:shd w:val="clear" w:color="auto" w:fill="DEEAF6" w:themeFill="accent5" w:themeFillTint="33"/>
          </w:tcPr>
          <w:p w14:paraId="5EFB7A2B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708AB3A3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141A6343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A06DD" w14:paraId="46196307" w14:textId="77777777" w:rsidTr="00C86D5B">
        <w:tc>
          <w:tcPr>
            <w:tcW w:w="2517" w:type="dxa"/>
            <w:shd w:val="clear" w:color="auto" w:fill="DEEAF6" w:themeFill="accent5" w:themeFillTint="33"/>
          </w:tcPr>
          <w:p w14:paraId="746AFAAA" w14:textId="77777777" w:rsidR="00CA06DD" w:rsidRPr="00A17E21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</w:rPr>
              <w:t>6</w:t>
            </w:r>
          </w:p>
        </w:tc>
        <w:tc>
          <w:tcPr>
            <w:tcW w:w="2517" w:type="dxa"/>
            <w:shd w:val="clear" w:color="auto" w:fill="DEEAF6" w:themeFill="accent5" w:themeFillTint="33"/>
          </w:tcPr>
          <w:p w14:paraId="471F2F0A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125C6009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518" w:type="dxa"/>
            <w:shd w:val="clear" w:color="auto" w:fill="DEEAF6" w:themeFill="accent5" w:themeFillTint="33"/>
          </w:tcPr>
          <w:p w14:paraId="7CDD0518" w14:textId="77777777" w:rsidR="00CA06DD" w:rsidRDefault="00CA06DD" w:rsidP="00C86D5B">
            <w:pPr>
              <w:shd w:val="clear" w:color="auto" w:fill="DEEAF6" w:themeFill="accent5" w:themeFillTint="33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</w:tbl>
    <w:p w14:paraId="4E8C4C59" w14:textId="77777777" w:rsidR="003616A7" w:rsidRDefault="003616A7"/>
    <w:sectPr w:rsidR="00361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2F671E"/>
    <w:multiLevelType w:val="hybridMultilevel"/>
    <w:tmpl w:val="F6B4EEA4"/>
    <w:lvl w:ilvl="0" w:tplc="88DE49C2">
      <w:start w:val="1"/>
      <w:numFmt w:val="bullet"/>
      <w:lvlText w:val="•"/>
      <w:lvlJc w:val="left"/>
      <w:pPr>
        <w:ind w:left="720" w:hanging="360"/>
      </w:pPr>
      <w:rPr>
        <w:rFonts w:ascii="TimesNewRomanPS-ItalicMT" w:eastAsiaTheme="minorHAnsi" w:hAnsi="TimesNewRomanPS-ItalicMT" w:cs="TimesNewRomanPS-Italic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D"/>
    <w:rsid w:val="003616A7"/>
    <w:rsid w:val="00CA06DD"/>
    <w:rsid w:val="00E32013"/>
    <w:rsid w:val="00FA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3F3F"/>
  <w15:chartTrackingRefBased/>
  <w15:docId w15:val="{91FD96CA-1564-42A8-8786-7858A9B8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6DD"/>
    <w:pPr>
      <w:spacing w:after="0" w:line="240" w:lineRule="auto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06DD"/>
    <w:pPr>
      <w:autoSpaceDE w:val="0"/>
      <w:autoSpaceDN w:val="0"/>
      <w:adjustRightInd w:val="0"/>
      <w:outlineLvl w:val="3"/>
    </w:pPr>
    <w:rPr>
      <w:rFonts w:ascii="TimesNewRomanPS-BoldMT" w:hAnsi="TimesNewRomanPS-BoldMT" w:cs="TimesNewRomanPS-BoldMT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A06DD"/>
    <w:rPr>
      <w:rFonts w:ascii="TimesNewRomanPS-BoldMT" w:hAnsi="TimesNewRomanPS-BoldMT" w:cs="TimesNewRomanPS-BoldMT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CA06DD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CA0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Schlemmer, Maryann (CDC/DDNID/NCEH/DEHSP)</dc:creator>
  <cp:keywords/>
  <dc:description/>
  <cp:lastModifiedBy>Schlemmer, Maryann (CDC/DDNID/NCEH/DEHSP)</cp:lastModifiedBy>
  <cp:revision>1</cp:revision>
  <dcterms:created xsi:type="dcterms:W3CDTF">2021-01-29T20:33:00Z</dcterms:created>
  <dcterms:modified xsi:type="dcterms:W3CDTF">2021-01-29T20:34:00Z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2021-01-29T20:33:50Z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d76d8775-821e-41c8-95fa-1123c4eb081a</vt:lpwstr>
  </property>
  <property fmtid="{D5CDD505-2E9C-101B-9397-08002B2CF9AE}" pid="8" name="MSIP_Label_7b94a7b8-f06c-4dfe-bdcc-9b548fd58c31_ContentBits">
    <vt:lpwstr>0</vt:lpwstr>
  </property>
</Properties>
</file>