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8CFAA" w14:textId="77777777" w:rsidR="003B6B4E" w:rsidRPr="00BF6EE4" w:rsidRDefault="00BF6EE4">
      <w:pPr>
        <w:rPr>
          <w:rFonts w:asciiTheme="majorHAnsi" w:hAnsiTheme="majorHAnsi" w:cstheme="majorHAnsi"/>
          <w:sz w:val="24"/>
          <w:szCs w:val="24"/>
        </w:rPr>
      </w:pPr>
      <w:bookmarkStart w:id="0" w:name="_GoBack"/>
      <w:bookmarkEnd w:id="0"/>
      <w:r w:rsidRPr="00BF6EE4">
        <w:rPr>
          <w:rFonts w:asciiTheme="majorHAnsi" w:hAnsiTheme="majorHAnsi" w:cstheme="majorHAnsi"/>
          <w:sz w:val="24"/>
          <w:szCs w:val="24"/>
        </w:rPr>
        <w:t>SFOP0005210 – Heritage</w:t>
      </w:r>
    </w:p>
    <w:p w14:paraId="6F736B65" w14:textId="77777777" w:rsidR="00BF6EE4" w:rsidRPr="009B1607" w:rsidRDefault="00BF6EE4" w:rsidP="00BF6EE4">
      <w:pPr>
        <w:pStyle w:val="ListParagraph"/>
        <w:numPr>
          <w:ilvl w:val="0"/>
          <w:numId w:val="2"/>
        </w:numPr>
        <w:rPr>
          <w:rFonts w:asciiTheme="majorHAnsi" w:hAnsiTheme="majorHAnsi" w:cstheme="majorHAnsi"/>
          <w:color w:val="000000"/>
          <w:sz w:val="24"/>
          <w:szCs w:val="24"/>
        </w:rPr>
      </w:pPr>
      <w:r w:rsidRPr="009B1607">
        <w:rPr>
          <w:rFonts w:asciiTheme="majorHAnsi" w:hAnsiTheme="majorHAnsi" w:cstheme="majorHAnsi"/>
          <w:color w:val="000000"/>
          <w:sz w:val="24"/>
          <w:szCs w:val="24"/>
        </w:rPr>
        <w:t>The announcement states “several sites in the Nineveh Plains area of northern Iraq have been identified as potential candidates for conservation activities that would ultimately contribute to the maintenance and promotion of cultural memory, identity, diversity, and freedom of expression,” but does not list the sites nor refer to related documents.  Who identified them and what is their contact information?  Where is the list of sites and geographic coordinates?  Where is related documentation on their current status and significance?</w:t>
      </w:r>
    </w:p>
    <w:p w14:paraId="14F2A226" w14:textId="0C4D4C68" w:rsidR="00914485" w:rsidRDefault="00DA7D41" w:rsidP="009D430B">
      <w:pPr>
        <w:autoSpaceDE w:val="0"/>
        <w:autoSpaceDN w:val="0"/>
        <w:ind w:left="1080"/>
        <w:rPr>
          <w:rFonts w:ascii="Cambria" w:hAnsi="Cambria"/>
        </w:rPr>
      </w:pPr>
      <w:r w:rsidRPr="009B1607">
        <w:rPr>
          <w:rFonts w:asciiTheme="majorHAnsi" w:hAnsiTheme="majorHAnsi" w:cstheme="majorHAnsi"/>
          <w:color w:val="000000"/>
          <w:sz w:val="24"/>
          <w:szCs w:val="24"/>
        </w:rPr>
        <w:t>Answer:</w:t>
      </w:r>
      <w:r w:rsidRPr="0098119D">
        <w:rPr>
          <w:rFonts w:asciiTheme="majorHAnsi" w:hAnsiTheme="majorHAnsi" w:cstheme="majorHAnsi"/>
          <w:color w:val="000000"/>
          <w:sz w:val="24"/>
          <w:szCs w:val="24"/>
        </w:rPr>
        <w:t xml:space="preserve"> </w:t>
      </w:r>
      <w:r w:rsidR="009D430B" w:rsidRPr="009B1607">
        <w:rPr>
          <w:rFonts w:asciiTheme="majorHAnsi" w:hAnsiTheme="majorHAnsi" w:cstheme="majorHAnsi"/>
          <w:sz w:val="24"/>
          <w:szCs w:val="24"/>
        </w:rPr>
        <w:t>Several</w:t>
      </w:r>
      <w:r w:rsidR="00365E8A" w:rsidRPr="009B1607">
        <w:rPr>
          <w:rFonts w:asciiTheme="majorHAnsi" w:hAnsiTheme="majorHAnsi" w:cstheme="majorHAnsi"/>
          <w:sz w:val="24"/>
          <w:szCs w:val="24"/>
        </w:rPr>
        <w:t xml:space="preserve"> </w:t>
      </w:r>
      <w:r w:rsidR="00260335" w:rsidRPr="009B1607">
        <w:rPr>
          <w:rFonts w:asciiTheme="majorHAnsi" w:hAnsiTheme="majorHAnsi" w:cstheme="majorHAnsi"/>
          <w:sz w:val="24"/>
          <w:szCs w:val="24"/>
        </w:rPr>
        <w:t>sites</w:t>
      </w:r>
      <w:r w:rsidR="009D430B" w:rsidRPr="009B1607">
        <w:rPr>
          <w:rFonts w:asciiTheme="majorHAnsi" w:hAnsiTheme="majorHAnsi" w:cstheme="majorHAnsi"/>
          <w:sz w:val="24"/>
          <w:szCs w:val="24"/>
        </w:rPr>
        <w:t>, such as churches, monasteries, museums,</w:t>
      </w:r>
      <w:r w:rsidR="00260335" w:rsidRPr="009B1607">
        <w:rPr>
          <w:rFonts w:asciiTheme="majorHAnsi" w:hAnsiTheme="majorHAnsi" w:cstheme="majorHAnsi"/>
          <w:sz w:val="24"/>
          <w:szCs w:val="24"/>
        </w:rPr>
        <w:t xml:space="preserve"> </w:t>
      </w:r>
      <w:r w:rsidR="009D430B" w:rsidRPr="009B1607">
        <w:rPr>
          <w:rFonts w:asciiTheme="majorHAnsi" w:hAnsiTheme="majorHAnsi" w:cstheme="majorHAnsi"/>
          <w:sz w:val="24"/>
          <w:szCs w:val="24"/>
        </w:rPr>
        <w:t>and other sites t</w:t>
      </w:r>
      <w:r w:rsidR="009D430B" w:rsidRPr="0098119D">
        <w:rPr>
          <w:rFonts w:asciiTheme="majorHAnsi" w:hAnsiTheme="majorHAnsi" w:cstheme="majorHAnsi"/>
          <w:sz w:val="24"/>
          <w:szCs w:val="24"/>
        </w:rPr>
        <w:t>argeted for destruction by ISIS</w:t>
      </w:r>
      <w:r w:rsidR="009D430B" w:rsidRPr="009B1607">
        <w:rPr>
          <w:rFonts w:asciiTheme="majorHAnsi" w:hAnsiTheme="majorHAnsi" w:cstheme="majorHAnsi"/>
          <w:sz w:val="24"/>
          <w:szCs w:val="24"/>
        </w:rPr>
        <w:t xml:space="preserve"> and other terrorist groups, were identified as potential candidates </w:t>
      </w:r>
      <w:r w:rsidR="00365E8A" w:rsidRPr="009B1607">
        <w:rPr>
          <w:rFonts w:asciiTheme="majorHAnsi" w:hAnsiTheme="majorHAnsi" w:cstheme="majorHAnsi"/>
          <w:sz w:val="24"/>
          <w:szCs w:val="24"/>
        </w:rPr>
        <w:t xml:space="preserve">for conservation activities </w:t>
      </w:r>
      <w:r w:rsidR="00260335" w:rsidRPr="009B1607">
        <w:rPr>
          <w:rFonts w:asciiTheme="majorHAnsi" w:hAnsiTheme="majorHAnsi" w:cstheme="majorHAnsi"/>
          <w:sz w:val="24"/>
          <w:szCs w:val="24"/>
        </w:rPr>
        <w:t xml:space="preserve">by </w:t>
      </w:r>
      <w:r w:rsidR="009D430B" w:rsidRPr="009B1607">
        <w:rPr>
          <w:rFonts w:asciiTheme="majorHAnsi" w:hAnsiTheme="majorHAnsi" w:cstheme="majorHAnsi"/>
          <w:sz w:val="24"/>
          <w:szCs w:val="24"/>
        </w:rPr>
        <w:t xml:space="preserve">the </w:t>
      </w:r>
      <w:hyperlink r:id="rId5" w:history="1">
        <w:r w:rsidR="009D430B" w:rsidRPr="009B1607">
          <w:rPr>
            <w:rStyle w:val="Hyperlink"/>
            <w:rFonts w:asciiTheme="majorHAnsi" w:hAnsiTheme="majorHAnsi" w:cstheme="majorHAnsi"/>
            <w:sz w:val="24"/>
            <w:szCs w:val="24"/>
          </w:rPr>
          <w:t>American Schools of Oriental Research</w:t>
        </w:r>
      </w:hyperlink>
      <w:r w:rsidR="009D430B" w:rsidRPr="009B1607">
        <w:rPr>
          <w:rFonts w:asciiTheme="majorHAnsi" w:hAnsiTheme="majorHAnsi" w:cstheme="majorHAnsi"/>
          <w:sz w:val="24"/>
          <w:szCs w:val="24"/>
        </w:rPr>
        <w:t xml:space="preserve"> </w:t>
      </w:r>
      <w:r w:rsidR="0081550E">
        <w:rPr>
          <w:rFonts w:asciiTheme="majorHAnsi" w:hAnsiTheme="majorHAnsi" w:cstheme="majorHAnsi"/>
          <w:sz w:val="24"/>
          <w:szCs w:val="24"/>
        </w:rPr>
        <w:t xml:space="preserve">(ASOR) </w:t>
      </w:r>
      <w:r w:rsidR="009D430B" w:rsidRPr="009B1607">
        <w:rPr>
          <w:rFonts w:asciiTheme="majorHAnsi" w:hAnsiTheme="majorHAnsi" w:cstheme="majorHAnsi"/>
          <w:sz w:val="24"/>
          <w:szCs w:val="24"/>
        </w:rPr>
        <w:t xml:space="preserve">via </w:t>
      </w:r>
      <w:r w:rsidR="00260335" w:rsidRPr="009B1607">
        <w:rPr>
          <w:rFonts w:asciiTheme="majorHAnsi" w:hAnsiTheme="majorHAnsi" w:cstheme="majorHAnsi"/>
          <w:sz w:val="24"/>
          <w:szCs w:val="24"/>
        </w:rPr>
        <w:t xml:space="preserve">a </w:t>
      </w:r>
      <w:r w:rsidR="009D430B" w:rsidRPr="009B1607">
        <w:rPr>
          <w:rFonts w:asciiTheme="majorHAnsi" w:hAnsiTheme="majorHAnsi" w:cstheme="majorHAnsi"/>
          <w:sz w:val="24"/>
          <w:szCs w:val="24"/>
        </w:rPr>
        <w:t>cooperative agreement with the Department of State</w:t>
      </w:r>
      <w:r w:rsidR="00260335" w:rsidRPr="009B1607">
        <w:rPr>
          <w:rFonts w:asciiTheme="majorHAnsi" w:hAnsiTheme="majorHAnsi" w:cstheme="majorHAnsi"/>
          <w:sz w:val="24"/>
          <w:szCs w:val="24"/>
        </w:rPr>
        <w:t xml:space="preserve">.  </w:t>
      </w:r>
      <w:r w:rsidR="009D430B" w:rsidRPr="009B1607">
        <w:rPr>
          <w:rFonts w:asciiTheme="majorHAnsi" w:hAnsiTheme="majorHAnsi" w:cstheme="majorHAnsi"/>
          <w:sz w:val="24"/>
          <w:szCs w:val="24"/>
        </w:rPr>
        <w:t>The list of potential candidates is not conclusive. The Department of State</w:t>
      </w:r>
      <w:r w:rsidR="00365E8A" w:rsidRPr="009B1607">
        <w:rPr>
          <w:rFonts w:asciiTheme="majorHAnsi" w:hAnsiTheme="majorHAnsi" w:cstheme="majorHAnsi"/>
          <w:sz w:val="24"/>
          <w:szCs w:val="24"/>
        </w:rPr>
        <w:t xml:space="preserve"> has not </w:t>
      </w:r>
      <w:r w:rsidR="009D430B" w:rsidRPr="009B1607">
        <w:rPr>
          <w:rFonts w:asciiTheme="majorHAnsi" w:hAnsiTheme="majorHAnsi" w:cstheme="majorHAnsi"/>
          <w:sz w:val="24"/>
          <w:szCs w:val="24"/>
        </w:rPr>
        <w:t xml:space="preserve">conducted or supported the </w:t>
      </w:r>
      <w:r w:rsidR="00365E8A" w:rsidRPr="009B1607">
        <w:rPr>
          <w:rFonts w:asciiTheme="majorHAnsi" w:hAnsiTheme="majorHAnsi" w:cstheme="majorHAnsi"/>
          <w:sz w:val="24"/>
          <w:szCs w:val="24"/>
        </w:rPr>
        <w:t>assessment</w:t>
      </w:r>
      <w:r w:rsidR="009D430B" w:rsidRPr="009B1607">
        <w:rPr>
          <w:rFonts w:asciiTheme="majorHAnsi" w:hAnsiTheme="majorHAnsi" w:cstheme="majorHAnsi"/>
          <w:sz w:val="24"/>
          <w:szCs w:val="24"/>
        </w:rPr>
        <w:t xml:space="preserve"> of any </w:t>
      </w:r>
      <w:r w:rsidR="00365E8A" w:rsidRPr="009B1607">
        <w:rPr>
          <w:rFonts w:asciiTheme="majorHAnsi" w:hAnsiTheme="majorHAnsi" w:cstheme="majorHAnsi"/>
          <w:sz w:val="24"/>
          <w:szCs w:val="24"/>
        </w:rPr>
        <w:t>sites, nor has it been in communication with any stakeholders</w:t>
      </w:r>
      <w:r w:rsidR="009D430B" w:rsidRPr="009B1607">
        <w:rPr>
          <w:rFonts w:asciiTheme="majorHAnsi" w:hAnsiTheme="majorHAnsi" w:cstheme="majorHAnsi"/>
          <w:sz w:val="24"/>
          <w:szCs w:val="24"/>
        </w:rPr>
        <w:t>. For these reasons, the Department</w:t>
      </w:r>
      <w:r w:rsidR="00365E8A" w:rsidRPr="009B1607">
        <w:rPr>
          <w:rFonts w:asciiTheme="majorHAnsi" w:hAnsiTheme="majorHAnsi" w:cstheme="majorHAnsi"/>
          <w:sz w:val="24"/>
          <w:szCs w:val="24"/>
        </w:rPr>
        <w:t xml:space="preserve"> is</w:t>
      </w:r>
      <w:r w:rsidR="00260335" w:rsidRPr="009B1607">
        <w:rPr>
          <w:rFonts w:asciiTheme="majorHAnsi" w:hAnsiTheme="majorHAnsi" w:cstheme="majorHAnsi"/>
          <w:sz w:val="24"/>
          <w:szCs w:val="24"/>
        </w:rPr>
        <w:t xml:space="preserve"> </w:t>
      </w:r>
      <w:r w:rsidR="0081550E">
        <w:rPr>
          <w:rFonts w:asciiTheme="majorHAnsi" w:hAnsiTheme="majorHAnsi" w:cstheme="majorHAnsi"/>
          <w:sz w:val="24"/>
          <w:szCs w:val="24"/>
        </w:rPr>
        <w:t xml:space="preserve">not </w:t>
      </w:r>
      <w:r w:rsidR="00260335" w:rsidRPr="009B1607">
        <w:rPr>
          <w:rFonts w:asciiTheme="majorHAnsi" w:hAnsiTheme="majorHAnsi" w:cstheme="majorHAnsi"/>
          <w:sz w:val="24"/>
          <w:szCs w:val="24"/>
        </w:rPr>
        <w:t xml:space="preserve">able to provide documentation on the status of </w:t>
      </w:r>
      <w:r w:rsidR="009D430B" w:rsidRPr="009B1607">
        <w:rPr>
          <w:rFonts w:asciiTheme="majorHAnsi" w:hAnsiTheme="majorHAnsi" w:cstheme="majorHAnsi"/>
          <w:sz w:val="24"/>
          <w:szCs w:val="24"/>
        </w:rPr>
        <w:t>any</w:t>
      </w:r>
      <w:r w:rsidR="00260335" w:rsidRPr="009B1607">
        <w:rPr>
          <w:rFonts w:asciiTheme="majorHAnsi" w:hAnsiTheme="majorHAnsi" w:cstheme="majorHAnsi"/>
          <w:sz w:val="24"/>
          <w:szCs w:val="24"/>
        </w:rPr>
        <w:t xml:space="preserve"> </w:t>
      </w:r>
      <w:r w:rsidR="009D430B" w:rsidRPr="009B1607">
        <w:rPr>
          <w:rFonts w:asciiTheme="majorHAnsi" w:hAnsiTheme="majorHAnsi" w:cstheme="majorHAnsi"/>
          <w:sz w:val="24"/>
          <w:szCs w:val="24"/>
        </w:rPr>
        <w:t xml:space="preserve">specific </w:t>
      </w:r>
      <w:r w:rsidR="00260335" w:rsidRPr="009B1607">
        <w:rPr>
          <w:rFonts w:asciiTheme="majorHAnsi" w:hAnsiTheme="majorHAnsi" w:cstheme="majorHAnsi"/>
          <w:sz w:val="24"/>
          <w:szCs w:val="24"/>
        </w:rPr>
        <w:t xml:space="preserve">sites or their </w:t>
      </w:r>
      <w:r w:rsidR="009D430B" w:rsidRPr="009B1607">
        <w:rPr>
          <w:rFonts w:asciiTheme="majorHAnsi" w:hAnsiTheme="majorHAnsi" w:cstheme="majorHAnsi"/>
          <w:sz w:val="24"/>
          <w:szCs w:val="24"/>
        </w:rPr>
        <w:t xml:space="preserve">cultural </w:t>
      </w:r>
      <w:r w:rsidR="009B1607">
        <w:rPr>
          <w:rFonts w:asciiTheme="majorHAnsi" w:hAnsiTheme="majorHAnsi" w:cstheme="majorHAnsi"/>
          <w:sz w:val="24"/>
          <w:szCs w:val="24"/>
        </w:rPr>
        <w:t>significance</w:t>
      </w:r>
      <w:r w:rsidR="00260335" w:rsidRPr="009B1607">
        <w:rPr>
          <w:rFonts w:asciiTheme="majorHAnsi" w:hAnsiTheme="majorHAnsi" w:cstheme="majorHAnsi"/>
          <w:sz w:val="24"/>
          <w:szCs w:val="24"/>
        </w:rPr>
        <w:t>.</w:t>
      </w:r>
      <w:r w:rsidR="009D430B" w:rsidRPr="009B1607">
        <w:rPr>
          <w:rFonts w:asciiTheme="majorHAnsi" w:hAnsiTheme="majorHAnsi" w:cstheme="majorHAnsi"/>
          <w:sz w:val="24"/>
          <w:szCs w:val="24"/>
        </w:rPr>
        <w:t xml:space="preserve"> Upon award, the Department shall provide </w:t>
      </w:r>
      <w:r w:rsidR="0081550E">
        <w:rPr>
          <w:rFonts w:asciiTheme="majorHAnsi" w:hAnsiTheme="majorHAnsi" w:cstheme="majorHAnsi"/>
          <w:sz w:val="24"/>
          <w:szCs w:val="24"/>
        </w:rPr>
        <w:t xml:space="preserve">ASOR’s list of potential candidates </w:t>
      </w:r>
      <w:r w:rsidR="009D430B" w:rsidRPr="009B1607">
        <w:rPr>
          <w:rFonts w:asciiTheme="majorHAnsi" w:hAnsiTheme="majorHAnsi" w:cstheme="majorHAnsi"/>
          <w:sz w:val="24"/>
          <w:szCs w:val="24"/>
        </w:rPr>
        <w:t xml:space="preserve">which the awardee may use as the starting point for </w:t>
      </w:r>
      <w:r w:rsidR="009D430B" w:rsidRPr="0098119D">
        <w:rPr>
          <w:rFonts w:asciiTheme="majorHAnsi" w:hAnsiTheme="majorHAnsi" w:cstheme="majorHAnsi"/>
          <w:sz w:val="24"/>
          <w:szCs w:val="24"/>
        </w:rPr>
        <w:t>selecting</w:t>
      </w:r>
      <w:r w:rsidR="009D430B" w:rsidRPr="009B1607">
        <w:rPr>
          <w:rFonts w:asciiTheme="majorHAnsi" w:hAnsiTheme="majorHAnsi" w:cstheme="majorHAnsi"/>
          <w:sz w:val="24"/>
          <w:szCs w:val="24"/>
        </w:rPr>
        <w:t xml:space="preserve"> </w:t>
      </w:r>
      <w:r w:rsidR="0098119D">
        <w:rPr>
          <w:rFonts w:asciiTheme="majorHAnsi" w:hAnsiTheme="majorHAnsi" w:cstheme="majorHAnsi"/>
          <w:sz w:val="24"/>
          <w:szCs w:val="24"/>
        </w:rPr>
        <w:t xml:space="preserve">up to 15 </w:t>
      </w:r>
      <w:r w:rsidR="009D430B" w:rsidRPr="009B1607">
        <w:rPr>
          <w:rFonts w:asciiTheme="majorHAnsi" w:hAnsiTheme="majorHAnsi" w:cstheme="majorHAnsi"/>
          <w:sz w:val="24"/>
          <w:szCs w:val="24"/>
        </w:rPr>
        <w:t xml:space="preserve">sites </w:t>
      </w:r>
      <w:r w:rsidR="0098119D">
        <w:rPr>
          <w:rFonts w:asciiTheme="majorHAnsi" w:hAnsiTheme="majorHAnsi" w:cstheme="majorHAnsi"/>
          <w:sz w:val="24"/>
          <w:szCs w:val="24"/>
        </w:rPr>
        <w:t xml:space="preserve">for assessment and up to 3 sites for conservation, both </w:t>
      </w:r>
      <w:r w:rsidR="009D430B" w:rsidRPr="009B1607">
        <w:rPr>
          <w:rFonts w:asciiTheme="majorHAnsi" w:hAnsiTheme="majorHAnsi" w:cstheme="majorHAnsi"/>
          <w:sz w:val="24"/>
          <w:szCs w:val="24"/>
        </w:rPr>
        <w:t>in co</w:t>
      </w:r>
      <w:r w:rsidR="0098119D">
        <w:rPr>
          <w:rFonts w:asciiTheme="majorHAnsi" w:hAnsiTheme="majorHAnsi" w:cstheme="majorHAnsi"/>
          <w:sz w:val="24"/>
          <w:szCs w:val="24"/>
        </w:rPr>
        <w:t>nsultation</w:t>
      </w:r>
      <w:r w:rsidR="009D430B" w:rsidRPr="009B1607">
        <w:rPr>
          <w:rFonts w:asciiTheme="majorHAnsi" w:hAnsiTheme="majorHAnsi" w:cstheme="majorHAnsi"/>
          <w:sz w:val="24"/>
          <w:szCs w:val="24"/>
        </w:rPr>
        <w:t xml:space="preserve"> with the Department.</w:t>
      </w:r>
      <w:r w:rsidR="00914485" w:rsidRPr="009B1607">
        <w:rPr>
          <w:rFonts w:asciiTheme="majorHAnsi" w:hAnsiTheme="majorHAnsi" w:cstheme="majorHAnsi"/>
          <w:sz w:val="24"/>
          <w:szCs w:val="24"/>
        </w:rPr>
        <w:t xml:space="preserve"> </w:t>
      </w:r>
    </w:p>
    <w:p w14:paraId="3B43493F" w14:textId="77777777" w:rsidR="00BF6EE4" w:rsidRPr="009B1607" w:rsidRDefault="00BF6EE4" w:rsidP="00BF6EE4">
      <w:pPr>
        <w:pStyle w:val="ListParagraph"/>
        <w:numPr>
          <w:ilvl w:val="0"/>
          <w:numId w:val="2"/>
        </w:numPr>
        <w:rPr>
          <w:rFonts w:asciiTheme="majorHAnsi" w:hAnsiTheme="majorHAnsi" w:cstheme="majorHAnsi"/>
          <w:color w:val="000000"/>
          <w:sz w:val="24"/>
          <w:szCs w:val="24"/>
        </w:rPr>
      </w:pPr>
      <w:r w:rsidRPr="009B1607">
        <w:rPr>
          <w:rFonts w:asciiTheme="majorHAnsi" w:hAnsiTheme="majorHAnsi" w:cstheme="majorHAnsi"/>
          <w:color w:val="000000"/>
          <w:sz w:val="24"/>
          <w:szCs w:val="24"/>
        </w:rPr>
        <w:t>The announcement refers to “feasibility of restoring the buildings to a functional state with available funding.”  Is this project only for man-made structures?  </w:t>
      </w:r>
      <w:r w:rsidR="00DA7D41" w:rsidRPr="009B1607">
        <w:rPr>
          <w:rFonts w:asciiTheme="majorHAnsi" w:hAnsiTheme="majorHAnsi" w:cstheme="majorHAnsi"/>
          <w:color w:val="000000"/>
          <w:sz w:val="24"/>
          <w:szCs w:val="24"/>
        </w:rPr>
        <w:t>If so, is it only for buildings</w:t>
      </w:r>
      <w:r w:rsidRPr="009B1607">
        <w:rPr>
          <w:rFonts w:asciiTheme="majorHAnsi" w:hAnsiTheme="majorHAnsi" w:cstheme="majorHAnsi"/>
          <w:color w:val="000000"/>
          <w:sz w:val="24"/>
          <w:szCs w:val="24"/>
        </w:rPr>
        <w:t xml:space="preserve"> or also for monuments, fountains, wells, market areas, plazas, courtyards, parks, crossroads, natural features, etc.?  Additionally, is this only for named sites or also for unnamed one?</w:t>
      </w:r>
    </w:p>
    <w:p w14:paraId="1F5DCDA1" w14:textId="09085FFB" w:rsidR="00DA7D41" w:rsidRPr="00DA7D41" w:rsidRDefault="00DA7D41" w:rsidP="00DA7D41">
      <w:pPr>
        <w:ind w:left="1080"/>
        <w:rPr>
          <w:rFonts w:asciiTheme="majorHAnsi" w:hAnsiTheme="majorHAnsi" w:cstheme="majorHAnsi"/>
          <w:color w:val="000000"/>
          <w:sz w:val="24"/>
          <w:szCs w:val="24"/>
        </w:rPr>
      </w:pPr>
      <w:r w:rsidRPr="009B1607">
        <w:rPr>
          <w:rFonts w:asciiTheme="majorHAnsi" w:hAnsiTheme="majorHAnsi" w:cstheme="majorHAnsi"/>
          <w:color w:val="000000"/>
          <w:sz w:val="24"/>
          <w:szCs w:val="24"/>
        </w:rPr>
        <w:t xml:space="preserve">Answer: </w:t>
      </w:r>
      <w:r w:rsidR="00110047" w:rsidRPr="009B1607">
        <w:rPr>
          <w:rFonts w:asciiTheme="majorHAnsi" w:hAnsiTheme="majorHAnsi" w:cstheme="majorHAnsi"/>
          <w:color w:val="000000"/>
          <w:sz w:val="24"/>
          <w:szCs w:val="24"/>
        </w:rPr>
        <w:t xml:space="preserve">Sites may include anything built by human hands, whether named or unnamed, such as monuments, fountains, wells, market areas, plazas, courtyards, parks, and crossroads. Natural features are excluded from this </w:t>
      </w:r>
      <w:r w:rsidR="0098119D">
        <w:rPr>
          <w:rFonts w:asciiTheme="majorHAnsi" w:hAnsiTheme="majorHAnsi" w:cstheme="majorHAnsi"/>
          <w:color w:val="000000"/>
          <w:sz w:val="24"/>
          <w:szCs w:val="24"/>
        </w:rPr>
        <w:t>NOFO</w:t>
      </w:r>
      <w:r w:rsidR="00110047" w:rsidRPr="009B1607">
        <w:rPr>
          <w:rFonts w:asciiTheme="majorHAnsi" w:hAnsiTheme="majorHAnsi" w:cstheme="majorHAnsi"/>
          <w:color w:val="000000"/>
          <w:sz w:val="24"/>
          <w:szCs w:val="24"/>
        </w:rPr>
        <w:t>.</w:t>
      </w:r>
      <w:r w:rsidR="00365E8A" w:rsidRPr="0098119D">
        <w:rPr>
          <w:rFonts w:asciiTheme="majorHAnsi" w:hAnsiTheme="majorHAnsi" w:cstheme="majorHAnsi"/>
          <w:color w:val="000000"/>
          <w:sz w:val="24"/>
          <w:szCs w:val="24"/>
        </w:rPr>
        <w:t xml:space="preserve"> </w:t>
      </w:r>
    </w:p>
    <w:p w14:paraId="6CA667DC" w14:textId="77777777" w:rsidR="00BF6EE4" w:rsidRDefault="00BF6EE4" w:rsidP="00BF6EE4">
      <w:pPr>
        <w:pStyle w:val="ListParagraph"/>
        <w:numPr>
          <w:ilvl w:val="0"/>
          <w:numId w:val="2"/>
        </w:numPr>
        <w:rPr>
          <w:rFonts w:asciiTheme="majorHAnsi" w:hAnsiTheme="majorHAnsi" w:cstheme="majorHAnsi"/>
          <w:color w:val="000000"/>
          <w:sz w:val="24"/>
          <w:szCs w:val="24"/>
        </w:rPr>
      </w:pPr>
      <w:r w:rsidRPr="00BF6EE4">
        <w:rPr>
          <w:rFonts w:asciiTheme="majorHAnsi" w:hAnsiTheme="majorHAnsi" w:cstheme="majorHAnsi"/>
          <w:color w:val="000000"/>
          <w:sz w:val="24"/>
          <w:szCs w:val="24"/>
        </w:rPr>
        <w:t>The announcement discusses security measures.  What information is available or will be provided on the current intrinsic safety of the identified sites to lives and property that may be involved in the project?  For example, have the sites been de-mined?  Are safe boundaries demarcated?  What is the contact information for those who have or are making the areas safe?</w:t>
      </w:r>
    </w:p>
    <w:p w14:paraId="46EB62F9" w14:textId="2156DFCD" w:rsidR="007E4AA0" w:rsidRPr="007E4AA0" w:rsidRDefault="00DA7D41" w:rsidP="007E4AA0">
      <w:pPr>
        <w:ind w:left="1080"/>
        <w:rPr>
          <w:rFonts w:asciiTheme="majorHAnsi" w:hAnsiTheme="majorHAnsi" w:cstheme="majorHAnsi"/>
          <w:color w:val="000000"/>
          <w:sz w:val="24"/>
          <w:szCs w:val="24"/>
        </w:rPr>
      </w:pPr>
      <w:r>
        <w:rPr>
          <w:rFonts w:asciiTheme="majorHAnsi" w:hAnsiTheme="majorHAnsi" w:cstheme="majorHAnsi"/>
          <w:color w:val="000000"/>
          <w:sz w:val="24"/>
          <w:szCs w:val="24"/>
        </w:rPr>
        <w:t xml:space="preserve">Answer: </w:t>
      </w:r>
      <w:r w:rsidR="00531FF5">
        <w:rPr>
          <w:rFonts w:asciiTheme="majorHAnsi" w:hAnsiTheme="majorHAnsi" w:cstheme="majorHAnsi"/>
          <w:color w:val="000000"/>
          <w:sz w:val="24"/>
          <w:szCs w:val="24"/>
        </w:rPr>
        <w:t xml:space="preserve">Applicants are expected to have a working knowledge of the security situation in Iraq and </w:t>
      </w:r>
      <w:r w:rsidR="0062154F">
        <w:rPr>
          <w:rFonts w:asciiTheme="majorHAnsi" w:hAnsiTheme="majorHAnsi" w:cstheme="majorHAnsi"/>
          <w:color w:val="000000"/>
          <w:sz w:val="24"/>
          <w:szCs w:val="24"/>
        </w:rPr>
        <w:t xml:space="preserve">be </w:t>
      </w:r>
      <w:r w:rsidR="00531FF5">
        <w:rPr>
          <w:rFonts w:asciiTheme="majorHAnsi" w:hAnsiTheme="majorHAnsi" w:cstheme="majorHAnsi"/>
          <w:color w:val="000000"/>
          <w:sz w:val="24"/>
          <w:szCs w:val="24"/>
        </w:rPr>
        <w:t xml:space="preserve">able to establish necessary measures based on potential security </w:t>
      </w:r>
      <w:r w:rsidR="0062154F">
        <w:rPr>
          <w:rFonts w:asciiTheme="majorHAnsi" w:hAnsiTheme="majorHAnsi" w:cstheme="majorHAnsi"/>
          <w:color w:val="000000"/>
          <w:sz w:val="24"/>
          <w:szCs w:val="24"/>
        </w:rPr>
        <w:t>concerns</w:t>
      </w:r>
      <w:r w:rsidR="00531FF5">
        <w:rPr>
          <w:rFonts w:asciiTheme="majorHAnsi" w:hAnsiTheme="majorHAnsi" w:cstheme="majorHAnsi"/>
          <w:color w:val="000000"/>
          <w:sz w:val="24"/>
          <w:szCs w:val="24"/>
        </w:rPr>
        <w:t xml:space="preserve">. </w:t>
      </w:r>
    </w:p>
    <w:p w14:paraId="4F40D4A1" w14:textId="1CD4771E" w:rsidR="00BF6EE4" w:rsidRDefault="00BF6EE4" w:rsidP="00BF6EE4">
      <w:pPr>
        <w:pStyle w:val="ListParagraph"/>
        <w:numPr>
          <w:ilvl w:val="0"/>
          <w:numId w:val="2"/>
        </w:numPr>
        <w:rPr>
          <w:rFonts w:asciiTheme="majorHAnsi" w:hAnsiTheme="majorHAnsi" w:cstheme="majorHAnsi"/>
          <w:color w:val="000000"/>
          <w:sz w:val="24"/>
          <w:szCs w:val="24"/>
        </w:rPr>
      </w:pPr>
      <w:r w:rsidRPr="00BF6EE4">
        <w:rPr>
          <w:rFonts w:asciiTheme="majorHAnsi" w:hAnsiTheme="majorHAnsi" w:cstheme="majorHAnsi"/>
          <w:color w:val="000000"/>
          <w:sz w:val="24"/>
          <w:szCs w:val="24"/>
        </w:rPr>
        <w:lastRenderedPageBreak/>
        <w:t xml:space="preserve">Has the United States </w:t>
      </w:r>
      <w:r w:rsidR="0062154F">
        <w:rPr>
          <w:rFonts w:asciiTheme="majorHAnsi" w:hAnsiTheme="majorHAnsi" w:cstheme="majorHAnsi"/>
          <w:color w:val="000000"/>
          <w:sz w:val="24"/>
          <w:szCs w:val="24"/>
        </w:rPr>
        <w:t>g</w:t>
      </w:r>
      <w:r w:rsidRPr="00BF6EE4">
        <w:rPr>
          <w:rFonts w:asciiTheme="majorHAnsi" w:hAnsiTheme="majorHAnsi" w:cstheme="majorHAnsi"/>
          <w:color w:val="000000"/>
          <w:sz w:val="24"/>
          <w:szCs w:val="24"/>
        </w:rPr>
        <w:t>overnment previously awarded contracts for the conservation of sites in Iraq?  If so, where are the reports, budgets, and evaluations of these projects and what is the contact information of the awardees? </w:t>
      </w:r>
    </w:p>
    <w:p w14:paraId="052A0D18" w14:textId="77777777" w:rsidR="007E4AA0" w:rsidRPr="007E4AA0" w:rsidRDefault="00DA7D41" w:rsidP="007E4AA0">
      <w:pPr>
        <w:ind w:left="1080"/>
        <w:rPr>
          <w:rFonts w:asciiTheme="majorHAnsi" w:hAnsiTheme="majorHAnsi" w:cstheme="majorHAnsi"/>
          <w:color w:val="000000"/>
          <w:sz w:val="24"/>
          <w:szCs w:val="24"/>
        </w:rPr>
      </w:pPr>
      <w:r>
        <w:rPr>
          <w:rFonts w:asciiTheme="majorHAnsi" w:hAnsiTheme="majorHAnsi" w:cstheme="majorHAnsi"/>
          <w:color w:val="000000"/>
          <w:sz w:val="24"/>
          <w:szCs w:val="24"/>
        </w:rPr>
        <w:t xml:space="preserve">Answer: </w:t>
      </w:r>
      <w:r w:rsidR="007E4AA0">
        <w:rPr>
          <w:rFonts w:asciiTheme="majorHAnsi" w:hAnsiTheme="majorHAnsi" w:cstheme="majorHAnsi"/>
          <w:color w:val="000000"/>
          <w:sz w:val="24"/>
          <w:szCs w:val="24"/>
        </w:rPr>
        <w:t xml:space="preserve">Federal assistance awards issued by the Department of State are reported in accordance with the Federal Funding Accountability and Transparency Act of 2006.  General award information is posted to the public on USASpending.gov.  Award specifics are procurement sensitive </w:t>
      </w:r>
      <w:r>
        <w:rPr>
          <w:rFonts w:asciiTheme="majorHAnsi" w:hAnsiTheme="majorHAnsi" w:cstheme="majorHAnsi"/>
          <w:color w:val="000000"/>
          <w:sz w:val="24"/>
          <w:szCs w:val="24"/>
        </w:rPr>
        <w:t>information.</w:t>
      </w:r>
    </w:p>
    <w:p w14:paraId="3944F4B6" w14:textId="77777777" w:rsidR="000F29EB" w:rsidRPr="000F29EB" w:rsidRDefault="00BF6EE4" w:rsidP="000F29EB">
      <w:pPr>
        <w:pStyle w:val="ListParagraph"/>
        <w:numPr>
          <w:ilvl w:val="0"/>
          <w:numId w:val="2"/>
        </w:numPr>
        <w:rPr>
          <w:rFonts w:asciiTheme="majorHAnsi" w:hAnsiTheme="majorHAnsi" w:cstheme="majorHAnsi"/>
          <w:color w:val="000000"/>
          <w:sz w:val="24"/>
          <w:szCs w:val="24"/>
        </w:rPr>
      </w:pPr>
      <w:r w:rsidRPr="00BF6EE4">
        <w:rPr>
          <w:rFonts w:asciiTheme="majorHAnsi" w:hAnsiTheme="majorHAnsi" w:cstheme="majorHAnsi"/>
          <w:sz w:val="24"/>
          <w:szCs w:val="24"/>
        </w:rPr>
        <w:t>The language of the NOFO states that “</w:t>
      </w:r>
      <w:r w:rsidRPr="00BF6EE4">
        <w:rPr>
          <w:rFonts w:asciiTheme="majorHAnsi" w:hAnsiTheme="majorHAnsi" w:cstheme="majorHAnsi"/>
          <w:i/>
          <w:iCs/>
          <w:sz w:val="24"/>
          <w:szCs w:val="24"/>
        </w:rPr>
        <w:t xml:space="preserve">direct any questions to the Embassy Regional Security Office (RSO) via the Grants Officer Representative (GOR)”.  </w:t>
      </w:r>
      <w:r w:rsidRPr="00BF6EE4">
        <w:rPr>
          <w:rFonts w:asciiTheme="majorHAnsi" w:hAnsiTheme="majorHAnsi" w:cstheme="majorHAnsi"/>
          <w:sz w:val="24"/>
          <w:szCs w:val="24"/>
        </w:rPr>
        <w:t xml:space="preserve">We assume this means that we should request the current COM policies and procedures </w:t>
      </w:r>
      <w:r w:rsidRPr="00BF6EE4">
        <w:rPr>
          <w:rFonts w:asciiTheme="majorHAnsi" w:hAnsiTheme="majorHAnsi" w:cstheme="majorHAnsi"/>
          <w:sz w:val="24"/>
          <w:szCs w:val="24"/>
          <w:u w:val="single"/>
        </w:rPr>
        <w:t>at the time of proposal (now)</w:t>
      </w:r>
      <w:r w:rsidRPr="00BF6EE4">
        <w:rPr>
          <w:rFonts w:asciiTheme="majorHAnsi" w:hAnsiTheme="majorHAnsi" w:cstheme="majorHAnsi"/>
          <w:sz w:val="24"/>
          <w:szCs w:val="24"/>
        </w:rPr>
        <w:t xml:space="preserve"> from the GOR rather than reaching out directly to the RSO. If so, please provide the appropriate contact information.</w:t>
      </w:r>
    </w:p>
    <w:p w14:paraId="256CBD4A" w14:textId="77777777" w:rsidR="000F29EB" w:rsidRPr="000F29EB" w:rsidRDefault="00DA7D41" w:rsidP="000F29EB">
      <w:pPr>
        <w:ind w:left="1080"/>
        <w:rPr>
          <w:rFonts w:asciiTheme="majorHAnsi" w:hAnsiTheme="majorHAnsi" w:cstheme="majorHAnsi"/>
          <w:color w:val="000000"/>
          <w:sz w:val="24"/>
          <w:szCs w:val="24"/>
        </w:rPr>
      </w:pPr>
      <w:r>
        <w:rPr>
          <w:rFonts w:asciiTheme="majorHAnsi" w:hAnsiTheme="majorHAnsi" w:cstheme="majorHAnsi"/>
          <w:color w:val="000000"/>
          <w:sz w:val="24"/>
          <w:szCs w:val="24"/>
        </w:rPr>
        <w:t xml:space="preserve">Answer: </w:t>
      </w:r>
      <w:r w:rsidR="000F29EB">
        <w:rPr>
          <w:rFonts w:asciiTheme="majorHAnsi" w:hAnsiTheme="majorHAnsi" w:cstheme="majorHAnsi"/>
          <w:color w:val="000000"/>
          <w:sz w:val="24"/>
          <w:szCs w:val="24"/>
        </w:rPr>
        <w:t xml:space="preserve">The reference to the Embassy Regional Security Office in the NOFO pertains to the </w:t>
      </w:r>
      <w:bookmarkStart w:id="1" w:name="_Toc516648743"/>
      <w:r w:rsidR="000F29EB" w:rsidRPr="000F29EB">
        <w:rPr>
          <w:rFonts w:asciiTheme="majorHAnsi" w:hAnsiTheme="majorHAnsi" w:cstheme="majorHAnsi"/>
          <w:color w:val="000000"/>
          <w:sz w:val="24"/>
          <w:szCs w:val="24"/>
        </w:rPr>
        <w:t>Special Provision for performance in a designated combat area requirements</w:t>
      </w:r>
      <w:bookmarkEnd w:id="1"/>
      <w:r w:rsidR="000F29EB">
        <w:rPr>
          <w:rFonts w:asciiTheme="majorHAnsi" w:hAnsiTheme="majorHAnsi" w:cstheme="majorHAnsi"/>
          <w:color w:val="000000"/>
          <w:sz w:val="24"/>
          <w:szCs w:val="24"/>
        </w:rPr>
        <w:t xml:space="preserve"> and the</w:t>
      </w:r>
      <w:r w:rsidR="000F29EB" w:rsidRPr="009B1607">
        <w:rPr>
          <w:rFonts w:asciiTheme="majorHAnsi" w:hAnsiTheme="majorHAnsi" w:cstheme="majorHAnsi"/>
          <w:color w:val="000000"/>
          <w:sz w:val="28"/>
          <w:szCs w:val="24"/>
        </w:rPr>
        <w:t xml:space="preserve"> </w:t>
      </w:r>
      <w:r w:rsidR="000F29EB" w:rsidRPr="009B1607">
        <w:rPr>
          <w:rFonts w:asciiTheme="majorHAnsi" w:eastAsia="SimSun" w:hAnsiTheme="majorHAnsi" w:cstheme="majorHAnsi"/>
          <w:sz w:val="24"/>
          <w:szCs w:val="24"/>
          <w:lang w:eastAsia="zh-CN"/>
        </w:rPr>
        <w:t xml:space="preserve">Department of Defense maintained Synchronized Pre-deployment and Operational Tracker (SPOT) system.  This special provision is located under Section VII Administrative Information that only applies to successful applicants. </w:t>
      </w:r>
      <w:r w:rsidR="000F29EB">
        <w:rPr>
          <w:rFonts w:eastAsia="SimSun" w:cs="Times New Roman"/>
          <w:szCs w:val="24"/>
          <w:lang w:eastAsia="zh-CN"/>
        </w:rPr>
        <w:t xml:space="preserve"> </w:t>
      </w:r>
    </w:p>
    <w:p w14:paraId="57A68B2F" w14:textId="48D126C0" w:rsidR="00BF6EE4" w:rsidRPr="001E2803" w:rsidRDefault="00BF6EE4" w:rsidP="00BF6EE4">
      <w:pPr>
        <w:pStyle w:val="ListParagraph"/>
        <w:numPr>
          <w:ilvl w:val="0"/>
          <w:numId w:val="2"/>
        </w:numPr>
        <w:rPr>
          <w:rFonts w:asciiTheme="majorHAnsi" w:hAnsiTheme="majorHAnsi" w:cstheme="majorHAnsi"/>
          <w:color w:val="000000"/>
          <w:sz w:val="24"/>
          <w:szCs w:val="24"/>
        </w:rPr>
      </w:pPr>
      <w:r w:rsidRPr="00BF6EE4">
        <w:rPr>
          <w:rFonts w:asciiTheme="majorHAnsi" w:hAnsiTheme="majorHAnsi" w:cstheme="majorHAnsi"/>
          <w:sz w:val="24"/>
          <w:szCs w:val="24"/>
        </w:rPr>
        <w:t>Page 10 of Appendix 2 states that if an “organization does not have a NICRA, you may claim indirect charges in this field at a de</w:t>
      </w:r>
      <w:r w:rsidR="0081550E">
        <w:rPr>
          <w:rFonts w:asciiTheme="majorHAnsi" w:hAnsiTheme="majorHAnsi" w:cstheme="majorHAnsi"/>
          <w:sz w:val="24"/>
          <w:szCs w:val="24"/>
        </w:rPr>
        <w:t xml:space="preserve"> </w:t>
      </w:r>
      <w:r w:rsidRPr="00BF6EE4">
        <w:rPr>
          <w:rFonts w:asciiTheme="majorHAnsi" w:hAnsiTheme="majorHAnsi" w:cstheme="majorHAnsi"/>
          <w:sz w:val="24"/>
          <w:szCs w:val="24"/>
        </w:rPr>
        <w:t>minim</w:t>
      </w:r>
      <w:r w:rsidR="0081550E">
        <w:rPr>
          <w:rFonts w:asciiTheme="majorHAnsi" w:hAnsiTheme="majorHAnsi" w:cstheme="majorHAnsi"/>
          <w:sz w:val="24"/>
          <w:szCs w:val="24"/>
        </w:rPr>
        <w:t>i</w:t>
      </w:r>
      <w:r w:rsidRPr="00BF6EE4">
        <w:rPr>
          <w:rFonts w:asciiTheme="majorHAnsi" w:hAnsiTheme="majorHAnsi" w:cstheme="majorHAnsi"/>
          <w:sz w:val="24"/>
          <w:szCs w:val="24"/>
        </w:rPr>
        <w:t>s rate of 10%.” Can an organization charge indirect rates that are established and certified by third-party audits of their accounting records performed rather than the de</w:t>
      </w:r>
      <w:r w:rsidR="0081550E">
        <w:rPr>
          <w:rFonts w:asciiTheme="majorHAnsi" w:hAnsiTheme="majorHAnsi" w:cstheme="majorHAnsi"/>
          <w:sz w:val="24"/>
          <w:szCs w:val="24"/>
        </w:rPr>
        <w:t xml:space="preserve"> </w:t>
      </w:r>
      <w:r w:rsidRPr="00BF6EE4">
        <w:rPr>
          <w:rFonts w:asciiTheme="majorHAnsi" w:hAnsiTheme="majorHAnsi" w:cstheme="majorHAnsi"/>
          <w:sz w:val="24"/>
          <w:szCs w:val="24"/>
        </w:rPr>
        <w:t>minim</w:t>
      </w:r>
      <w:r w:rsidR="0081550E">
        <w:rPr>
          <w:rFonts w:asciiTheme="majorHAnsi" w:hAnsiTheme="majorHAnsi" w:cstheme="majorHAnsi"/>
          <w:sz w:val="24"/>
          <w:szCs w:val="24"/>
        </w:rPr>
        <w:t>i</w:t>
      </w:r>
      <w:r w:rsidRPr="00BF6EE4">
        <w:rPr>
          <w:rFonts w:asciiTheme="majorHAnsi" w:hAnsiTheme="majorHAnsi" w:cstheme="majorHAnsi"/>
          <w:sz w:val="24"/>
          <w:szCs w:val="24"/>
        </w:rPr>
        <w:t>s rate? If so, please give the requirements and what documentation should be included in the application submission.</w:t>
      </w:r>
    </w:p>
    <w:p w14:paraId="2B3678F8" w14:textId="14C25B4F" w:rsidR="001E2803" w:rsidRPr="001E2803" w:rsidRDefault="00DA7D41" w:rsidP="001E2803">
      <w:pPr>
        <w:ind w:left="1080"/>
        <w:rPr>
          <w:rFonts w:asciiTheme="majorHAnsi" w:hAnsiTheme="majorHAnsi" w:cstheme="majorHAnsi"/>
          <w:color w:val="000000"/>
          <w:sz w:val="24"/>
          <w:szCs w:val="24"/>
        </w:rPr>
      </w:pPr>
      <w:r>
        <w:rPr>
          <w:rFonts w:asciiTheme="majorHAnsi" w:hAnsiTheme="majorHAnsi" w:cstheme="majorHAnsi"/>
          <w:color w:val="000000"/>
          <w:sz w:val="24"/>
          <w:szCs w:val="24"/>
        </w:rPr>
        <w:t xml:space="preserve">Answer: </w:t>
      </w:r>
      <w:r w:rsidR="001E2803">
        <w:rPr>
          <w:rFonts w:asciiTheme="majorHAnsi" w:hAnsiTheme="majorHAnsi" w:cstheme="majorHAnsi"/>
          <w:color w:val="000000"/>
          <w:sz w:val="24"/>
          <w:szCs w:val="24"/>
        </w:rPr>
        <w:t xml:space="preserve">In compliance with 2 CFR 200.414, </w:t>
      </w:r>
      <w:r w:rsidR="0062154F">
        <w:rPr>
          <w:rFonts w:asciiTheme="majorHAnsi" w:hAnsiTheme="majorHAnsi" w:cstheme="majorHAnsi"/>
          <w:color w:val="000000"/>
          <w:sz w:val="24"/>
          <w:szCs w:val="24"/>
        </w:rPr>
        <w:t>i0</w:t>
      </w:r>
      <w:r w:rsidR="001E2803">
        <w:rPr>
          <w:rFonts w:asciiTheme="majorHAnsi" w:hAnsiTheme="majorHAnsi" w:cstheme="majorHAnsi"/>
          <w:color w:val="000000"/>
          <w:sz w:val="24"/>
          <w:szCs w:val="24"/>
        </w:rPr>
        <w:t xml:space="preserve">ndirect costs </w:t>
      </w:r>
      <w:r>
        <w:rPr>
          <w:rFonts w:asciiTheme="majorHAnsi" w:hAnsiTheme="majorHAnsi" w:cstheme="majorHAnsi"/>
          <w:color w:val="000000"/>
          <w:sz w:val="24"/>
          <w:szCs w:val="24"/>
        </w:rPr>
        <w:t xml:space="preserve">may only be </w:t>
      </w:r>
      <w:r w:rsidR="001E2803">
        <w:rPr>
          <w:rFonts w:asciiTheme="majorHAnsi" w:hAnsiTheme="majorHAnsi" w:cstheme="majorHAnsi"/>
          <w:color w:val="000000"/>
          <w:sz w:val="24"/>
          <w:szCs w:val="24"/>
        </w:rPr>
        <w:t xml:space="preserve">calculated by the rates established by a Federal Agency issued Negotiated Indirect Cost Rate Agreement or by the </w:t>
      </w:r>
      <w:r w:rsidRPr="00DA7D41">
        <w:rPr>
          <w:rFonts w:asciiTheme="majorHAnsi" w:hAnsiTheme="majorHAnsi" w:cstheme="majorHAnsi"/>
          <w:color w:val="000000"/>
          <w:sz w:val="24"/>
          <w:szCs w:val="24"/>
        </w:rPr>
        <w:t>de minim</w:t>
      </w:r>
      <w:r w:rsidR="0081550E">
        <w:rPr>
          <w:rFonts w:asciiTheme="majorHAnsi" w:hAnsiTheme="majorHAnsi" w:cstheme="majorHAnsi"/>
          <w:color w:val="000000"/>
          <w:sz w:val="24"/>
          <w:szCs w:val="24"/>
        </w:rPr>
        <w:t>i</w:t>
      </w:r>
      <w:r w:rsidRPr="00DA7D41">
        <w:rPr>
          <w:rFonts w:asciiTheme="majorHAnsi" w:hAnsiTheme="majorHAnsi" w:cstheme="majorHAnsi"/>
          <w:color w:val="000000"/>
          <w:sz w:val="24"/>
          <w:szCs w:val="24"/>
        </w:rPr>
        <w:t>s rate of 10% of mod</w:t>
      </w:r>
      <w:r>
        <w:rPr>
          <w:rFonts w:asciiTheme="majorHAnsi" w:hAnsiTheme="majorHAnsi" w:cstheme="majorHAnsi"/>
          <w:color w:val="000000"/>
          <w:sz w:val="24"/>
          <w:szCs w:val="24"/>
        </w:rPr>
        <w:t xml:space="preserve">ified total direct costs (MTDC). </w:t>
      </w:r>
      <w:r w:rsidR="001E2803">
        <w:rPr>
          <w:rFonts w:asciiTheme="majorHAnsi" w:hAnsiTheme="majorHAnsi" w:cstheme="majorHAnsi"/>
          <w:color w:val="000000"/>
          <w:sz w:val="24"/>
          <w:szCs w:val="24"/>
        </w:rPr>
        <w:t xml:space="preserve"> </w:t>
      </w:r>
    </w:p>
    <w:p w14:paraId="63CB9556" w14:textId="77777777" w:rsidR="00BF6EE4" w:rsidRPr="00DA7D41" w:rsidRDefault="00BF6EE4" w:rsidP="00BF6EE4">
      <w:pPr>
        <w:pStyle w:val="ListParagraph"/>
        <w:numPr>
          <w:ilvl w:val="0"/>
          <w:numId w:val="2"/>
        </w:numPr>
        <w:rPr>
          <w:rFonts w:asciiTheme="majorHAnsi" w:hAnsiTheme="majorHAnsi" w:cstheme="majorHAnsi"/>
          <w:color w:val="000000"/>
          <w:sz w:val="24"/>
          <w:szCs w:val="24"/>
        </w:rPr>
      </w:pPr>
      <w:r w:rsidRPr="00BF6EE4">
        <w:rPr>
          <w:rFonts w:asciiTheme="majorHAnsi" w:hAnsiTheme="majorHAnsi" w:cstheme="majorHAnsi"/>
          <w:sz w:val="24"/>
          <w:szCs w:val="24"/>
        </w:rPr>
        <w:t>Page 10 of Appendix 2 states that applicants should “not account for indirect costs against participant expenses in the budget.” Please clarify who qualifies as a participant and the category/ies of expenses that should not have the indirect cost recovery rates applied to it/them.</w:t>
      </w:r>
    </w:p>
    <w:p w14:paraId="142CFCE1" w14:textId="77777777" w:rsidR="00DA7D41" w:rsidRPr="00DA7D41" w:rsidRDefault="00DA7D41" w:rsidP="00DA7D41">
      <w:pPr>
        <w:ind w:left="1080"/>
        <w:rPr>
          <w:rFonts w:asciiTheme="majorHAnsi" w:hAnsiTheme="majorHAnsi" w:cstheme="majorHAnsi"/>
          <w:color w:val="000000"/>
          <w:sz w:val="24"/>
          <w:szCs w:val="24"/>
        </w:rPr>
      </w:pPr>
      <w:r>
        <w:rPr>
          <w:rFonts w:asciiTheme="majorHAnsi" w:hAnsiTheme="majorHAnsi" w:cstheme="majorHAnsi"/>
          <w:color w:val="000000"/>
          <w:sz w:val="24"/>
          <w:szCs w:val="24"/>
        </w:rPr>
        <w:t xml:space="preserve">Answer: </w:t>
      </w:r>
      <w:r w:rsidRPr="00DA7D41">
        <w:rPr>
          <w:rFonts w:asciiTheme="majorHAnsi" w:hAnsiTheme="majorHAnsi" w:cstheme="majorHAnsi"/>
          <w:color w:val="000000"/>
          <w:sz w:val="24"/>
          <w:szCs w:val="24"/>
        </w:rPr>
        <w:t>Participant support costs means direct costs for items such as stipends or subsistence allowances, travel allowances, and registration fees paid to or on behalf of participants or trainees (but not employees) in connection with conferences, or training projects.</w:t>
      </w:r>
    </w:p>
    <w:p w14:paraId="1CEE0826" w14:textId="77777777" w:rsidR="00BF6EE4" w:rsidRPr="009B1607" w:rsidRDefault="00BF6EE4" w:rsidP="00BF6EE4">
      <w:pPr>
        <w:pStyle w:val="ListParagraph"/>
        <w:numPr>
          <w:ilvl w:val="0"/>
          <w:numId w:val="2"/>
        </w:numPr>
        <w:rPr>
          <w:rFonts w:asciiTheme="majorHAnsi" w:hAnsiTheme="majorHAnsi" w:cstheme="majorHAnsi"/>
          <w:color w:val="000000"/>
          <w:sz w:val="24"/>
          <w:szCs w:val="24"/>
        </w:rPr>
      </w:pPr>
      <w:r w:rsidRPr="009B1607">
        <w:rPr>
          <w:rFonts w:asciiTheme="majorHAnsi" w:hAnsiTheme="majorHAnsi" w:cstheme="majorHAnsi"/>
          <w:sz w:val="24"/>
          <w:szCs w:val="24"/>
        </w:rPr>
        <w:t>Is the list of pre-selected sites available for review by project applicants?</w:t>
      </w:r>
    </w:p>
    <w:p w14:paraId="72BB6D6C" w14:textId="7F359CC5" w:rsidR="00DA7D41" w:rsidRPr="009B1607" w:rsidRDefault="00DA7D41" w:rsidP="00DA7D41">
      <w:pPr>
        <w:ind w:left="1080"/>
        <w:rPr>
          <w:rFonts w:asciiTheme="majorHAnsi" w:hAnsiTheme="majorHAnsi" w:cstheme="majorHAnsi"/>
          <w:color w:val="000000"/>
          <w:sz w:val="24"/>
          <w:szCs w:val="24"/>
        </w:rPr>
      </w:pPr>
      <w:r w:rsidRPr="009B1607">
        <w:rPr>
          <w:rFonts w:asciiTheme="majorHAnsi" w:hAnsiTheme="majorHAnsi" w:cstheme="majorHAnsi"/>
          <w:color w:val="000000"/>
          <w:sz w:val="24"/>
          <w:szCs w:val="24"/>
        </w:rPr>
        <w:t xml:space="preserve">Answer: </w:t>
      </w:r>
      <w:r w:rsidR="009D430B">
        <w:rPr>
          <w:rFonts w:asciiTheme="majorHAnsi" w:hAnsiTheme="majorHAnsi" w:cstheme="majorHAnsi"/>
          <w:color w:val="000000"/>
          <w:sz w:val="24"/>
          <w:szCs w:val="24"/>
        </w:rPr>
        <w:t xml:space="preserve">There are no pre-selected sites. </w:t>
      </w:r>
      <w:r w:rsidR="0098119D" w:rsidRPr="00A80B33">
        <w:rPr>
          <w:rFonts w:asciiTheme="majorHAnsi" w:hAnsiTheme="majorHAnsi" w:cstheme="majorHAnsi"/>
          <w:sz w:val="24"/>
          <w:szCs w:val="24"/>
        </w:rPr>
        <w:t>Several sites, such as churches, monasteries, museums, and other sites t</w:t>
      </w:r>
      <w:r w:rsidR="0098119D" w:rsidRPr="0098119D">
        <w:rPr>
          <w:rFonts w:asciiTheme="majorHAnsi" w:hAnsiTheme="majorHAnsi" w:cstheme="majorHAnsi"/>
          <w:sz w:val="24"/>
          <w:szCs w:val="24"/>
        </w:rPr>
        <w:t>argeted for destruction by ISIS</w:t>
      </w:r>
      <w:r w:rsidR="0098119D" w:rsidRPr="00A80B33">
        <w:rPr>
          <w:rFonts w:asciiTheme="majorHAnsi" w:hAnsiTheme="majorHAnsi" w:cstheme="majorHAnsi"/>
          <w:sz w:val="24"/>
          <w:szCs w:val="24"/>
        </w:rPr>
        <w:t xml:space="preserve"> and other terrorist groups, </w:t>
      </w:r>
      <w:r w:rsidR="0098119D" w:rsidRPr="00A80B33">
        <w:rPr>
          <w:rFonts w:asciiTheme="majorHAnsi" w:hAnsiTheme="majorHAnsi" w:cstheme="majorHAnsi"/>
          <w:sz w:val="24"/>
          <w:szCs w:val="24"/>
        </w:rPr>
        <w:lastRenderedPageBreak/>
        <w:t xml:space="preserve">were identified as potential candidates for conservation activities by the </w:t>
      </w:r>
      <w:hyperlink r:id="rId6" w:history="1">
        <w:r w:rsidR="0098119D" w:rsidRPr="00A80B33">
          <w:rPr>
            <w:rStyle w:val="Hyperlink"/>
            <w:rFonts w:asciiTheme="majorHAnsi" w:hAnsiTheme="majorHAnsi" w:cstheme="majorHAnsi"/>
            <w:sz w:val="24"/>
            <w:szCs w:val="24"/>
          </w:rPr>
          <w:t>American Schools of Oriental Research</w:t>
        </w:r>
      </w:hyperlink>
      <w:r w:rsidR="0098119D" w:rsidRPr="00A80B33">
        <w:rPr>
          <w:rFonts w:asciiTheme="majorHAnsi" w:hAnsiTheme="majorHAnsi" w:cstheme="majorHAnsi"/>
          <w:sz w:val="24"/>
          <w:szCs w:val="24"/>
        </w:rPr>
        <w:t xml:space="preserve"> </w:t>
      </w:r>
      <w:r w:rsidR="0081550E">
        <w:rPr>
          <w:rFonts w:asciiTheme="majorHAnsi" w:hAnsiTheme="majorHAnsi" w:cstheme="majorHAnsi"/>
          <w:sz w:val="24"/>
          <w:szCs w:val="24"/>
        </w:rPr>
        <w:t xml:space="preserve">(ASOR) </w:t>
      </w:r>
      <w:r w:rsidR="0098119D" w:rsidRPr="00A80B33">
        <w:rPr>
          <w:rFonts w:asciiTheme="majorHAnsi" w:hAnsiTheme="majorHAnsi" w:cstheme="majorHAnsi"/>
          <w:sz w:val="24"/>
          <w:szCs w:val="24"/>
        </w:rPr>
        <w:t>via a cooperative agreement with the Department of State.  The list of potential candidates is not conclusive. Upon award, the Department shall</w:t>
      </w:r>
      <w:r w:rsidR="0081550E">
        <w:rPr>
          <w:rFonts w:asciiTheme="majorHAnsi" w:hAnsiTheme="majorHAnsi" w:cstheme="majorHAnsi"/>
          <w:sz w:val="24"/>
          <w:szCs w:val="24"/>
        </w:rPr>
        <w:t xml:space="preserve"> provide ASOR’s list of potential candidates </w:t>
      </w:r>
      <w:r w:rsidR="0098119D" w:rsidRPr="00A80B33">
        <w:rPr>
          <w:rFonts w:asciiTheme="majorHAnsi" w:hAnsiTheme="majorHAnsi" w:cstheme="majorHAnsi"/>
          <w:sz w:val="24"/>
          <w:szCs w:val="24"/>
        </w:rPr>
        <w:t xml:space="preserve">which the awardee may use as the starting point for </w:t>
      </w:r>
      <w:r w:rsidR="0098119D" w:rsidRPr="0098119D">
        <w:rPr>
          <w:rFonts w:asciiTheme="majorHAnsi" w:hAnsiTheme="majorHAnsi" w:cstheme="majorHAnsi"/>
          <w:sz w:val="24"/>
          <w:szCs w:val="24"/>
        </w:rPr>
        <w:t>selecting</w:t>
      </w:r>
      <w:r w:rsidR="0098119D" w:rsidRPr="00A80B33">
        <w:rPr>
          <w:rFonts w:asciiTheme="majorHAnsi" w:hAnsiTheme="majorHAnsi" w:cstheme="majorHAnsi"/>
          <w:sz w:val="24"/>
          <w:szCs w:val="24"/>
        </w:rPr>
        <w:t xml:space="preserve"> </w:t>
      </w:r>
      <w:r w:rsidR="0098119D">
        <w:rPr>
          <w:rFonts w:asciiTheme="majorHAnsi" w:hAnsiTheme="majorHAnsi" w:cstheme="majorHAnsi"/>
          <w:sz w:val="24"/>
          <w:szCs w:val="24"/>
        </w:rPr>
        <w:t xml:space="preserve">up to 15 </w:t>
      </w:r>
      <w:r w:rsidR="0098119D" w:rsidRPr="00A80B33">
        <w:rPr>
          <w:rFonts w:asciiTheme="majorHAnsi" w:hAnsiTheme="majorHAnsi" w:cstheme="majorHAnsi"/>
          <w:sz w:val="24"/>
          <w:szCs w:val="24"/>
        </w:rPr>
        <w:t xml:space="preserve">sites </w:t>
      </w:r>
      <w:r w:rsidR="0098119D">
        <w:rPr>
          <w:rFonts w:asciiTheme="majorHAnsi" w:hAnsiTheme="majorHAnsi" w:cstheme="majorHAnsi"/>
          <w:sz w:val="24"/>
          <w:szCs w:val="24"/>
        </w:rPr>
        <w:t xml:space="preserve">for assessment and up to 3 sites for conservation, both </w:t>
      </w:r>
      <w:r w:rsidR="0098119D" w:rsidRPr="00A80B33">
        <w:rPr>
          <w:rFonts w:asciiTheme="majorHAnsi" w:hAnsiTheme="majorHAnsi" w:cstheme="majorHAnsi"/>
          <w:sz w:val="24"/>
          <w:szCs w:val="24"/>
        </w:rPr>
        <w:t>in consultation with the Department.</w:t>
      </w:r>
    </w:p>
    <w:p w14:paraId="1B61BD5A" w14:textId="77777777" w:rsidR="00BF6EE4" w:rsidRPr="009B1607" w:rsidRDefault="00BF6EE4" w:rsidP="00BF6EE4">
      <w:pPr>
        <w:pStyle w:val="ListParagraph"/>
        <w:numPr>
          <w:ilvl w:val="0"/>
          <w:numId w:val="2"/>
        </w:numPr>
        <w:rPr>
          <w:rFonts w:asciiTheme="majorHAnsi" w:hAnsiTheme="majorHAnsi" w:cstheme="majorHAnsi"/>
          <w:color w:val="000000"/>
          <w:sz w:val="24"/>
          <w:szCs w:val="24"/>
        </w:rPr>
      </w:pPr>
      <w:r w:rsidRPr="009B1607">
        <w:rPr>
          <w:rFonts w:asciiTheme="majorHAnsi" w:hAnsiTheme="majorHAnsi" w:cstheme="majorHAnsi"/>
          <w:sz w:val="24"/>
          <w:szCs w:val="24"/>
        </w:rPr>
        <w:t>What criteria were used for the identification of those sites?</w:t>
      </w:r>
      <w:r w:rsidR="00DA7D41" w:rsidRPr="009B1607">
        <w:rPr>
          <w:rFonts w:asciiTheme="majorHAnsi" w:hAnsiTheme="majorHAnsi" w:cstheme="majorHAnsi"/>
          <w:sz w:val="24"/>
          <w:szCs w:val="24"/>
        </w:rPr>
        <w:t xml:space="preserve"> </w:t>
      </w:r>
    </w:p>
    <w:p w14:paraId="0FA9D594" w14:textId="12175130" w:rsidR="00DA7D41" w:rsidRPr="009B1607" w:rsidRDefault="00DA7D41" w:rsidP="00FB6D2A">
      <w:pPr>
        <w:ind w:left="1080"/>
        <w:rPr>
          <w:rFonts w:asciiTheme="majorHAnsi" w:hAnsiTheme="majorHAnsi" w:cstheme="majorHAnsi"/>
          <w:color w:val="000000"/>
          <w:sz w:val="24"/>
          <w:szCs w:val="24"/>
        </w:rPr>
      </w:pPr>
      <w:r w:rsidRPr="009B1607">
        <w:rPr>
          <w:rFonts w:asciiTheme="majorHAnsi" w:hAnsiTheme="majorHAnsi" w:cstheme="majorHAnsi"/>
          <w:color w:val="000000"/>
          <w:sz w:val="24"/>
          <w:szCs w:val="24"/>
        </w:rPr>
        <w:t xml:space="preserve">Answer: </w:t>
      </w:r>
      <w:r w:rsidR="0098119D" w:rsidRPr="009B1607">
        <w:rPr>
          <w:rFonts w:asciiTheme="majorHAnsi" w:hAnsiTheme="majorHAnsi" w:cstheme="majorHAnsi"/>
          <w:color w:val="000000"/>
          <w:sz w:val="24"/>
          <w:szCs w:val="24"/>
        </w:rPr>
        <w:t>Potential</w:t>
      </w:r>
      <w:r w:rsidR="00260335" w:rsidRPr="0098119D">
        <w:rPr>
          <w:rFonts w:asciiTheme="majorHAnsi" w:hAnsiTheme="majorHAnsi" w:cstheme="majorHAnsi"/>
          <w:color w:val="000000"/>
          <w:sz w:val="24"/>
          <w:szCs w:val="24"/>
        </w:rPr>
        <w:t xml:space="preserve"> candidates were </w:t>
      </w:r>
      <w:r w:rsidR="0098119D" w:rsidRPr="009B1607">
        <w:rPr>
          <w:rFonts w:asciiTheme="majorHAnsi" w:hAnsiTheme="majorHAnsi" w:cstheme="majorHAnsi"/>
          <w:color w:val="000000"/>
          <w:sz w:val="24"/>
          <w:szCs w:val="24"/>
        </w:rPr>
        <w:t>identified</w:t>
      </w:r>
      <w:r w:rsidR="00260335" w:rsidRPr="0098119D">
        <w:rPr>
          <w:rFonts w:asciiTheme="majorHAnsi" w:hAnsiTheme="majorHAnsi" w:cstheme="majorHAnsi"/>
          <w:color w:val="000000"/>
          <w:sz w:val="24"/>
          <w:szCs w:val="24"/>
        </w:rPr>
        <w:t xml:space="preserve"> based on site significance and project feasibility </w:t>
      </w:r>
      <w:r w:rsidR="0098119D" w:rsidRPr="009B1607">
        <w:rPr>
          <w:rFonts w:asciiTheme="majorHAnsi" w:hAnsiTheme="majorHAnsi" w:cstheme="majorHAnsi"/>
          <w:color w:val="000000"/>
          <w:sz w:val="24"/>
          <w:szCs w:val="24"/>
          <w:u w:val="single"/>
        </w:rPr>
        <w:t>as of</w:t>
      </w:r>
      <w:r w:rsidR="00260335" w:rsidRPr="009B1607">
        <w:rPr>
          <w:rFonts w:asciiTheme="majorHAnsi" w:hAnsiTheme="majorHAnsi" w:cstheme="majorHAnsi"/>
          <w:color w:val="000000"/>
          <w:sz w:val="24"/>
          <w:szCs w:val="24"/>
          <w:u w:val="single"/>
        </w:rPr>
        <w:t xml:space="preserve"> December 2017</w:t>
      </w:r>
      <w:r w:rsidR="00260335" w:rsidRPr="0098119D">
        <w:rPr>
          <w:rFonts w:asciiTheme="majorHAnsi" w:hAnsiTheme="majorHAnsi" w:cstheme="majorHAnsi"/>
          <w:color w:val="000000"/>
          <w:sz w:val="24"/>
          <w:szCs w:val="24"/>
        </w:rPr>
        <w:t xml:space="preserve">. </w:t>
      </w:r>
      <w:r w:rsidR="00260335" w:rsidRPr="009B1607">
        <w:rPr>
          <w:rFonts w:asciiTheme="majorHAnsi" w:hAnsiTheme="majorHAnsi" w:cstheme="majorHAnsi"/>
          <w:b/>
          <w:color w:val="000000"/>
          <w:sz w:val="24"/>
          <w:szCs w:val="24"/>
        </w:rPr>
        <w:t>Site significance</w:t>
      </w:r>
      <w:r w:rsidR="00260335" w:rsidRPr="0098119D">
        <w:rPr>
          <w:rFonts w:asciiTheme="majorHAnsi" w:hAnsiTheme="majorHAnsi" w:cstheme="majorHAnsi"/>
          <w:color w:val="000000"/>
          <w:sz w:val="24"/>
          <w:szCs w:val="24"/>
        </w:rPr>
        <w:t xml:space="preserve"> concerns the conditions inherent to the site, determined by perceived community impact and use of the site prior to the summer of 2014. Considerations include whether the site was frequently visited</w:t>
      </w:r>
      <w:r w:rsidR="0098119D" w:rsidRPr="009B1607">
        <w:rPr>
          <w:rFonts w:asciiTheme="majorHAnsi" w:hAnsiTheme="majorHAnsi" w:cstheme="majorHAnsi"/>
          <w:color w:val="000000"/>
          <w:sz w:val="24"/>
          <w:szCs w:val="24"/>
        </w:rPr>
        <w:t xml:space="preserve"> or </w:t>
      </w:r>
      <w:r w:rsidR="00260335" w:rsidRPr="0098119D">
        <w:rPr>
          <w:rFonts w:asciiTheme="majorHAnsi" w:hAnsiTheme="majorHAnsi" w:cstheme="majorHAnsi"/>
          <w:color w:val="000000"/>
          <w:sz w:val="24"/>
          <w:szCs w:val="24"/>
        </w:rPr>
        <w:t xml:space="preserve">used by the local community and how it might serve the community </w:t>
      </w:r>
      <w:r w:rsidR="0098119D" w:rsidRPr="009B1607">
        <w:rPr>
          <w:rFonts w:asciiTheme="majorHAnsi" w:hAnsiTheme="majorHAnsi" w:cstheme="majorHAnsi"/>
          <w:color w:val="000000"/>
          <w:sz w:val="24"/>
          <w:szCs w:val="24"/>
        </w:rPr>
        <w:t>once conserved</w:t>
      </w:r>
      <w:r w:rsidR="00260335" w:rsidRPr="0098119D">
        <w:rPr>
          <w:rFonts w:asciiTheme="majorHAnsi" w:hAnsiTheme="majorHAnsi" w:cstheme="majorHAnsi"/>
          <w:color w:val="000000"/>
          <w:sz w:val="24"/>
          <w:szCs w:val="24"/>
        </w:rPr>
        <w:t>. Specific criteria were size, location</w:t>
      </w:r>
      <w:r w:rsidR="0098119D" w:rsidRPr="009B1607">
        <w:rPr>
          <w:rFonts w:asciiTheme="majorHAnsi" w:hAnsiTheme="majorHAnsi" w:cstheme="majorHAnsi"/>
          <w:color w:val="000000"/>
          <w:sz w:val="24"/>
          <w:szCs w:val="24"/>
        </w:rPr>
        <w:t xml:space="preserve">, </w:t>
      </w:r>
      <w:r w:rsidR="00260335" w:rsidRPr="0098119D">
        <w:rPr>
          <w:rFonts w:asciiTheme="majorHAnsi" w:hAnsiTheme="majorHAnsi" w:cstheme="majorHAnsi"/>
          <w:color w:val="000000"/>
          <w:sz w:val="24"/>
          <w:szCs w:val="24"/>
        </w:rPr>
        <w:t xml:space="preserve">visibility, usage (whether the site is actively used by the local community), and value (whether the site has significant historic, aesthetic, and symbolic meaning within the local community). </w:t>
      </w:r>
      <w:r w:rsidR="00FB6D2A" w:rsidRPr="009B1607">
        <w:rPr>
          <w:rFonts w:asciiTheme="majorHAnsi" w:hAnsiTheme="majorHAnsi" w:cstheme="majorHAnsi"/>
          <w:b/>
          <w:color w:val="000000"/>
          <w:sz w:val="24"/>
          <w:szCs w:val="24"/>
        </w:rPr>
        <w:t>Project feasibility</w:t>
      </w:r>
      <w:r w:rsidR="00FB6D2A" w:rsidRPr="0098119D">
        <w:rPr>
          <w:rFonts w:asciiTheme="majorHAnsi" w:hAnsiTheme="majorHAnsi" w:cstheme="majorHAnsi"/>
          <w:color w:val="000000"/>
          <w:sz w:val="24"/>
          <w:szCs w:val="24"/>
        </w:rPr>
        <w:t xml:space="preserve"> concerns the environmental conditions of the site </w:t>
      </w:r>
      <w:r w:rsidR="0098119D" w:rsidRPr="009B1607">
        <w:rPr>
          <w:rFonts w:asciiTheme="majorHAnsi" w:hAnsiTheme="majorHAnsi" w:cstheme="majorHAnsi"/>
          <w:color w:val="000000"/>
          <w:sz w:val="24"/>
          <w:szCs w:val="24"/>
          <w:u w:val="single"/>
        </w:rPr>
        <w:t>as of December 2017</w:t>
      </w:r>
      <w:r w:rsidR="0098119D" w:rsidRPr="009B1607">
        <w:rPr>
          <w:rFonts w:asciiTheme="majorHAnsi" w:hAnsiTheme="majorHAnsi" w:cstheme="majorHAnsi"/>
          <w:color w:val="000000"/>
          <w:sz w:val="24"/>
          <w:szCs w:val="24"/>
        </w:rPr>
        <w:t xml:space="preserve"> </w:t>
      </w:r>
      <w:r w:rsidR="00FB6D2A" w:rsidRPr="0098119D">
        <w:rPr>
          <w:rFonts w:asciiTheme="majorHAnsi" w:hAnsiTheme="majorHAnsi" w:cstheme="majorHAnsi"/>
          <w:color w:val="000000"/>
          <w:sz w:val="24"/>
          <w:szCs w:val="24"/>
        </w:rPr>
        <w:t xml:space="preserve">and the requirements needed to undertake a preservation initiative. Specific criteria </w:t>
      </w:r>
      <w:r w:rsidR="0098119D" w:rsidRPr="009B1607">
        <w:rPr>
          <w:rFonts w:asciiTheme="majorHAnsi" w:hAnsiTheme="majorHAnsi" w:cstheme="majorHAnsi"/>
          <w:color w:val="000000"/>
          <w:sz w:val="24"/>
          <w:szCs w:val="24"/>
        </w:rPr>
        <w:t xml:space="preserve">consisted of </w:t>
      </w:r>
      <w:r w:rsidR="00FB6D2A" w:rsidRPr="0098119D">
        <w:rPr>
          <w:rFonts w:asciiTheme="majorHAnsi" w:hAnsiTheme="majorHAnsi" w:cstheme="majorHAnsi"/>
          <w:color w:val="000000"/>
          <w:sz w:val="24"/>
          <w:szCs w:val="24"/>
        </w:rPr>
        <w:t>extent of damage to the site, availability of required expertise, length of project timeline, funding demands, material demands, and evidence of previous restoration effor</w:t>
      </w:r>
      <w:r w:rsidR="00FB6D2A" w:rsidRPr="0081550E">
        <w:rPr>
          <w:rFonts w:asciiTheme="majorHAnsi" w:hAnsiTheme="majorHAnsi" w:cstheme="majorHAnsi"/>
          <w:color w:val="000000"/>
          <w:sz w:val="24"/>
          <w:szCs w:val="24"/>
        </w:rPr>
        <w:t>ts.</w:t>
      </w:r>
      <w:r w:rsidR="0098119D" w:rsidRPr="0081550E">
        <w:rPr>
          <w:rFonts w:asciiTheme="majorHAnsi" w:hAnsiTheme="majorHAnsi" w:cstheme="majorHAnsi"/>
          <w:color w:val="000000"/>
          <w:sz w:val="24"/>
          <w:szCs w:val="24"/>
        </w:rPr>
        <w:t xml:space="preserve"> NOTE: Project feasibility may have changed since December 2017. </w:t>
      </w:r>
    </w:p>
    <w:p w14:paraId="017344DE" w14:textId="77777777" w:rsidR="00BF6EE4" w:rsidRPr="009B1607" w:rsidRDefault="00BF6EE4" w:rsidP="00BF6EE4">
      <w:pPr>
        <w:pStyle w:val="ListParagraph"/>
        <w:numPr>
          <w:ilvl w:val="0"/>
          <w:numId w:val="2"/>
        </w:numPr>
        <w:rPr>
          <w:rFonts w:asciiTheme="majorHAnsi" w:hAnsiTheme="majorHAnsi" w:cstheme="majorHAnsi"/>
          <w:color w:val="000000"/>
          <w:sz w:val="24"/>
          <w:szCs w:val="24"/>
        </w:rPr>
      </w:pPr>
      <w:r w:rsidRPr="009B1607">
        <w:rPr>
          <w:rFonts w:asciiTheme="majorHAnsi" w:hAnsiTheme="majorHAnsi" w:cstheme="majorHAnsi"/>
          <w:color w:val="000000"/>
          <w:sz w:val="24"/>
          <w:szCs w:val="24"/>
        </w:rPr>
        <w:t>While I see that there is a focus on Mosul and those sites that have been damaged by ISIS or other acts of terror, I wonder if this opportunity might be open to other projects in Northern Iraq? </w:t>
      </w:r>
    </w:p>
    <w:p w14:paraId="3E25B1AB" w14:textId="64FE027D" w:rsidR="00DA7D41" w:rsidRPr="0081550E" w:rsidRDefault="00DA7D41" w:rsidP="0081550E">
      <w:pPr>
        <w:ind w:left="1080"/>
        <w:rPr>
          <w:rFonts w:asciiTheme="majorHAnsi" w:hAnsiTheme="majorHAnsi" w:cstheme="majorHAnsi"/>
          <w:color w:val="000000"/>
          <w:sz w:val="24"/>
          <w:szCs w:val="24"/>
        </w:rPr>
      </w:pPr>
      <w:r w:rsidRPr="009B1607">
        <w:rPr>
          <w:rFonts w:asciiTheme="majorHAnsi" w:hAnsiTheme="majorHAnsi" w:cstheme="majorHAnsi"/>
          <w:color w:val="000000"/>
          <w:sz w:val="24"/>
          <w:szCs w:val="24"/>
        </w:rPr>
        <w:t>Answer:</w:t>
      </w:r>
      <w:r w:rsidRPr="0081550E">
        <w:rPr>
          <w:rFonts w:asciiTheme="majorHAnsi" w:hAnsiTheme="majorHAnsi" w:cstheme="majorHAnsi"/>
          <w:color w:val="000000"/>
          <w:sz w:val="24"/>
          <w:szCs w:val="24"/>
        </w:rPr>
        <w:t xml:space="preserve"> </w:t>
      </w:r>
      <w:r w:rsidR="0081550E" w:rsidRPr="0081550E">
        <w:rPr>
          <w:rFonts w:asciiTheme="majorHAnsi" w:hAnsiTheme="majorHAnsi" w:cstheme="majorHAnsi"/>
          <w:color w:val="000000"/>
          <w:sz w:val="24"/>
          <w:szCs w:val="24"/>
        </w:rPr>
        <w:t xml:space="preserve">Although the potential candidates identified for conservation activities </w:t>
      </w:r>
      <w:r w:rsidR="0081550E" w:rsidRPr="0081550E">
        <w:rPr>
          <w:rFonts w:asciiTheme="majorHAnsi" w:hAnsiTheme="majorHAnsi" w:cstheme="majorHAnsi"/>
          <w:sz w:val="24"/>
          <w:szCs w:val="24"/>
        </w:rPr>
        <w:t xml:space="preserve">by the </w:t>
      </w:r>
      <w:hyperlink r:id="rId7" w:history="1">
        <w:r w:rsidR="0081550E" w:rsidRPr="0081550E">
          <w:rPr>
            <w:rStyle w:val="Hyperlink"/>
            <w:rFonts w:asciiTheme="majorHAnsi" w:hAnsiTheme="majorHAnsi" w:cstheme="majorHAnsi"/>
            <w:sz w:val="24"/>
            <w:szCs w:val="24"/>
          </w:rPr>
          <w:t>American Schools of Oriental Research</w:t>
        </w:r>
      </w:hyperlink>
      <w:r w:rsidR="0081550E" w:rsidRPr="0081550E">
        <w:rPr>
          <w:rFonts w:asciiTheme="majorHAnsi" w:hAnsiTheme="majorHAnsi" w:cstheme="majorHAnsi"/>
          <w:sz w:val="24"/>
          <w:szCs w:val="24"/>
        </w:rPr>
        <w:t xml:space="preserve"> via a cooperative agreement with the Department of State</w:t>
      </w:r>
      <w:r w:rsidR="0081550E" w:rsidRPr="0081550E">
        <w:rPr>
          <w:rFonts w:asciiTheme="majorHAnsi" w:hAnsiTheme="majorHAnsi" w:cstheme="majorHAnsi"/>
          <w:color w:val="000000"/>
          <w:sz w:val="24"/>
          <w:szCs w:val="24"/>
        </w:rPr>
        <w:t xml:space="preserve"> lie almost entirely in the city of Mosul and in the two nearby towns of Bartella and Bakhdida, this NOFO covers the Nineveh Plains area of northern Iraq.</w:t>
      </w:r>
    </w:p>
    <w:p w14:paraId="471DCFBA" w14:textId="7FB27097" w:rsidR="00BF6EE4" w:rsidRPr="009B1607" w:rsidRDefault="00BF6EE4" w:rsidP="00BF6EE4">
      <w:pPr>
        <w:pStyle w:val="ListParagraph"/>
        <w:numPr>
          <w:ilvl w:val="0"/>
          <w:numId w:val="2"/>
        </w:numPr>
        <w:rPr>
          <w:rFonts w:asciiTheme="majorHAnsi" w:hAnsiTheme="majorHAnsi" w:cstheme="majorHAnsi"/>
          <w:color w:val="000000"/>
          <w:sz w:val="24"/>
          <w:szCs w:val="24"/>
        </w:rPr>
      </w:pPr>
      <w:r w:rsidRPr="009B1607">
        <w:rPr>
          <w:rFonts w:asciiTheme="majorHAnsi" w:hAnsiTheme="majorHAnsi" w:cstheme="majorHAnsi"/>
          <w:color w:val="000000"/>
          <w:sz w:val="24"/>
          <w:szCs w:val="24"/>
        </w:rPr>
        <w:t xml:space="preserve">I am an anthropologist working in Sulaimani and there are a number of sites here that hold the history of the local people, but indeed of humanity itself. They are not preserved or neglected and valuable cultural heritage stand to be lost. For example, there is  the site of Hazr Merd, a series of caves where, early excavations in the 1960s-1970s found remains of Neanderthal. There is also Qzqapan, a funerary site that is thought to date </w:t>
      </w:r>
      <w:r w:rsidRPr="009B1607">
        <w:rPr>
          <w:rFonts w:asciiTheme="majorHAnsi" w:hAnsiTheme="majorHAnsi" w:cstheme="majorHAnsi"/>
          <w:color w:val="333333"/>
          <w:sz w:val="24"/>
          <w:szCs w:val="24"/>
        </w:rPr>
        <w:t xml:space="preserve">back to the Medes. </w:t>
      </w:r>
      <w:r w:rsidRPr="009B1607">
        <w:rPr>
          <w:rFonts w:asciiTheme="majorHAnsi" w:hAnsiTheme="majorHAnsi" w:cstheme="majorHAnsi"/>
          <w:color w:val="000000"/>
          <w:sz w:val="24"/>
          <w:szCs w:val="24"/>
        </w:rPr>
        <w:t xml:space="preserve">These are most certainly world heritage sites that stand neglected, abused and not studied. l would also point out some of the very few old-style house that stand in the city of Sulaimani as well as Amna Suraka. Amna Suraka was once a site for </w:t>
      </w:r>
      <w:r w:rsidRPr="009B1607">
        <w:rPr>
          <w:rFonts w:asciiTheme="majorHAnsi" w:hAnsiTheme="majorHAnsi" w:cstheme="majorHAnsi"/>
          <w:sz w:val="24"/>
          <w:szCs w:val="24"/>
        </w:rPr>
        <w:t xml:space="preserve">Ba'ath party detention and torture, it now  memorializes the Kurdish genocide and attempts to preserve pieces of Kurdish heritage and culture. These sites hold the history and culture of a minority people in Iraq whose story has yet to be fully excavated. </w:t>
      </w:r>
      <w:r w:rsidRPr="009B1607">
        <w:rPr>
          <w:rFonts w:asciiTheme="majorHAnsi" w:eastAsia="Times New Roman" w:hAnsiTheme="majorHAnsi" w:cstheme="majorHAnsi"/>
          <w:color w:val="000000"/>
          <w:sz w:val="24"/>
          <w:szCs w:val="24"/>
        </w:rPr>
        <w:t>Would this opportunity potentially consider these sites for support?</w:t>
      </w:r>
    </w:p>
    <w:p w14:paraId="5DB6F95F" w14:textId="1C580A3A" w:rsidR="00DA7D41" w:rsidRPr="00DA7D41" w:rsidRDefault="00DA7D41" w:rsidP="00E06057">
      <w:pPr>
        <w:ind w:left="1080"/>
        <w:rPr>
          <w:rFonts w:asciiTheme="majorHAnsi" w:hAnsiTheme="majorHAnsi" w:cstheme="majorHAnsi"/>
          <w:color w:val="000000"/>
          <w:sz w:val="24"/>
          <w:szCs w:val="24"/>
        </w:rPr>
      </w:pPr>
      <w:r w:rsidRPr="009B1607">
        <w:rPr>
          <w:rFonts w:asciiTheme="majorHAnsi" w:hAnsiTheme="majorHAnsi" w:cstheme="majorHAnsi"/>
          <w:color w:val="000000"/>
          <w:sz w:val="24"/>
          <w:szCs w:val="24"/>
        </w:rPr>
        <w:t>Answer:</w:t>
      </w:r>
      <w:r w:rsidRPr="0081550E">
        <w:rPr>
          <w:rFonts w:asciiTheme="majorHAnsi" w:hAnsiTheme="majorHAnsi" w:cstheme="majorHAnsi"/>
          <w:color w:val="000000"/>
          <w:sz w:val="24"/>
          <w:szCs w:val="24"/>
        </w:rPr>
        <w:t xml:space="preserve"> </w:t>
      </w:r>
      <w:r w:rsidR="00CF2CE7" w:rsidRPr="0081550E">
        <w:rPr>
          <w:rFonts w:asciiTheme="majorHAnsi" w:hAnsiTheme="majorHAnsi" w:cstheme="majorHAnsi"/>
          <w:color w:val="000000"/>
          <w:sz w:val="24"/>
          <w:szCs w:val="24"/>
        </w:rPr>
        <w:t>Th</w:t>
      </w:r>
      <w:r w:rsidR="0081550E" w:rsidRPr="0081550E">
        <w:rPr>
          <w:rFonts w:asciiTheme="majorHAnsi" w:hAnsiTheme="majorHAnsi" w:cstheme="majorHAnsi"/>
          <w:color w:val="000000"/>
          <w:sz w:val="24"/>
          <w:szCs w:val="24"/>
        </w:rPr>
        <w:t>e focus of this NOFO is</w:t>
      </w:r>
      <w:r w:rsidR="00E06057" w:rsidRPr="0081550E">
        <w:rPr>
          <w:rFonts w:asciiTheme="majorHAnsi" w:hAnsiTheme="majorHAnsi" w:cstheme="majorHAnsi"/>
          <w:color w:val="000000"/>
          <w:sz w:val="24"/>
          <w:szCs w:val="24"/>
        </w:rPr>
        <w:t xml:space="preserve"> </w:t>
      </w:r>
      <w:r w:rsidR="0081550E" w:rsidRPr="0081550E">
        <w:rPr>
          <w:rFonts w:asciiTheme="majorHAnsi" w:hAnsiTheme="majorHAnsi" w:cstheme="majorHAnsi"/>
          <w:color w:val="000000"/>
          <w:sz w:val="24"/>
          <w:szCs w:val="24"/>
        </w:rPr>
        <w:t>the assessment and conservation of historic, artistic, or culturally significant sites in the Nineveh Plains area of northern Iraq that were targeted for destruction by ISIS and other terrorist groups.</w:t>
      </w:r>
    </w:p>
    <w:p w14:paraId="4F899371" w14:textId="58B43DE4" w:rsidR="00BF6EE4" w:rsidRPr="00BF6EE4" w:rsidRDefault="00503C55" w:rsidP="00BF6EE4">
      <w:pPr>
        <w:rPr>
          <w:rFonts w:asciiTheme="majorHAnsi" w:hAnsiTheme="majorHAnsi" w:cstheme="majorHAnsi"/>
          <w:sz w:val="24"/>
          <w:szCs w:val="24"/>
        </w:rPr>
      </w:pPr>
      <w:r>
        <w:rPr>
          <w:rFonts w:asciiTheme="majorHAnsi" w:hAnsiTheme="majorHAnsi" w:cstheme="majorHAnsi"/>
          <w:sz w:val="24"/>
          <w:szCs w:val="24"/>
        </w:rPr>
        <w:t xml:space="preserve"> </w:t>
      </w:r>
    </w:p>
    <w:sectPr w:rsidR="00BF6EE4" w:rsidRPr="00BF6E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E3E11"/>
    <w:multiLevelType w:val="hybridMultilevel"/>
    <w:tmpl w:val="F34AFF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80EC6"/>
    <w:multiLevelType w:val="hybridMultilevel"/>
    <w:tmpl w:val="DE4E0854"/>
    <w:lvl w:ilvl="0" w:tplc="4204F69A">
      <w:start w:val="1"/>
      <w:numFmt w:val="upperLetter"/>
      <w:lvlText w:val="%1nswer:"/>
      <w:lvlJc w:val="left"/>
      <w:pPr>
        <w:ind w:left="25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33221C"/>
    <w:multiLevelType w:val="hybridMultilevel"/>
    <w:tmpl w:val="97D65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EE4"/>
    <w:rsid w:val="00004945"/>
    <w:rsid w:val="000F29EB"/>
    <w:rsid w:val="00110047"/>
    <w:rsid w:val="001D4CE1"/>
    <w:rsid w:val="001E2803"/>
    <w:rsid w:val="00260335"/>
    <w:rsid w:val="002B30E4"/>
    <w:rsid w:val="00365E8A"/>
    <w:rsid w:val="003B6B4E"/>
    <w:rsid w:val="00441393"/>
    <w:rsid w:val="00470865"/>
    <w:rsid w:val="00503C55"/>
    <w:rsid w:val="00531FF5"/>
    <w:rsid w:val="0062154F"/>
    <w:rsid w:val="007E4AA0"/>
    <w:rsid w:val="0081550E"/>
    <w:rsid w:val="00914485"/>
    <w:rsid w:val="0098119D"/>
    <w:rsid w:val="009B1607"/>
    <w:rsid w:val="009D430B"/>
    <w:rsid w:val="00A9565B"/>
    <w:rsid w:val="00BF6EE4"/>
    <w:rsid w:val="00CF2CE7"/>
    <w:rsid w:val="00DA7D41"/>
    <w:rsid w:val="00E06057"/>
    <w:rsid w:val="00FB6D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C97A4"/>
  <w15:docId w15:val="{D24A8FE4-067A-484D-8F59-12DE8C31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6EE4"/>
    <w:pPr>
      <w:spacing w:line="256" w:lineRule="auto"/>
      <w:ind w:left="720"/>
      <w:contextualSpacing/>
    </w:pPr>
  </w:style>
  <w:style w:type="paragraph" w:styleId="NormalWeb">
    <w:name w:val="Normal (Web)"/>
    <w:basedOn w:val="Normal"/>
    <w:uiPriority w:val="99"/>
    <w:semiHidden/>
    <w:unhideWhenUsed/>
    <w:rsid w:val="00BF6EE4"/>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441393"/>
    <w:rPr>
      <w:color w:val="0563C1" w:themeColor="hyperlink"/>
      <w:u w:val="single"/>
    </w:rPr>
  </w:style>
  <w:style w:type="paragraph" w:styleId="BalloonText">
    <w:name w:val="Balloon Text"/>
    <w:basedOn w:val="Normal"/>
    <w:link w:val="BalloonTextChar"/>
    <w:uiPriority w:val="99"/>
    <w:semiHidden/>
    <w:unhideWhenUsed/>
    <w:rsid w:val="002603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335"/>
    <w:rPr>
      <w:rFonts w:ascii="Segoe UI" w:hAnsi="Segoe UI" w:cs="Segoe UI"/>
      <w:sz w:val="18"/>
      <w:szCs w:val="18"/>
    </w:rPr>
  </w:style>
  <w:style w:type="character" w:styleId="CommentReference">
    <w:name w:val="annotation reference"/>
    <w:basedOn w:val="DefaultParagraphFont"/>
    <w:uiPriority w:val="99"/>
    <w:semiHidden/>
    <w:unhideWhenUsed/>
    <w:rsid w:val="00914485"/>
    <w:rPr>
      <w:sz w:val="16"/>
      <w:szCs w:val="16"/>
    </w:rPr>
  </w:style>
  <w:style w:type="paragraph" w:styleId="CommentText">
    <w:name w:val="annotation text"/>
    <w:basedOn w:val="Normal"/>
    <w:link w:val="CommentTextChar"/>
    <w:uiPriority w:val="99"/>
    <w:semiHidden/>
    <w:unhideWhenUsed/>
    <w:rsid w:val="00914485"/>
    <w:pPr>
      <w:spacing w:line="240" w:lineRule="auto"/>
    </w:pPr>
    <w:rPr>
      <w:sz w:val="20"/>
      <w:szCs w:val="20"/>
    </w:rPr>
  </w:style>
  <w:style w:type="character" w:customStyle="1" w:styleId="CommentTextChar">
    <w:name w:val="Comment Text Char"/>
    <w:basedOn w:val="DefaultParagraphFont"/>
    <w:link w:val="CommentText"/>
    <w:uiPriority w:val="99"/>
    <w:semiHidden/>
    <w:rsid w:val="00914485"/>
    <w:rPr>
      <w:sz w:val="20"/>
      <w:szCs w:val="20"/>
    </w:rPr>
  </w:style>
  <w:style w:type="paragraph" w:styleId="CommentSubject">
    <w:name w:val="annotation subject"/>
    <w:basedOn w:val="CommentText"/>
    <w:next w:val="CommentText"/>
    <w:link w:val="CommentSubjectChar"/>
    <w:uiPriority w:val="99"/>
    <w:semiHidden/>
    <w:unhideWhenUsed/>
    <w:rsid w:val="00914485"/>
    <w:rPr>
      <w:b/>
      <w:bCs/>
    </w:rPr>
  </w:style>
  <w:style w:type="character" w:customStyle="1" w:styleId="CommentSubjectChar">
    <w:name w:val="Comment Subject Char"/>
    <w:basedOn w:val="CommentTextChar"/>
    <w:link w:val="CommentSubject"/>
    <w:uiPriority w:val="99"/>
    <w:semiHidden/>
    <w:rsid w:val="00914485"/>
    <w:rPr>
      <w:b/>
      <w:bCs/>
      <w:sz w:val="20"/>
      <w:szCs w:val="20"/>
    </w:rPr>
  </w:style>
  <w:style w:type="paragraph" w:styleId="Revision">
    <w:name w:val="Revision"/>
    <w:hidden/>
    <w:uiPriority w:val="99"/>
    <w:semiHidden/>
    <w:rsid w:val="009144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02591">
      <w:bodyDiv w:val="1"/>
      <w:marLeft w:val="0"/>
      <w:marRight w:val="0"/>
      <w:marTop w:val="0"/>
      <w:marBottom w:val="0"/>
      <w:divBdr>
        <w:top w:val="none" w:sz="0" w:space="0" w:color="auto"/>
        <w:left w:val="none" w:sz="0" w:space="0" w:color="auto"/>
        <w:bottom w:val="none" w:sz="0" w:space="0" w:color="auto"/>
        <w:right w:val="none" w:sz="0" w:space="0" w:color="auto"/>
      </w:divBdr>
    </w:div>
    <w:div w:id="262541316">
      <w:bodyDiv w:val="1"/>
      <w:marLeft w:val="0"/>
      <w:marRight w:val="0"/>
      <w:marTop w:val="0"/>
      <w:marBottom w:val="0"/>
      <w:divBdr>
        <w:top w:val="none" w:sz="0" w:space="0" w:color="auto"/>
        <w:left w:val="none" w:sz="0" w:space="0" w:color="auto"/>
        <w:bottom w:val="none" w:sz="0" w:space="0" w:color="auto"/>
        <w:right w:val="none" w:sz="0" w:space="0" w:color="auto"/>
      </w:divBdr>
    </w:div>
    <w:div w:id="596063620">
      <w:bodyDiv w:val="1"/>
      <w:marLeft w:val="0"/>
      <w:marRight w:val="0"/>
      <w:marTop w:val="0"/>
      <w:marBottom w:val="0"/>
      <w:divBdr>
        <w:top w:val="none" w:sz="0" w:space="0" w:color="auto"/>
        <w:left w:val="none" w:sz="0" w:space="0" w:color="auto"/>
        <w:bottom w:val="none" w:sz="0" w:space="0" w:color="auto"/>
        <w:right w:val="none" w:sz="0" w:space="0" w:color="auto"/>
      </w:divBdr>
    </w:div>
    <w:div w:id="863861954">
      <w:bodyDiv w:val="1"/>
      <w:marLeft w:val="0"/>
      <w:marRight w:val="0"/>
      <w:marTop w:val="0"/>
      <w:marBottom w:val="0"/>
      <w:divBdr>
        <w:top w:val="none" w:sz="0" w:space="0" w:color="auto"/>
        <w:left w:val="none" w:sz="0" w:space="0" w:color="auto"/>
        <w:bottom w:val="none" w:sz="0" w:space="0" w:color="auto"/>
        <w:right w:val="none" w:sz="0" w:space="0" w:color="auto"/>
      </w:divBdr>
    </w:div>
    <w:div w:id="151252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sor-syrianheritage.org/about/contact-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sor-syrianheritage.org/about/contact-us/" TargetMode="External"/><Relationship Id="rId5" Type="http://schemas.openxmlformats.org/officeDocument/2006/relationships/hyperlink" Target="http://www.asor-syrianheritage.org/about/contact-u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1347</Words>
  <Characters>7681</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Hartman, Elizabeth</dc:creator>
  <cp:lastModifiedBy>Hartman, Elizabeth</cp:lastModifiedBy>
  <cp:revision>2</cp:revision>
  <dcterms:created xsi:type="dcterms:W3CDTF">2018-07-17T13:34:00Z</dcterms:created>
  <dcterms:modified xsi:type="dcterms:W3CDTF">2018-07-17T13:34:00Z</dcterms:modified>
</cp:coreProperties>
</file>