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E7F" w:rsidRDefault="00455E7F" w:rsidP="00455E7F">
      <w:pPr>
        <w:pStyle w:val="ConvertStyle12"/>
        <w:jc w:val="center"/>
        <w:rPr>
          <w:rFonts w:ascii="Times New Roman" w:hAnsi="Times New Roman"/>
          <w:b/>
          <w:bCs/>
          <w:sz w:val="28"/>
          <w:szCs w:val="28"/>
        </w:rPr>
      </w:pPr>
      <w:r>
        <w:rPr>
          <w:rFonts w:ascii="Times New Roman" w:hAnsi="Times New Roman"/>
          <w:b/>
          <w:bCs/>
          <w:sz w:val="28"/>
          <w:szCs w:val="28"/>
        </w:rPr>
        <w:t xml:space="preserve">Attachment </w:t>
      </w:r>
      <w:r w:rsidR="00B23A9B">
        <w:rPr>
          <w:rFonts w:ascii="Times New Roman" w:hAnsi="Times New Roman"/>
          <w:b/>
          <w:bCs/>
          <w:sz w:val="28"/>
          <w:szCs w:val="28"/>
        </w:rPr>
        <w:t>B</w:t>
      </w:r>
    </w:p>
    <w:p w:rsidR="00455E7F" w:rsidRDefault="00455E7F" w:rsidP="00455E7F">
      <w:pPr>
        <w:pStyle w:val="ConvertStyle12"/>
        <w:rPr>
          <w:rFonts w:ascii="Times New Roman" w:hAnsi="Times New Roman"/>
          <w:sz w:val="28"/>
          <w:szCs w:val="28"/>
        </w:rPr>
      </w:pPr>
    </w:p>
    <w:p w:rsidR="00455E7F" w:rsidRDefault="00455E7F" w:rsidP="00455E7F">
      <w:pPr>
        <w:pStyle w:val="ConvertStyle13"/>
        <w:rPr>
          <w:rFonts w:ascii="Times New Roman" w:hAnsi="Times New Roman"/>
          <w:sz w:val="28"/>
          <w:szCs w:val="28"/>
        </w:rPr>
      </w:pPr>
      <w:r>
        <w:rPr>
          <w:rFonts w:ascii="Times New Roman" w:hAnsi="Times New Roman"/>
          <w:sz w:val="28"/>
          <w:szCs w:val="28"/>
        </w:rPr>
        <w:t xml:space="preserve">                         </w:t>
      </w:r>
    </w:p>
    <w:p w:rsidR="00455E7F" w:rsidRDefault="00455E7F" w:rsidP="00455E7F">
      <w:pPr>
        <w:pStyle w:val="Heading1"/>
        <w:rPr>
          <w:rFonts w:ascii="Times New Roman" w:hAnsi="Times New Roman"/>
          <w:sz w:val="28"/>
          <w:szCs w:val="28"/>
        </w:rPr>
      </w:pPr>
      <w:r>
        <w:rPr>
          <w:rFonts w:ascii="Times New Roman" w:hAnsi="Times New Roman"/>
          <w:sz w:val="28"/>
          <w:szCs w:val="28"/>
        </w:rPr>
        <w:t xml:space="preserve">BUDGET PREPARATION </w:t>
      </w:r>
      <w:r w:rsidR="00B40BC7" w:rsidRPr="00B40BC7">
        <w:rPr>
          <w:rFonts w:ascii="Times New Roman Bold" w:hAnsi="Times New Roman Bold"/>
          <w:caps/>
          <w:sz w:val="28"/>
          <w:szCs w:val="28"/>
        </w:rPr>
        <w:t>Instructions</w:t>
      </w:r>
      <w:r w:rsidR="00B40BC7">
        <w:rPr>
          <w:rFonts w:ascii="Times New Roman" w:hAnsi="Times New Roman"/>
          <w:sz w:val="28"/>
          <w:szCs w:val="28"/>
        </w:rPr>
        <w:t xml:space="preserve"> </w:t>
      </w:r>
    </w:p>
    <w:p w:rsidR="00455E7F" w:rsidRDefault="00455E7F" w:rsidP="00455E7F">
      <w:pPr>
        <w:rPr>
          <w:sz w:val="28"/>
          <w:szCs w:val="28"/>
        </w:rPr>
      </w:pPr>
    </w:p>
    <w:p w:rsidR="00455E7F" w:rsidRDefault="00455E7F" w:rsidP="00455E7F">
      <w:pPr>
        <w:rPr>
          <w:sz w:val="28"/>
          <w:szCs w:val="28"/>
        </w:rPr>
      </w:pPr>
    </w:p>
    <w:p w:rsidR="00455E7F" w:rsidRDefault="00B40BC7" w:rsidP="00455E7F">
      <w:pPr>
        <w:rPr>
          <w:i/>
          <w:sz w:val="28"/>
          <w:szCs w:val="28"/>
        </w:rPr>
      </w:pPr>
      <w:r>
        <w:rPr>
          <w:i/>
          <w:sz w:val="28"/>
          <w:szCs w:val="28"/>
        </w:rPr>
        <w:t>The following instructions</w:t>
      </w:r>
      <w:r w:rsidR="00455E7F">
        <w:rPr>
          <w:i/>
          <w:sz w:val="28"/>
          <w:szCs w:val="28"/>
        </w:rPr>
        <w:t xml:space="preserve"> explain</w:t>
      </w:r>
      <w:r>
        <w:rPr>
          <w:i/>
          <w:sz w:val="28"/>
          <w:szCs w:val="28"/>
        </w:rPr>
        <w:t xml:space="preserve"> the </w:t>
      </w:r>
      <w:r w:rsidR="00455E7F">
        <w:rPr>
          <w:i/>
          <w:sz w:val="28"/>
          <w:szCs w:val="28"/>
        </w:rPr>
        <w:t xml:space="preserve">costs the Bureau wants organizations to include in each budget category when preparing a proposal for overseas processing activities. </w:t>
      </w:r>
      <w:r>
        <w:rPr>
          <w:i/>
          <w:sz w:val="28"/>
          <w:szCs w:val="28"/>
        </w:rPr>
        <w:t xml:space="preserve"> </w:t>
      </w:r>
      <w:r w:rsidR="00455E7F">
        <w:rPr>
          <w:i/>
          <w:sz w:val="28"/>
          <w:szCs w:val="28"/>
        </w:rPr>
        <w:t xml:space="preserve">For policy guidance concerning </w:t>
      </w:r>
      <w:smartTag w:uri="urn:schemas-microsoft-com:office:smarttags" w:element="place">
        <w:smartTag w:uri="urn:schemas-microsoft-com:office:smarttags" w:element="country-region">
          <w:r w:rsidR="00455E7F">
            <w:rPr>
              <w:i/>
              <w:sz w:val="28"/>
              <w:szCs w:val="28"/>
            </w:rPr>
            <w:t>U.S.</w:t>
          </w:r>
        </w:smartTag>
      </w:smartTag>
      <w:r w:rsidR="00455E7F">
        <w:rPr>
          <w:i/>
          <w:sz w:val="28"/>
          <w:szCs w:val="28"/>
        </w:rPr>
        <w:t xml:space="preserve"> Government regulations or admissible expenditure limits, etc., please refer to OMB circulars A-122 and A-110.</w:t>
      </w:r>
      <w:r>
        <w:rPr>
          <w:i/>
          <w:sz w:val="28"/>
          <w:szCs w:val="28"/>
        </w:rPr>
        <w:t xml:space="preserve">  </w:t>
      </w:r>
      <w:r w:rsidR="00455E7F">
        <w:rPr>
          <w:i/>
          <w:sz w:val="28"/>
          <w:szCs w:val="28"/>
        </w:rPr>
        <w:t xml:space="preserve">A sample budget format is provided as attachment IV.  </w:t>
      </w:r>
    </w:p>
    <w:p w:rsidR="00455E7F" w:rsidRDefault="00455E7F" w:rsidP="00455E7F">
      <w:pPr>
        <w:rPr>
          <w:b/>
          <w:i/>
          <w:sz w:val="28"/>
          <w:szCs w:val="28"/>
        </w:rPr>
      </w:pPr>
    </w:p>
    <w:p w:rsidR="00455E7F" w:rsidRDefault="00455E7F" w:rsidP="00455E7F">
      <w:pPr>
        <w:rPr>
          <w:b/>
          <w:sz w:val="28"/>
          <w:szCs w:val="28"/>
        </w:rPr>
      </w:pPr>
      <w:r>
        <w:rPr>
          <w:b/>
          <w:sz w:val="28"/>
          <w:szCs w:val="28"/>
        </w:rPr>
        <w:t>PERSONNEL</w:t>
      </w:r>
    </w:p>
    <w:p w:rsidR="00455E7F" w:rsidRDefault="00455E7F" w:rsidP="00455E7F">
      <w:pPr>
        <w:rPr>
          <w:sz w:val="28"/>
          <w:szCs w:val="28"/>
        </w:rPr>
      </w:pPr>
    </w:p>
    <w:p w:rsidR="00455E7F" w:rsidRDefault="00455E7F" w:rsidP="00455E7F">
      <w:pPr>
        <w:rPr>
          <w:sz w:val="28"/>
          <w:szCs w:val="28"/>
        </w:rPr>
      </w:pPr>
      <w:r>
        <w:rPr>
          <w:sz w:val="28"/>
          <w:szCs w:val="28"/>
        </w:rPr>
        <w:t xml:space="preserve">This category should include annual salaries, wages, stipends, consultant fees, allowances, bonuses or extra months salary, and any anticipated termination or severance pay for </w:t>
      </w:r>
      <w:r w:rsidRPr="00B40BC7">
        <w:rPr>
          <w:b/>
          <w:i/>
          <w:sz w:val="28"/>
          <w:szCs w:val="28"/>
        </w:rPr>
        <w:t>all</w:t>
      </w:r>
      <w:r>
        <w:rPr>
          <w:sz w:val="28"/>
          <w:szCs w:val="28"/>
        </w:rPr>
        <w:t xml:space="preserve"> personnel (regular or contractual) to be charged to the proposed agreement.  Caseworker staff must be proficient in using WRAPS, e-mail, PC’s and Windows applications.  Note that the plan for staffing must include information technology staff qualified to maintain WRAPS.  The network administrator should be competent in Windows 2003, Windows XP, IIS, SQL Server 2005, Microsoft Exchange, Microsoft Office, router configuration and management.  Include a staff roster with the above information, indicating existing and proposed positions, an organizational chart, and show total FTE (full-time equivalency) for each type of position in the designated column and actual number of employees occupying each position in the comments column.  Information on COLA and proposed salary increase or adjustment should be noted in the narrative accompanying the budget worksheet.  For consultants, show the proposed daily rate and indicate the number of days of consultant service anticipated in the comments column.</w:t>
      </w:r>
    </w:p>
    <w:p w:rsidR="00455E7F" w:rsidRDefault="00455E7F" w:rsidP="00455E7F">
      <w:pPr>
        <w:rPr>
          <w:sz w:val="28"/>
          <w:szCs w:val="28"/>
        </w:rPr>
      </w:pPr>
      <w:r>
        <w:rPr>
          <w:sz w:val="28"/>
          <w:szCs w:val="28"/>
        </w:rPr>
        <w:t xml:space="preserve">  </w:t>
      </w:r>
    </w:p>
    <w:p w:rsidR="00455E7F" w:rsidRDefault="00455E7F" w:rsidP="00455E7F">
      <w:pPr>
        <w:rPr>
          <w:sz w:val="28"/>
          <w:szCs w:val="28"/>
        </w:rPr>
      </w:pPr>
      <w:r>
        <w:rPr>
          <w:sz w:val="28"/>
          <w:szCs w:val="28"/>
        </w:rPr>
        <w:t xml:space="preserve">Attach a copy of your organization's established salary schedule showing different pay levels and step increases on which the budget is based.  </w:t>
      </w:r>
    </w:p>
    <w:p w:rsidR="00455E7F" w:rsidRDefault="00455E7F" w:rsidP="00455E7F">
      <w:pPr>
        <w:rPr>
          <w:sz w:val="28"/>
          <w:szCs w:val="28"/>
        </w:rPr>
      </w:pPr>
    </w:p>
    <w:p w:rsidR="00455E7F" w:rsidRDefault="00455E7F" w:rsidP="00455E7F">
      <w:pPr>
        <w:rPr>
          <w:b/>
          <w:sz w:val="28"/>
          <w:szCs w:val="28"/>
        </w:rPr>
      </w:pPr>
      <w:r>
        <w:rPr>
          <w:b/>
          <w:sz w:val="28"/>
          <w:szCs w:val="28"/>
        </w:rPr>
        <w:t>ALLOWANCES</w:t>
      </w:r>
    </w:p>
    <w:p w:rsidR="00455E7F" w:rsidRDefault="00455E7F" w:rsidP="00455E7F">
      <w:pPr>
        <w:rPr>
          <w:sz w:val="28"/>
          <w:szCs w:val="28"/>
        </w:rPr>
      </w:pPr>
    </w:p>
    <w:p w:rsidR="00455E7F" w:rsidRDefault="00455E7F" w:rsidP="00455E7F">
      <w:pPr>
        <w:rPr>
          <w:sz w:val="28"/>
          <w:szCs w:val="28"/>
        </w:rPr>
      </w:pPr>
      <w:r>
        <w:rPr>
          <w:sz w:val="28"/>
          <w:szCs w:val="28"/>
        </w:rPr>
        <w:lastRenderedPageBreak/>
        <w:t xml:space="preserve">The comments column of the budget worksheet should specify the number of employees being given each service; i.e., housing for 3 employees; education allowance for 2 children of 2 employees, etc.  </w:t>
      </w:r>
    </w:p>
    <w:p w:rsidR="00455E7F" w:rsidRDefault="00455E7F" w:rsidP="00455E7F">
      <w:pPr>
        <w:rPr>
          <w:sz w:val="28"/>
          <w:szCs w:val="28"/>
        </w:rPr>
      </w:pPr>
    </w:p>
    <w:p w:rsidR="00455E7F" w:rsidRDefault="00455E7F" w:rsidP="00455E7F">
      <w:pPr>
        <w:rPr>
          <w:sz w:val="28"/>
          <w:szCs w:val="28"/>
        </w:rPr>
      </w:pPr>
      <w:r>
        <w:rPr>
          <w:sz w:val="28"/>
          <w:szCs w:val="28"/>
        </w:rPr>
        <w:t>Explain anticipated termination or severance expenses in the Narrative Section.</w:t>
      </w:r>
    </w:p>
    <w:p w:rsidR="00455E7F" w:rsidRDefault="00455E7F" w:rsidP="00455E7F">
      <w:pPr>
        <w:rPr>
          <w:sz w:val="28"/>
          <w:szCs w:val="28"/>
        </w:rPr>
      </w:pPr>
    </w:p>
    <w:p w:rsidR="00455E7F" w:rsidRDefault="00455E7F" w:rsidP="00455E7F">
      <w:pPr>
        <w:rPr>
          <w:b/>
          <w:sz w:val="28"/>
          <w:szCs w:val="28"/>
        </w:rPr>
      </w:pPr>
      <w:r>
        <w:rPr>
          <w:b/>
          <w:sz w:val="28"/>
          <w:szCs w:val="28"/>
        </w:rPr>
        <w:t>FRINGE BENEFITS</w:t>
      </w:r>
    </w:p>
    <w:p w:rsidR="00455E7F" w:rsidRDefault="00455E7F" w:rsidP="00455E7F">
      <w:pPr>
        <w:rPr>
          <w:sz w:val="28"/>
          <w:szCs w:val="28"/>
        </w:rPr>
      </w:pPr>
    </w:p>
    <w:p w:rsidR="00455E7F" w:rsidRDefault="00455E7F" w:rsidP="00455E7F">
      <w:pPr>
        <w:rPr>
          <w:sz w:val="28"/>
          <w:szCs w:val="28"/>
        </w:rPr>
      </w:pPr>
      <w:r>
        <w:rPr>
          <w:sz w:val="28"/>
          <w:szCs w:val="28"/>
        </w:rPr>
        <w:t>Show total cost of fringe benefits provided to International Hire and Local Hire employees.  It is not necessary to identify individual benefits provided.  Where applicable, the percentage of salaries used to calculate benefits should be shown.  The benefits must be consistent with the organization's established personnel policies and practices for all of its employees.</w:t>
      </w:r>
    </w:p>
    <w:p w:rsidR="00455E7F" w:rsidRDefault="00455E7F" w:rsidP="00455E7F">
      <w:pPr>
        <w:rPr>
          <w:sz w:val="28"/>
          <w:szCs w:val="28"/>
        </w:rPr>
      </w:pPr>
    </w:p>
    <w:p w:rsidR="00455E7F" w:rsidRDefault="00455E7F" w:rsidP="00455E7F">
      <w:pPr>
        <w:rPr>
          <w:b/>
          <w:sz w:val="28"/>
          <w:szCs w:val="28"/>
        </w:rPr>
      </w:pPr>
      <w:r>
        <w:rPr>
          <w:b/>
          <w:sz w:val="28"/>
          <w:szCs w:val="28"/>
        </w:rPr>
        <w:t>TRAVEL</w:t>
      </w:r>
    </w:p>
    <w:p w:rsidR="00455E7F" w:rsidRDefault="00455E7F" w:rsidP="00455E7F">
      <w:pPr>
        <w:rPr>
          <w:sz w:val="28"/>
          <w:szCs w:val="28"/>
        </w:rPr>
      </w:pPr>
    </w:p>
    <w:p w:rsidR="00455E7F" w:rsidRDefault="00455E7F" w:rsidP="00455E7F">
      <w:pPr>
        <w:rPr>
          <w:sz w:val="28"/>
          <w:szCs w:val="28"/>
        </w:rPr>
      </w:pPr>
      <w:r>
        <w:rPr>
          <w:sz w:val="28"/>
          <w:szCs w:val="28"/>
        </w:rPr>
        <w:t xml:space="preserve">List local program travel in this category (headquarters staff travel should be included in the Headquarters Expenses category below.)  Provide one total for in-country project travel and one total for furlough/home leave travel.  All anticipated international trips must be listed individually.  Show only the total cost of each trip. Do not itemize by category; rather, list general categories included in the trip total (airfare, per </w:t>
      </w:r>
      <w:proofErr w:type="gramStart"/>
      <w:r>
        <w:rPr>
          <w:sz w:val="28"/>
          <w:szCs w:val="28"/>
        </w:rPr>
        <w:t>diem</w:t>
      </w:r>
      <w:proofErr w:type="gramEnd"/>
      <w:r>
        <w:rPr>
          <w:sz w:val="28"/>
          <w:szCs w:val="28"/>
        </w:rPr>
        <w:t xml:space="preserve">, etc.) in the comments column.  </w:t>
      </w:r>
    </w:p>
    <w:p w:rsidR="00455E7F" w:rsidRDefault="00455E7F" w:rsidP="00455E7F">
      <w:pPr>
        <w:rPr>
          <w:sz w:val="28"/>
          <w:szCs w:val="28"/>
        </w:rPr>
      </w:pPr>
    </w:p>
    <w:p w:rsidR="00455E7F" w:rsidRDefault="00455E7F" w:rsidP="00455E7F">
      <w:pPr>
        <w:rPr>
          <w:b/>
          <w:sz w:val="28"/>
          <w:szCs w:val="28"/>
        </w:rPr>
      </w:pPr>
      <w:r>
        <w:rPr>
          <w:b/>
          <w:sz w:val="28"/>
          <w:szCs w:val="28"/>
        </w:rPr>
        <w:t>EQUIPMENT</w:t>
      </w:r>
    </w:p>
    <w:p w:rsidR="00455E7F" w:rsidRDefault="00455E7F" w:rsidP="00455E7F">
      <w:pPr>
        <w:rPr>
          <w:sz w:val="28"/>
          <w:szCs w:val="28"/>
        </w:rPr>
      </w:pPr>
    </w:p>
    <w:p w:rsidR="00455E7F" w:rsidRDefault="00455E7F" w:rsidP="00455E7F">
      <w:pPr>
        <w:rPr>
          <w:sz w:val="28"/>
          <w:szCs w:val="28"/>
        </w:rPr>
      </w:pPr>
      <w:r>
        <w:rPr>
          <w:sz w:val="28"/>
          <w:szCs w:val="28"/>
        </w:rPr>
        <w:t>This category should include both expendable and non-expendable equipment the organization expects to purchase for program activities.  Non-expendable equipment is defined as tangible personal property having a useful life of more than one year and an acquisition cost of $5,000 or more per unit. List items with a useful life of more than one year and an acquisition cost of $1,000 - $5,000 per unit separately as expendable equipment.  Consolidate like items of lesser value by type of equipment (i.e., telephones, office furniture) with quantities or types to be purchased noted in the comments column.  See Attachment III for WRAPS requirements.</w:t>
      </w:r>
    </w:p>
    <w:p w:rsidR="00455E7F" w:rsidRDefault="00455E7F" w:rsidP="00455E7F">
      <w:pPr>
        <w:rPr>
          <w:sz w:val="28"/>
          <w:szCs w:val="28"/>
        </w:rPr>
      </w:pPr>
    </w:p>
    <w:p w:rsidR="00455E7F" w:rsidRDefault="00455E7F" w:rsidP="00455E7F">
      <w:pPr>
        <w:rPr>
          <w:sz w:val="28"/>
          <w:szCs w:val="28"/>
        </w:rPr>
      </w:pPr>
      <w:r>
        <w:rPr>
          <w:sz w:val="28"/>
          <w:szCs w:val="28"/>
        </w:rPr>
        <w:t xml:space="preserve">If your organization has established levels for equipment at a lesser amount than $5,000, items may be shown according to organization policy, as long </w:t>
      </w:r>
      <w:r>
        <w:rPr>
          <w:sz w:val="28"/>
          <w:szCs w:val="28"/>
        </w:rPr>
        <w:lastRenderedPageBreak/>
        <w:t xml:space="preserve">as the policy is explained in the Narrative Section.  The organization must apply its definition consistently in all </w:t>
      </w:r>
      <w:smartTag w:uri="urn:schemas-microsoft-com:office:smarttags" w:element="place">
        <w:smartTag w:uri="urn:schemas-microsoft-com:office:smarttags" w:element="country-region">
          <w:r>
            <w:rPr>
              <w:sz w:val="28"/>
              <w:szCs w:val="28"/>
            </w:rPr>
            <w:t>U.S.</w:t>
          </w:r>
        </w:smartTag>
      </w:smartTag>
      <w:r>
        <w:rPr>
          <w:sz w:val="28"/>
          <w:szCs w:val="28"/>
        </w:rPr>
        <w:t xml:space="preserve"> government funded arrangements.</w:t>
      </w:r>
    </w:p>
    <w:p w:rsidR="00455E7F" w:rsidRDefault="00455E7F" w:rsidP="00455E7F">
      <w:pPr>
        <w:rPr>
          <w:sz w:val="28"/>
          <w:szCs w:val="28"/>
        </w:rPr>
      </w:pPr>
    </w:p>
    <w:p w:rsidR="00455E7F" w:rsidRDefault="00455E7F" w:rsidP="00455E7F">
      <w:pPr>
        <w:rPr>
          <w:sz w:val="28"/>
          <w:szCs w:val="28"/>
        </w:rPr>
      </w:pPr>
      <w:r>
        <w:rPr>
          <w:sz w:val="28"/>
          <w:szCs w:val="28"/>
        </w:rPr>
        <w:t>Also include equipment to be leased, including vehicles, as well as anticipated maintenance and repair costs for equipment (including contracts.)</w:t>
      </w:r>
    </w:p>
    <w:p w:rsidR="00455E7F" w:rsidRDefault="00455E7F" w:rsidP="00455E7F">
      <w:pPr>
        <w:rPr>
          <w:sz w:val="28"/>
          <w:szCs w:val="28"/>
        </w:rPr>
      </w:pPr>
    </w:p>
    <w:p w:rsidR="00455E7F" w:rsidRDefault="00455E7F" w:rsidP="00455E7F">
      <w:pPr>
        <w:rPr>
          <w:b/>
          <w:sz w:val="28"/>
          <w:szCs w:val="28"/>
        </w:rPr>
      </w:pPr>
      <w:r>
        <w:rPr>
          <w:b/>
          <w:sz w:val="28"/>
          <w:szCs w:val="28"/>
        </w:rPr>
        <w:t xml:space="preserve">SUPPLIES </w:t>
      </w:r>
    </w:p>
    <w:p w:rsidR="00455E7F" w:rsidRDefault="00455E7F" w:rsidP="00455E7F">
      <w:pPr>
        <w:rPr>
          <w:b/>
          <w:sz w:val="28"/>
          <w:szCs w:val="28"/>
        </w:rPr>
      </w:pPr>
    </w:p>
    <w:p w:rsidR="00455E7F" w:rsidRDefault="00455E7F" w:rsidP="00455E7F">
      <w:pPr>
        <w:rPr>
          <w:sz w:val="28"/>
          <w:szCs w:val="28"/>
        </w:rPr>
      </w:pPr>
      <w:r>
        <w:rPr>
          <w:sz w:val="28"/>
          <w:szCs w:val="28"/>
        </w:rPr>
        <w:t xml:space="preserve">In this category include such items as office and automotive supplies and computer software. </w:t>
      </w:r>
    </w:p>
    <w:p w:rsidR="00455E7F" w:rsidRDefault="00455E7F" w:rsidP="00455E7F">
      <w:pPr>
        <w:rPr>
          <w:b/>
          <w:sz w:val="28"/>
          <w:szCs w:val="28"/>
        </w:rPr>
      </w:pPr>
    </w:p>
    <w:p w:rsidR="00455E7F" w:rsidRDefault="00455E7F" w:rsidP="00455E7F">
      <w:pPr>
        <w:rPr>
          <w:b/>
          <w:sz w:val="28"/>
          <w:szCs w:val="28"/>
        </w:rPr>
      </w:pPr>
      <w:r>
        <w:rPr>
          <w:b/>
          <w:sz w:val="28"/>
          <w:szCs w:val="28"/>
        </w:rPr>
        <w:t>CONTRACTUAL SERVICES</w:t>
      </w:r>
    </w:p>
    <w:p w:rsidR="00455E7F" w:rsidRDefault="00455E7F" w:rsidP="00455E7F">
      <w:pPr>
        <w:rPr>
          <w:b/>
          <w:sz w:val="28"/>
          <w:szCs w:val="28"/>
        </w:rPr>
      </w:pPr>
    </w:p>
    <w:p w:rsidR="00455E7F" w:rsidRDefault="00455E7F" w:rsidP="00455E7F">
      <w:pPr>
        <w:rPr>
          <w:sz w:val="28"/>
          <w:szCs w:val="28"/>
        </w:rPr>
      </w:pPr>
      <w:r>
        <w:rPr>
          <w:sz w:val="28"/>
          <w:szCs w:val="28"/>
        </w:rPr>
        <w:t>Include here any anticipated sub-contracts, such as security guards, payroll services, etc.  Do not include contracts for regular personnel, maintenance and repair of non-expendable equipment, or audits, which are listed elsewhere.</w:t>
      </w:r>
    </w:p>
    <w:p w:rsidR="00455E7F" w:rsidRDefault="00455E7F" w:rsidP="00455E7F">
      <w:pPr>
        <w:rPr>
          <w:b/>
          <w:sz w:val="28"/>
          <w:szCs w:val="28"/>
        </w:rPr>
      </w:pPr>
    </w:p>
    <w:p w:rsidR="00455E7F" w:rsidRDefault="00455E7F" w:rsidP="00455E7F">
      <w:pPr>
        <w:rPr>
          <w:b/>
          <w:sz w:val="28"/>
          <w:szCs w:val="28"/>
        </w:rPr>
      </w:pPr>
      <w:r>
        <w:rPr>
          <w:b/>
          <w:sz w:val="28"/>
          <w:szCs w:val="28"/>
        </w:rPr>
        <w:t>OTHER DIRECT EXPENSES</w:t>
      </w:r>
    </w:p>
    <w:p w:rsidR="00455E7F" w:rsidRDefault="00455E7F" w:rsidP="00455E7F">
      <w:pPr>
        <w:rPr>
          <w:b/>
          <w:sz w:val="28"/>
          <w:szCs w:val="28"/>
        </w:rPr>
      </w:pPr>
      <w:r>
        <w:rPr>
          <w:b/>
          <w:sz w:val="28"/>
          <w:szCs w:val="28"/>
        </w:rPr>
        <w:t xml:space="preserve"> </w:t>
      </w:r>
    </w:p>
    <w:p w:rsidR="00455E7F" w:rsidRDefault="00455E7F" w:rsidP="00455E7F">
      <w:pPr>
        <w:rPr>
          <w:sz w:val="28"/>
          <w:szCs w:val="28"/>
        </w:rPr>
      </w:pPr>
      <w:r>
        <w:rPr>
          <w:sz w:val="28"/>
          <w:szCs w:val="28"/>
        </w:rPr>
        <w:t>Please follow the attached format for inclusion of other direct costs of the program, indicating separately anticipated costs for utilities, space rental, communications, insurance, printing/duplicating, and audit, as well as other costs not included elsewhere in the budget.</w:t>
      </w:r>
    </w:p>
    <w:p w:rsidR="00455E7F" w:rsidRDefault="00455E7F" w:rsidP="00455E7F">
      <w:pPr>
        <w:rPr>
          <w:sz w:val="28"/>
          <w:szCs w:val="28"/>
        </w:rPr>
      </w:pPr>
    </w:p>
    <w:p w:rsidR="00455E7F" w:rsidRDefault="00455E7F" w:rsidP="00455E7F">
      <w:pPr>
        <w:rPr>
          <w:b/>
          <w:sz w:val="28"/>
          <w:szCs w:val="28"/>
        </w:rPr>
      </w:pPr>
      <w:r>
        <w:rPr>
          <w:b/>
          <w:sz w:val="28"/>
          <w:szCs w:val="28"/>
        </w:rPr>
        <w:t>HEADQUARTERS EXPENSES</w:t>
      </w:r>
    </w:p>
    <w:p w:rsidR="00455E7F" w:rsidRDefault="00455E7F" w:rsidP="00455E7F">
      <w:pPr>
        <w:rPr>
          <w:sz w:val="28"/>
          <w:szCs w:val="28"/>
        </w:rPr>
      </w:pPr>
    </w:p>
    <w:p w:rsidR="00455E7F" w:rsidRDefault="00455E7F" w:rsidP="00455E7F">
      <w:pPr>
        <w:rPr>
          <w:sz w:val="28"/>
          <w:szCs w:val="28"/>
        </w:rPr>
      </w:pPr>
      <w:r>
        <w:rPr>
          <w:sz w:val="28"/>
          <w:szCs w:val="28"/>
        </w:rPr>
        <w:t xml:space="preserve">This category should include any anticipated U.S. domestic or international travel of headquarters staff in support of this program as well as any personnel costs or other expenses to be </w:t>
      </w:r>
      <w:r w:rsidRPr="00B40BC7">
        <w:rPr>
          <w:b/>
          <w:sz w:val="28"/>
          <w:szCs w:val="28"/>
        </w:rPr>
        <w:t>directly</w:t>
      </w:r>
      <w:r>
        <w:rPr>
          <w:sz w:val="28"/>
          <w:szCs w:val="28"/>
        </w:rPr>
        <w:t xml:space="preserve"> charged by the organization to the program (for personnel, include percentage of time dedicated to this program.)</w:t>
      </w:r>
    </w:p>
    <w:p w:rsidR="00455E7F" w:rsidRDefault="00455E7F" w:rsidP="00455E7F">
      <w:pPr>
        <w:rPr>
          <w:sz w:val="28"/>
          <w:szCs w:val="28"/>
        </w:rPr>
      </w:pPr>
    </w:p>
    <w:p w:rsidR="00455E7F" w:rsidRDefault="00455E7F" w:rsidP="00455E7F">
      <w:pPr>
        <w:rPr>
          <w:b/>
          <w:sz w:val="28"/>
          <w:szCs w:val="28"/>
        </w:rPr>
      </w:pPr>
      <w:r>
        <w:rPr>
          <w:b/>
          <w:sz w:val="28"/>
          <w:szCs w:val="28"/>
        </w:rPr>
        <w:t>CULTURAL ORIENTATION</w:t>
      </w:r>
    </w:p>
    <w:p w:rsidR="00455E7F" w:rsidRDefault="00455E7F" w:rsidP="00455E7F">
      <w:pPr>
        <w:rPr>
          <w:sz w:val="28"/>
          <w:szCs w:val="28"/>
        </w:rPr>
      </w:pPr>
    </w:p>
    <w:p w:rsidR="00455E7F" w:rsidRDefault="00455E7F" w:rsidP="00455E7F">
      <w:pPr>
        <w:rPr>
          <w:sz w:val="28"/>
          <w:szCs w:val="28"/>
        </w:rPr>
      </w:pPr>
      <w:r>
        <w:rPr>
          <w:sz w:val="28"/>
          <w:szCs w:val="28"/>
        </w:rPr>
        <w:t xml:space="preserve">The organization operating the </w:t>
      </w:r>
      <w:r w:rsidR="00DF609F">
        <w:rPr>
          <w:sz w:val="28"/>
          <w:szCs w:val="28"/>
        </w:rPr>
        <w:t xml:space="preserve">RSC </w:t>
      </w:r>
      <w:r>
        <w:rPr>
          <w:sz w:val="28"/>
          <w:szCs w:val="28"/>
        </w:rPr>
        <w:t>will provide cultural orientation to approved refugees aged 15 and above in accordance with guidelines developed in conjunction with the Bureau by the Center for Applied Linguistics (CAL) and described in the publication “</w:t>
      </w:r>
      <w:r>
        <w:rPr>
          <w:i/>
          <w:sz w:val="28"/>
          <w:szCs w:val="28"/>
        </w:rPr>
        <w:t xml:space="preserve">Welcome to the United </w:t>
      </w:r>
      <w:r>
        <w:rPr>
          <w:i/>
          <w:sz w:val="28"/>
          <w:szCs w:val="28"/>
        </w:rPr>
        <w:lastRenderedPageBreak/>
        <w:t>States--A Guidebook for Refugees</w:t>
      </w:r>
      <w:r>
        <w:rPr>
          <w:sz w:val="28"/>
          <w:szCs w:val="28"/>
        </w:rPr>
        <w:t xml:space="preserve">” (CAL, 2004) and other CAL materials (see </w:t>
      </w:r>
      <w:hyperlink r:id="rId5" w:history="1">
        <w:r>
          <w:rPr>
            <w:rStyle w:val="Hyperlink"/>
            <w:sz w:val="28"/>
            <w:szCs w:val="28"/>
          </w:rPr>
          <w:t>www.culturalorientation.net</w:t>
        </w:r>
      </w:hyperlink>
      <w:r>
        <w:rPr>
          <w:sz w:val="28"/>
          <w:szCs w:val="28"/>
        </w:rPr>
        <w:t xml:space="preserve"> ).  The cultural orientation training will be for a period of three days and at a minimum address the following subjects:</w:t>
      </w:r>
    </w:p>
    <w:p w:rsidR="00455E7F" w:rsidRDefault="00455E7F" w:rsidP="00455E7F">
      <w:pPr>
        <w:numPr>
          <w:ilvl w:val="0"/>
          <w:numId w:val="5"/>
        </w:numPr>
        <w:spacing w:before="100" w:beforeAutospacing="1" w:after="100" w:afterAutospacing="1"/>
        <w:rPr>
          <w:sz w:val="28"/>
          <w:szCs w:val="28"/>
        </w:rPr>
      </w:pPr>
      <w:r>
        <w:rPr>
          <w:sz w:val="28"/>
          <w:szCs w:val="28"/>
        </w:rPr>
        <w:t xml:space="preserve">Role of the Resettlement Agency </w:t>
      </w:r>
    </w:p>
    <w:p w:rsidR="00455E7F" w:rsidRDefault="00455E7F" w:rsidP="00455E7F">
      <w:pPr>
        <w:numPr>
          <w:ilvl w:val="0"/>
          <w:numId w:val="5"/>
        </w:numPr>
        <w:spacing w:before="100" w:beforeAutospacing="1" w:after="100" w:afterAutospacing="1"/>
        <w:rPr>
          <w:sz w:val="28"/>
          <w:szCs w:val="28"/>
        </w:rPr>
      </w:pPr>
      <w:r>
        <w:rPr>
          <w:sz w:val="28"/>
          <w:szCs w:val="28"/>
        </w:rPr>
        <w:t xml:space="preserve">Rights and Responsibilities of Refugees </w:t>
      </w:r>
    </w:p>
    <w:p w:rsidR="00455E7F" w:rsidRDefault="00455E7F" w:rsidP="00455E7F">
      <w:pPr>
        <w:numPr>
          <w:ilvl w:val="0"/>
          <w:numId w:val="5"/>
        </w:numPr>
        <w:spacing w:before="100" w:beforeAutospacing="1" w:after="100" w:afterAutospacing="1"/>
        <w:rPr>
          <w:sz w:val="28"/>
          <w:szCs w:val="28"/>
        </w:rPr>
      </w:pPr>
      <w:r>
        <w:rPr>
          <w:sz w:val="28"/>
          <w:szCs w:val="28"/>
        </w:rPr>
        <w:t xml:space="preserve">Transit </w:t>
      </w:r>
    </w:p>
    <w:p w:rsidR="00455E7F" w:rsidRDefault="00455E7F" w:rsidP="00455E7F">
      <w:pPr>
        <w:numPr>
          <w:ilvl w:val="0"/>
          <w:numId w:val="5"/>
        </w:numPr>
        <w:spacing w:before="100" w:beforeAutospacing="1" w:after="100" w:afterAutospacing="1"/>
        <w:rPr>
          <w:sz w:val="28"/>
          <w:szCs w:val="28"/>
        </w:rPr>
      </w:pPr>
      <w:r>
        <w:rPr>
          <w:sz w:val="28"/>
          <w:szCs w:val="28"/>
        </w:rPr>
        <w:t xml:space="preserve">Early Employment Priority </w:t>
      </w:r>
    </w:p>
    <w:p w:rsidR="00455E7F" w:rsidRDefault="00455E7F" w:rsidP="00455E7F">
      <w:pPr>
        <w:numPr>
          <w:ilvl w:val="0"/>
          <w:numId w:val="5"/>
        </w:numPr>
        <w:spacing w:before="100" w:beforeAutospacing="1" w:after="100" w:afterAutospacing="1"/>
        <w:rPr>
          <w:sz w:val="28"/>
          <w:szCs w:val="28"/>
        </w:rPr>
      </w:pPr>
      <w:r>
        <w:rPr>
          <w:sz w:val="28"/>
          <w:szCs w:val="28"/>
        </w:rPr>
        <w:t xml:space="preserve">Work plus English Study </w:t>
      </w:r>
    </w:p>
    <w:p w:rsidR="00455E7F" w:rsidRDefault="00455E7F" w:rsidP="00455E7F">
      <w:pPr>
        <w:numPr>
          <w:ilvl w:val="0"/>
          <w:numId w:val="5"/>
        </w:numPr>
        <w:spacing w:before="100" w:beforeAutospacing="1" w:after="100" w:afterAutospacing="1"/>
        <w:rPr>
          <w:sz w:val="28"/>
          <w:szCs w:val="28"/>
        </w:rPr>
      </w:pPr>
      <w:r>
        <w:rPr>
          <w:sz w:val="28"/>
          <w:szCs w:val="28"/>
        </w:rPr>
        <w:t xml:space="preserve">Public Assistance Benefits </w:t>
      </w:r>
    </w:p>
    <w:p w:rsidR="00455E7F" w:rsidRDefault="00455E7F" w:rsidP="00455E7F">
      <w:pPr>
        <w:numPr>
          <w:ilvl w:val="0"/>
          <w:numId w:val="5"/>
        </w:numPr>
        <w:spacing w:before="100" w:beforeAutospacing="1" w:after="100" w:afterAutospacing="1"/>
        <w:rPr>
          <w:sz w:val="28"/>
          <w:szCs w:val="28"/>
        </w:rPr>
      </w:pPr>
      <w:r>
        <w:rPr>
          <w:sz w:val="28"/>
          <w:szCs w:val="28"/>
        </w:rPr>
        <w:t xml:space="preserve">Cultural Adjustment </w:t>
      </w:r>
    </w:p>
    <w:p w:rsidR="00455E7F" w:rsidRDefault="00455E7F" w:rsidP="00455E7F">
      <w:pPr>
        <w:numPr>
          <w:ilvl w:val="0"/>
          <w:numId w:val="5"/>
        </w:numPr>
        <w:spacing w:before="100" w:beforeAutospacing="1" w:after="100" w:afterAutospacing="1"/>
        <w:rPr>
          <w:sz w:val="28"/>
          <w:szCs w:val="28"/>
        </w:rPr>
      </w:pPr>
      <w:r>
        <w:rPr>
          <w:sz w:val="28"/>
          <w:szCs w:val="28"/>
        </w:rPr>
        <w:t xml:space="preserve">Education </w:t>
      </w:r>
    </w:p>
    <w:p w:rsidR="00455E7F" w:rsidRDefault="00455E7F" w:rsidP="00455E7F">
      <w:pPr>
        <w:numPr>
          <w:ilvl w:val="0"/>
          <w:numId w:val="5"/>
        </w:numPr>
        <w:spacing w:before="100" w:beforeAutospacing="1" w:after="100" w:afterAutospacing="1"/>
        <w:rPr>
          <w:sz w:val="28"/>
          <w:szCs w:val="28"/>
        </w:rPr>
      </w:pPr>
      <w:r>
        <w:rPr>
          <w:sz w:val="28"/>
          <w:szCs w:val="28"/>
        </w:rPr>
        <w:t>Health Care</w:t>
      </w:r>
    </w:p>
    <w:p w:rsidR="00455E7F" w:rsidRDefault="00455E7F" w:rsidP="00455E7F">
      <w:pPr>
        <w:numPr>
          <w:ilvl w:val="0"/>
          <w:numId w:val="5"/>
        </w:numPr>
        <w:spacing w:before="100" w:beforeAutospacing="1" w:after="100" w:afterAutospacing="1"/>
        <w:rPr>
          <w:b/>
          <w:sz w:val="28"/>
          <w:szCs w:val="28"/>
        </w:rPr>
      </w:pPr>
      <w:r>
        <w:rPr>
          <w:sz w:val="28"/>
          <w:szCs w:val="28"/>
        </w:rPr>
        <w:t xml:space="preserve">Housing </w:t>
      </w:r>
    </w:p>
    <w:p w:rsidR="00455E7F" w:rsidRDefault="00455E7F" w:rsidP="00455E7F">
      <w:pPr>
        <w:rPr>
          <w:b/>
          <w:sz w:val="28"/>
          <w:szCs w:val="28"/>
        </w:rPr>
      </w:pPr>
      <w:r>
        <w:rPr>
          <w:b/>
          <w:sz w:val="28"/>
          <w:szCs w:val="28"/>
        </w:rPr>
        <w:t>INDIRECT COST RATE</w:t>
      </w:r>
    </w:p>
    <w:p w:rsidR="00455E7F" w:rsidRDefault="00455E7F" w:rsidP="00455E7F">
      <w:pPr>
        <w:rPr>
          <w:b/>
          <w:sz w:val="28"/>
          <w:szCs w:val="28"/>
        </w:rPr>
      </w:pPr>
    </w:p>
    <w:p w:rsidR="00455E7F" w:rsidRDefault="00455E7F" w:rsidP="00455E7F">
      <w:pPr>
        <w:rPr>
          <w:sz w:val="28"/>
          <w:szCs w:val="28"/>
        </w:rPr>
      </w:pPr>
      <w:r>
        <w:rPr>
          <w:sz w:val="28"/>
          <w:szCs w:val="28"/>
        </w:rPr>
        <w:t xml:space="preserve">Please note your organization's percentage rate and attach a copy of the most recent negotiated indirect cost rate agreement with the </w:t>
      </w:r>
      <w:proofErr w:type="gramStart"/>
      <w:r>
        <w:rPr>
          <w:sz w:val="28"/>
          <w:szCs w:val="28"/>
        </w:rPr>
        <w:t>cognizant</w:t>
      </w:r>
      <w:proofErr w:type="gramEnd"/>
      <w:r>
        <w:rPr>
          <w:sz w:val="28"/>
          <w:szCs w:val="28"/>
        </w:rPr>
        <w:t xml:space="preserve"> </w:t>
      </w:r>
      <w:smartTag w:uri="urn:schemas-microsoft-com:office:smarttags" w:element="place">
        <w:smartTag w:uri="urn:schemas-microsoft-com:office:smarttags" w:element="country-region">
          <w:r>
            <w:rPr>
              <w:sz w:val="28"/>
              <w:szCs w:val="28"/>
            </w:rPr>
            <w:t>U.S.</w:t>
          </w:r>
        </w:smartTag>
      </w:smartTag>
      <w:r>
        <w:rPr>
          <w:sz w:val="28"/>
          <w:szCs w:val="28"/>
        </w:rPr>
        <w:t xml:space="preserve"> government agency.  Also note base of application in the comments column.</w:t>
      </w:r>
    </w:p>
    <w:p w:rsidR="00455E7F" w:rsidRDefault="00455E7F" w:rsidP="00455E7F">
      <w:pPr>
        <w:rPr>
          <w:b/>
          <w:sz w:val="28"/>
          <w:szCs w:val="28"/>
        </w:rPr>
      </w:pPr>
    </w:p>
    <w:p w:rsidR="00455E7F" w:rsidRDefault="00455E7F" w:rsidP="00455E7F">
      <w:pPr>
        <w:rPr>
          <w:b/>
          <w:sz w:val="28"/>
          <w:szCs w:val="28"/>
        </w:rPr>
      </w:pPr>
      <w:r>
        <w:rPr>
          <w:b/>
          <w:sz w:val="28"/>
          <w:szCs w:val="28"/>
        </w:rPr>
        <w:t>COMMENTS</w:t>
      </w:r>
    </w:p>
    <w:p w:rsidR="00455E7F" w:rsidRDefault="00455E7F" w:rsidP="00455E7F">
      <w:pPr>
        <w:rPr>
          <w:sz w:val="28"/>
          <w:szCs w:val="28"/>
        </w:rPr>
      </w:pPr>
    </w:p>
    <w:p w:rsidR="00455E7F" w:rsidRDefault="00455E7F" w:rsidP="00455E7F">
      <w:pPr>
        <w:rPr>
          <w:sz w:val="28"/>
          <w:szCs w:val="28"/>
        </w:rPr>
      </w:pPr>
      <w:r>
        <w:rPr>
          <w:sz w:val="28"/>
          <w:szCs w:val="28"/>
        </w:rPr>
        <w:t xml:space="preserve">Comments are not required for every budget line item.  This column provides space for further identification, as needed, of items included in the budget categories.  For example, under travel, each individual trip should be identified and total cost for each trip provided under the “Proposed Budget” column, with items included in the costs, e.g., airfare, per diem, taxis, etc., specified under “Comments”.  The Comments column is </w:t>
      </w:r>
      <w:r>
        <w:rPr>
          <w:b/>
          <w:sz w:val="28"/>
          <w:szCs w:val="28"/>
        </w:rPr>
        <w:t>not</w:t>
      </w:r>
      <w:r>
        <w:rPr>
          <w:sz w:val="28"/>
          <w:szCs w:val="28"/>
        </w:rPr>
        <w:t xml:space="preserve"> intended to replace the Narrative section.</w:t>
      </w:r>
    </w:p>
    <w:p w:rsidR="00455E7F" w:rsidRDefault="00455E7F" w:rsidP="00455E7F">
      <w:pPr>
        <w:rPr>
          <w:sz w:val="28"/>
          <w:szCs w:val="28"/>
        </w:rPr>
      </w:pPr>
    </w:p>
    <w:p w:rsidR="00455E7F" w:rsidRDefault="00455E7F" w:rsidP="00455E7F">
      <w:pPr>
        <w:rPr>
          <w:b/>
          <w:sz w:val="28"/>
          <w:szCs w:val="28"/>
        </w:rPr>
      </w:pPr>
      <w:r>
        <w:rPr>
          <w:b/>
          <w:sz w:val="28"/>
          <w:szCs w:val="28"/>
        </w:rPr>
        <w:t>BUDGET SUMMARY PAGE</w:t>
      </w:r>
    </w:p>
    <w:p w:rsidR="00455E7F" w:rsidRDefault="00455E7F" w:rsidP="00455E7F">
      <w:pPr>
        <w:rPr>
          <w:sz w:val="28"/>
          <w:szCs w:val="28"/>
        </w:rPr>
      </w:pPr>
    </w:p>
    <w:p w:rsidR="00455E7F" w:rsidRDefault="00455E7F" w:rsidP="00455E7F">
      <w:pPr>
        <w:rPr>
          <w:sz w:val="28"/>
          <w:szCs w:val="28"/>
        </w:rPr>
      </w:pPr>
      <w:r>
        <w:rPr>
          <w:sz w:val="28"/>
          <w:szCs w:val="28"/>
        </w:rPr>
        <w:t xml:space="preserve">Include budget category totals on the summary page.  </w:t>
      </w:r>
    </w:p>
    <w:p w:rsidR="00455E7F" w:rsidRDefault="00455E7F" w:rsidP="00455E7F">
      <w:pPr>
        <w:pStyle w:val="Header"/>
        <w:tabs>
          <w:tab w:val="clear" w:pos="4320"/>
          <w:tab w:val="clear" w:pos="8640"/>
        </w:tabs>
        <w:rPr>
          <w:rFonts w:ascii="Times New Roman" w:hAnsi="Times New Roman"/>
          <w:sz w:val="28"/>
          <w:szCs w:val="28"/>
        </w:rPr>
      </w:pPr>
    </w:p>
    <w:p w:rsidR="00455E7F" w:rsidRDefault="00B40BC7" w:rsidP="00455E7F">
      <w:pPr>
        <w:rPr>
          <w:b/>
          <w:sz w:val="28"/>
          <w:szCs w:val="28"/>
        </w:rPr>
      </w:pPr>
      <w:r>
        <w:rPr>
          <w:b/>
          <w:sz w:val="28"/>
          <w:szCs w:val="28"/>
        </w:rPr>
        <w:t xml:space="preserve">BUDGET </w:t>
      </w:r>
      <w:r w:rsidR="00455E7F">
        <w:rPr>
          <w:b/>
          <w:sz w:val="28"/>
          <w:szCs w:val="28"/>
        </w:rPr>
        <w:t>NARRATIVE</w:t>
      </w:r>
    </w:p>
    <w:p w:rsidR="00455E7F" w:rsidRDefault="00455E7F" w:rsidP="00455E7F">
      <w:pPr>
        <w:rPr>
          <w:sz w:val="28"/>
          <w:szCs w:val="28"/>
        </w:rPr>
      </w:pPr>
    </w:p>
    <w:p w:rsidR="00455E7F" w:rsidRPr="002715E0" w:rsidRDefault="00455E7F" w:rsidP="00455E7F">
      <w:r>
        <w:rPr>
          <w:sz w:val="28"/>
          <w:szCs w:val="28"/>
        </w:rPr>
        <w:t xml:space="preserve">The Narrative section describes the proposed program and how refugee processing functions will be performed.  It also explains the budget request.  </w:t>
      </w:r>
      <w:r>
        <w:rPr>
          <w:sz w:val="28"/>
          <w:szCs w:val="28"/>
        </w:rPr>
        <w:lastRenderedPageBreak/>
        <w:t xml:space="preserve">The Narrative should specifically identify any cost of living (COLA) request and provide a dollar amount for the total cost of the COLA (broken down by international-hire and local-hire, as appropriate). </w:t>
      </w:r>
    </w:p>
    <w:p w:rsidR="004B656C" w:rsidRPr="00455E7F" w:rsidRDefault="004B656C" w:rsidP="00455E7F"/>
    <w:sectPr w:rsidR="004B656C" w:rsidRPr="00455E7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2B4"/>
    <w:multiLevelType w:val="hybridMultilevel"/>
    <w:tmpl w:val="EC04E838"/>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BE7608F"/>
    <w:multiLevelType w:val="multilevel"/>
    <w:tmpl w:val="4F6E7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162A14"/>
    <w:multiLevelType w:val="hybridMultilevel"/>
    <w:tmpl w:val="BF42DB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B1365BD"/>
    <w:multiLevelType w:val="hybridMultilevel"/>
    <w:tmpl w:val="B9F8F416"/>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9044DD"/>
    <w:multiLevelType w:val="hybridMultilevel"/>
    <w:tmpl w:val="97B81C8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271767A"/>
    <w:multiLevelType w:val="hybridMultilevel"/>
    <w:tmpl w:val="ACAE29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664251"/>
    <w:multiLevelType w:val="hybridMultilevel"/>
    <w:tmpl w:val="9B2A156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FAF075D"/>
    <w:multiLevelType w:val="hybridMultilevel"/>
    <w:tmpl w:val="1A3022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60344FB"/>
    <w:multiLevelType w:val="hybridMultilevel"/>
    <w:tmpl w:val="E5FC95C6"/>
    <w:lvl w:ilvl="0" w:tplc="04090003">
      <w:start w:val="1"/>
      <w:numFmt w:val="bullet"/>
      <w:lvlText w:val="o"/>
      <w:lvlJc w:val="left"/>
      <w:pPr>
        <w:tabs>
          <w:tab w:val="num" w:pos="720"/>
        </w:tabs>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1D50A3"/>
    <w:multiLevelType w:val="hybridMultilevel"/>
    <w:tmpl w:val="77F2E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C66E37"/>
    <w:multiLevelType w:val="hybridMultilevel"/>
    <w:tmpl w:val="ECA641C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19D5BB2"/>
    <w:multiLevelType w:val="hybridMultilevel"/>
    <w:tmpl w:val="12825F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EC34197"/>
    <w:multiLevelType w:val="hybridMultilevel"/>
    <w:tmpl w:val="F7F661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B1894"/>
    <w:multiLevelType w:val="hybridMultilevel"/>
    <w:tmpl w:val="566E32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EDA7412"/>
    <w:multiLevelType w:val="hybridMultilevel"/>
    <w:tmpl w:val="A63E3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0024F71"/>
    <w:multiLevelType w:val="hybridMultilevel"/>
    <w:tmpl w:val="BAF4B6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8A77ECE"/>
    <w:multiLevelType w:val="hybridMultilevel"/>
    <w:tmpl w:val="73C008B2"/>
    <w:lvl w:ilvl="0" w:tplc="04090003">
      <w:start w:val="1"/>
      <w:numFmt w:val="bullet"/>
      <w:lvlText w:val="o"/>
      <w:lvlJc w:val="left"/>
      <w:pPr>
        <w:tabs>
          <w:tab w:val="num" w:pos="1080"/>
        </w:tabs>
        <w:ind w:left="1080" w:hanging="360"/>
      </w:pPr>
      <w:rPr>
        <w:rFonts w:ascii="Courier New" w:hAnsi="Courier New" w:hint="default"/>
      </w:rPr>
    </w:lvl>
    <w:lvl w:ilvl="1" w:tplc="12C0A058">
      <w:start w:val="60"/>
      <w:numFmt w:val="bullet"/>
      <w:lvlText w:val=""/>
      <w:lvlJc w:val="left"/>
      <w:pPr>
        <w:tabs>
          <w:tab w:val="num" w:pos="1800"/>
        </w:tabs>
        <w:ind w:left="1800" w:hanging="360"/>
      </w:pPr>
      <w:rPr>
        <w:rFonts w:ascii="Wingdings" w:eastAsia="Times New Roman" w:hAnsi="Wingding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F8A326B"/>
    <w:multiLevelType w:val="hybridMultilevel"/>
    <w:tmpl w:val="9AD0B1C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3"/>
  </w:num>
  <w:num w:numId="4">
    <w:abstractNumId w:val="4"/>
  </w:num>
  <w:num w:numId="5">
    <w:abstractNumId w:val="1"/>
  </w:num>
  <w:num w:numId="6">
    <w:abstractNumId w:val="11"/>
  </w:num>
  <w:num w:numId="7">
    <w:abstractNumId w:val="7"/>
  </w:num>
  <w:num w:numId="8">
    <w:abstractNumId w:val="0"/>
  </w:num>
  <w:num w:numId="9">
    <w:abstractNumId w:val="15"/>
  </w:num>
  <w:num w:numId="10">
    <w:abstractNumId w:val="16"/>
  </w:num>
  <w:num w:numId="11">
    <w:abstractNumId w:val="3"/>
  </w:num>
  <w:num w:numId="12">
    <w:abstractNumId w:val="14"/>
  </w:num>
  <w:num w:numId="13">
    <w:abstractNumId w:val="9"/>
  </w:num>
  <w:num w:numId="14">
    <w:abstractNumId w:val="12"/>
  </w:num>
  <w:num w:numId="15">
    <w:abstractNumId w:val="6"/>
  </w:num>
  <w:num w:numId="16">
    <w:abstractNumId w:val="17"/>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compat/>
  <w:rsids>
    <w:rsidRoot w:val="00455E7F"/>
    <w:rsid w:val="00022130"/>
    <w:rsid w:val="00050C30"/>
    <w:rsid w:val="000D16CC"/>
    <w:rsid w:val="001E0DD4"/>
    <w:rsid w:val="00455E7F"/>
    <w:rsid w:val="004B656C"/>
    <w:rsid w:val="00643CF9"/>
    <w:rsid w:val="006E13D4"/>
    <w:rsid w:val="0075494F"/>
    <w:rsid w:val="00763C7F"/>
    <w:rsid w:val="00B23A9B"/>
    <w:rsid w:val="00B40BC7"/>
    <w:rsid w:val="00DF609F"/>
    <w:rsid w:val="00FE2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E7F"/>
  </w:style>
  <w:style w:type="paragraph" w:styleId="Heading1">
    <w:name w:val="heading 1"/>
    <w:basedOn w:val="Normal"/>
    <w:next w:val="Normal"/>
    <w:qFormat/>
    <w:rsid w:val="00455E7F"/>
    <w:pPr>
      <w:keepNext/>
      <w:jc w:val="center"/>
      <w:outlineLvl w:val="0"/>
    </w:pPr>
    <w:rPr>
      <w:rFonts w:ascii="Courier" w:hAnsi="Courier"/>
      <w:b/>
      <w:sz w:val="24"/>
    </w:rPr>
  </w:style>
  <w:style w:type="paragraph" w:styleId="Heading4">
    <w:name w:val="heading 4"/>
    <w:basedOn w:val="Normal"/>
    <w:next w:val="Normal"/>
    <w:qFormat/>
    <w:rsid w:val="00455E7F"/>
    <w:pPr>
      <w:keepNext/>
      <w:spacing w:line="201" w:lineRule="exact"/>
      <w:outlineLvl w:val="3"/>
    </w:pPr>
    <w:rPr>
      <w:rFonts w:ascii="Courier New" w:hAnsi="Courier New"/>
      <w:b/>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55E7F"/>
    <w:pPr>
      <w:tabs>
        <w:tab w:val="center" w:pos="4320"/>
        <w:tab w:val="right" w:pos="8640"/>
      </w:tabs>
    </w:pPr>
    <w:rPr>
      <w:rFonts w:ascii="Univers" w:hAnsi="Univers"/>
      <w:sz w:val="24"/>
    </w:rPr>
  </w:style>
  <w:style w:type="paragraph" w:styleId="BodyText">
    <w:name w:val="Body Text"/>
    <w:basedOn w:val="Normal"/>
    <w:rsid w:val="00455E7F"/>
    <w:rPr>
      <w:sz w:val="24"/>
    </w:rPr>
  </w:style>
  <w:style w:type="paragraph" w:customStyle="1" w:styleId="ConvertStyle12">
    <w:name w:val="ConvertStyle12"/>
    <w:basedOn w:val="Normal"/>
    <w:rsid w:val="00455E7F"/>
    <w:pPr>
      <w:tabs>
        <w:tab w:val="left" w:pos="576"/>
        <w:tab w:val="left" w:pos="1296"/>
      </w:tabs>
      <w:ind w:right="144"/>
    </w:pPr>
    <w:rPr>
      <w:rFonts w:ascii="Courier New" w:hAnsi="Courier New"/>
      <w:sz w:val="24"/>
    </w:rPr>
  </w:style>
  <w:style w:type="paragraph" w:customStyle="1" w:styleId="ConvertStyle13">
    <w:name w:val="ConvertStyle13"/>
    <w:basedOn w:val="Normal"/>
    <w:rsid w:val="00455E7F"/>
    <w:pPr>
      <w:tabs>
        <w:tab w:val="left" w:pos="576"/>
        <w:tab w:val="left" w:pos="1296"/>
      </w:tabs>
      <w:ind w:right="144"/>
    </w:pPr>
    <w:rPr>
      <w:rFonts w:ascii="Courier New" w:hAnsi="Courier New"/>
      <w:sz w:val="24"/>
    </w:rPr>
  </w:style>
  <w:style w:type="character" w:styleId="Hyperlink">
    <w:name w:val="Hyperlink"/>
    <w:basedOn w:val="DefaultParagraphFont"/>
    <w:rsid w:val="00455E7F"/>
    <w:rPr>
      <w:color w:val="0000FF"/>
      <w:u w:val="single"/>
    </w:rPr>
  </w:style>
  <w:style w:type="paragraph" w:customStyle="1" w:styleId="ConvertStyle7">
    <w:name w:val="ConvertStyle7"/>
    <w:basedOn w:val="Normal"/>
    <w:rsid w:val="00455E7F"/>
    <w:pPr>
      <w:tabs>
        <w:tab w:val="left" w:pos="576"/>
        <w:tab w:val="left" w:pos="1296"/>
      </w:tabs>
      <w:ind w:right="144"/>
    </w:pPr>
    <w:rPr>
      <w:rFonts w:ascii="Courier New" w:hAnsi="Courier New"/>
      <w:sz w:val="24"/>
    </w:rPr>
  </w:style>
  <w:style w:type="paragraph" w:styleId="BalloonText">
    <w:name w:val="Balloon Text"/>
    <w:basedOn w:val="Normal"/>
    <w:semiHidden/>
    <w:rsid w:val="00B40B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ulturalorientatio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1040</Words>
  <Characters>6016</Characters>
  <Application>Microsoft Office Word</Application>
  <DocSecurity>0</DocSecurity>
  <Lines>162</Lines>
  <Paragraphs>53</Paragraphs>
  <ScaleCrop>false</ScaleCrop>
  <HeadingPairs>
    <vt:vector size="2" baseType="variant">
      <vt:variant>
        <vt:lpstr>Title</vt:lpstr>
      </vt:variant>
      <vt:variant>
        <vt:i4>1</vt:i4>
      </vt:variant>
    </vt:vector>
  </HeadingPairs>
  <TitlesOfParts>
    <vt:vector size="1" baseType="lpstr">
      <vt:lpstr>Attachment II</vt:lpstr>
    </vt:vector>
  </TitlesOfParts>
  <Company>Department of State</Company>
  <LinksUpToDate>false</LinksUpToDate>
  <CharactersWithSpaces>7003</CharactersWithSpaces>
  <SharedDoc>false</SharedDoc>
  <HLinks>
    <vt:vector size="6" baseType="variant">
      <vt:variant>
        <vt:i4>2359420</vt:i4>
      </vt:variant>
      <vt:variant>
        <vt:i4>0</vt:i4>
      </vt:variant>
      <vt:variant>
        <vt:i4>0</vt:i4>
      </vt:variant>
      <vt:variant>
        <vt:i4>5</vt:i4>
      </vt:variant>
      <vt:variant>
        <vt:lpwstr>http://www.culturalorientation.net/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II</dc:title>
  <dc:subject/>
  <dc:creator>Longne</dc:creator>
  <cp:keywords/>
  <dc:description/>
  <cp:lastModifiedBy>greeneas</cp:lastModifiedBy>
  <cp:revision>2</cp:revision>
  <dcterms:created xsi:type="dcterms:W3CDTF">2011-04-15T18:46:00Z</dcterms:created>
  <dcterms:modified xsi:type="dcterms:W3CDTF">2011-04-15T18:46:00Z</dcterms:modified>
</cp:coreProperties>
</file>